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A2106">
      <w:pPr>
        <w:ind w:firstLine="1446" w:firstLineChars="400"/>
        <w:rPr>
          <w:rFonts w:hint="eastAsia"/>
          <w:b/>
          <w:bCs/>
          <w:sz w:val="36"/>
          <w:szCs w:val="36"/>
        </w:rPr>
      </w:pPr>
      <w:bookmarkStart w:id="0" w:name="_GoBack"/>
      <w:bookmarkEnd w:id="0"/>
      <w:r>
        <w:rPr>
          <w:rFonts w:hint="eastAsia"/>
          <w:b/>
          <w:bCs/>
          <w:sz w:val="36"/>
          <w:szCs w:val="36"/>
        </w:rPr>
        <w:t>关于编制2027年车辆租赁预算的通知</w:t>
      </w:r>
    </w:p>
    <w:p w14:paraId="42ABF759">
      <w:pPr>
        <w:rPr>
          <w:rFonts w:hint="eastAsia"/>
          <w:sz w:val="30"/>
          <w:szCs w:val="30"/>
        </w:rPr>
      </w:pPr>
    </w:p>
    <w:p w14:paraId="1BFBF0FD">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rPr>
        <w:t>各部门、各二级学院：</w:t>
      </w:r>
    </w:p>
    <w:p w14:paraId="7FD446F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sz w:val="30"/>
          <w:szCs w:val="30"/>
        </w:rPr>
      </w:pPr>
      <w:r>
        <w:rPr>
          <w:rFonts w:hint="eastAsia"/>
          <w:sz w:val="30"/>
          <w:szCs w:val="30"/>
        </w:rPr>
        <w:t>根据《安徽省政府集中采购目录及标准（2026年版）》（皖财购〔2025〕965号）及铜陵市财政局相关文件要求，乘用车租赁服务已纳入政府集中采购目录框架协议采购范围，须通过“徽采云”框架协议执行采购。为严格落实党政机关过紧日子的要求，从严从紧编制2027年车辆租赁预算，现就有关事项通知如下：</w:t>
      </w:r>
    </w:p>
    <w:p w14:paraId="40818834">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b/>
          <w:bCs/>
          <w:sz w:val="30"/>
          <w:szCs w:val="30"/>
        </w:rPr>
        <w:t>一、编报范围</w:t>
      </w:r>
    </w:p>
    <w:p w14:paraId="7098FE5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sz w:val="30"/>
          <w:szCs w:val="30"/>
        </w:rPr>
      </w:pPr>
      <w:r>
        <w:rPr>
          <w:rFonts w:hint="eastAsia"/>
          <w:sz w:val="30"/>
          <w:szCs w:val="30"/>
        </w:rPr>
        <w:t>各部门2027年拟发生的各类车辆租赁需求，均须纳入本次预算编报，具体包括：</w:t>
      </w:r>
    </w:p>
    <w:p w14:paraId="1CC0A7B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（一）教学科研类：学生实训实习用车、实践教学用车等；</w:t>
      </w:r>
    </w:p>
    <w:p w14:paraId="7F1C2744">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（二）就业工作类：访企拓岗用车、毕业生就业市场拓展用车等；</w:t>
      </w:r>
    </w:p>
    <w:p w14:paraId="1200895D">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（三）学生工作类：贫困生走访、暑期“三下乡”社会实践</w:t>
      </w:r>
      <w:r>
        <w:rPr>
          <w:rFonts w:hint="eastAsia"/>
          <w:sz w:val="30"/>
          <w:szCs w:val="30"/>
          <w:lang w:eastAsia="zh-CN"/>
        </w:rPr>
        <w:t>、</w:t>
      </w:r>
      <w:r>
        <w:rPr>
          <w:rFonts w:hint="eastAsia"/>
          <w:sz w:val="30"/>
          <w:szCs w:val="30"/>
          <w:lang w:val="en-US" w:eastAsia="zh-CN"/>
        </w:rPr>
        <w:t>学生体育比赛</w:t>
      </w:r>
      <w:r>
        <w:rPr>
          <w:rFonts w:hint="eastAsia"/>
          <w:sz w:val="30"/>
          <w:szCs w:val="30"/>
        </w:rPr>
        <w:t>用车等；</w:t>
      </w:r>
    </w:p>
    <w:p w14:paraId="31D715E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（四）党建活动类：主题党日活动、红色教育实践用车等</w:t>
      </w:r>
      <w:r>
        <w:rPr>
          <w:rFonts w:hint="eastAsia"/>
          <w:sz w:val="30"/>
          <w:szCs w:val="30"/>
          <w:lang w:eastAsia="zh-CN"/>
        </w:rPr>
        <w:t>（</w:t>
      </w:r>
      <w:r>
        <w:rPr>
          <w:rFonts w:hint="eastAsia"/>
          <w:sz w:val="30"/>
          <w:szCs w:val="30"/>
          <w:lang w:val="en-US" w:eastAsia="zh-CN"/>
        </w:rPr>
        <w:t>行政机关部门由机关党委统筹做好预算</w:t>
      </w:r>
      <w:r>
        <w:rPr>
          <w:rFonts w:hint="eastAsia"/>
          <w:sz w:val="30"/>
          <w:szCs w:val="30"/>
          <w:lang w:eastAsia="zh-CN"/>
        </w:rPr>
        <w:t>）</w:t>
      </w:r>
      <w:r>
        <w:rPr>
          <w:rFonts w:hint="eastAsia"/>
          <w:sz w:val="30"/>
          <w:szCs w:val="30"/>
        </w:rPr>
        <w:t>；</w:t>
      </w:r>
    </w:p>
    <w:p w14:paraId="393B5DE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（五）公务活动类：各部门业务出行、会议接待等用车需求。</w:t>
      </w:r>
    </w:p>
    <w:p w14:paraId="67A444FB">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b/>
          <w:bCs/>
          <w:sz w:val="30"/>
          <w:szCs w:val="30"/>
        </w:rPr>
      </w:pPr>
      <w:r>
        <w:rPr>
          <w:rFonts w:hint="eastAsia"/>
          <w:b/>
          <w:bCs/>
          <w:sz w:val="30"/>
          <w:szCs w:val="30"/>
          <w:lang w:val="en-US" w:eastAsia="zh-CN"/>
        </w:rPr>
        <w:t xml:space="preserve">    </w:t>
      </w:r>
      <w:r>
        <w:rPr>
          <w:rFonts w:hint="eastAsia"/>
          <w:b/>
          <w:bCs/>
          <w:sz w:val="30"/>
          <w:szCs w:val="30"/>
        </w:rPr>
        <w:t>二、编制原则</w:t>
      </w:r>
    </w:p>
    <w:p w14:paraId="0F2B255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（一）从严从紧，能压尽压。各部门须对照上年度车辆租赁实际支出，逐项核减非必要用车需求。可合并的出行任务合并安排，能乘坐公共交通的原则上不单独租车，能线上开展的工作不安排线下走访用车。</w:t>
      </w:r>
    </w:p>
    <w:p w14:paraId="6433062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（二）归口统筹，合理规划。同一出行方向、相近时间段的用车需求，鼓励跨部门拼车。各部门须结合2027年工作计划，科学测算用车频次、里程和车型，避免“宽打窄用”。</w:t>
      </w:r>
    </w:p>
    <w:p w14:paraId="58236FA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eastAsiaTheme="minorEastAsia"/>
          <w:sz w:val="30"/>
          <w:szCs w:val="30"/>
          <w:lang w:val="en-US" w:eastAsia="zh-CN"/>
        </w:rPr>
      </w:pPr>
      <w:r>
        <w:rPr>
          <w:rFonts w:hint="eastAsia"/>
          <w:sz w:val="30"/>
          <w:szCs w:val="30"/>
          <w:lang w:val="en-US" w:eastAsia="zh-CN"/>
        </w:rPr>
        <w:t xml:space="preserve">   </w:t>
      </w:r>
      <w:r>
        <w:rPr>
          <w:rFonts w:hint="eastAsia"/>
          <w:sz w:val="30"/>
          <w:szCs w:val="30"/>
        </w:rPr>
        <w:t>（三）据实编报，留有余地。预算编制须以实际工作任务为依据，不得虚报需求、不得超标准编报。对存在不确定性的活动，暂缓编入年度预算</w:t>
      </w:r>
      <w:r>
        <w:rPr>
          <w:rFonts w:hint="eastAsia"/>
          <w:sz w:val="30"/>
          <w:szCs w:val="30"/>
          <w:lang w:eastAsia="zh-CN"/>
        </w:rPr>
        <w:t>。</w:t>
      </w:r>
    </w:p>
    <w:p w14:paraId="3D7EAE39">
      <w:pPr>
        <w:keepNext w:val="0"/>
        <w:keepLines w:val="0"/>
        <w:pageBreakBefore w:val="0"/>
        <w:widowControl w:val="0"/>
        <w:kinsoku/>
        <w:wordWrap/>
        <w:overflowPunct/>
        <w:topLinePunct w:val="0"/>
        <w:autoSpaceDE/>
        <w:autoSpaceDN/>
        <w:bidi w:val="0"/>
        <w:adjustRightInd/>
        <w:snapToGrid/>
        <w:spacing w:line="580" w:lineRule="exact"/>
        <w:ind w:firstLine="602" w:firstLineChars="200"/>
        <w:textAlignment w:val="auto"/>
        <w:rPr>
          <w:rFonts w:hint="eastAsia"/>
          <w:b/>
          <w:bCs/>
          <w:sz w:val="30"/>
          <w:szCs w:val="30"/>
          <w:lang w:val="en-US" w:eastAsia="zh-CN"/>
        </w:rPr>
      </w:pPr>
      <w:r>
        <w:rPr>
          <w:rFonts w:hint="eastAsia"/>
          <w:b/>
          <w:bCs/>
          <w:sz w:val="30"/>
          <w:szCs w:val="30"/>
          <w:lang w:val="en-US" w:eastAsia="zh-CN"/>
        </w:rPr>
        <w:t>三、编制要求</w:t>
      </w:r>
    </w:p>
    <w:p w14:paraId="148C735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sz w:val="30"/>
          <w:szCs w:val="30"/>
          <w:lang w:val="en-US" w:eastAsia="zh-CN"/>
        </w:rPr>
      </w:pPr>
      <w:r>
        <w:rPr>
          <w:rFonts w:hint="eastAsia"/>
          <w:sz w:val="30"/>
          <w:szCs w:val="30"/>
          <w:lang w:val="en-US" w:eastAsia="zh-CN"/>
        </w:rPr>
        <w:t>（一）为体现预算编制的严肃性和科学性，2027年车辆租赁预算要有明确的预算依据，没有依据的，一律不安排费用。</w:t>
      </w:r>
    </w:p>
    <w:p w14:paraId="4783367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sz w:val="30"/>
          <w:szCs w:val="30"/>
          <w:lang w:val="en-US" w:eastAsia="zh-CN"/>
        </w:rPr>
      </w:pPr>
      <w:r>
        <w:rPr>
          <w:rFonts w:hint="eastAsia"/>
          <w:sz w:val="30"/>
          <w:szCs w:val="30"/>
          <w:lang w:val="en-US" w:eastAsia="zh-CN"/>
        </w:rPr>
        <w:t>（二）各部门应高度重视，科学谋划，统筹规划好车辆租赁预算申报工作，指定专人负责，按时间节点做好相关工作，逾期不再受理。《2027年车辆租赁预算申请表》需由部门主要负责人签字，并加盖部门公章后于10月15日前报送国有资产管理处邮箱</w:t>
      </w:r>
      <w:r>
        <w:rPr>
          <w:rFonts w:hint="eastAsia"/>
          <w:sz w:val="30"/>
          <w:szCs w:val="30"/>
          <w:lang w:val="en-US" w:eastAsia="zh-CN"/>
        </w:rPr>
        <w:fldChar w:fldCharType="begin"/>
      </w:r>
      <w:r>
        <w:rPr>
          <w:rFonts w:hint="eastAsia"/>
          <w:sz w:val="30"/>
          <w:szCs w:val="30"/>
          <w:lang w:val="en-US" w:eastAsia="zh-CN"/>
        </w:rPr>
        <w:instrText xml:space="preserve"> HYPERLINK "mailto:gzc@tlu.edu.cn" </w:instrText>
      </w:r>
      <w:r>
        <w:rPr>
          <w:rFonts w:hint="eastAsia"/>
          <w:sz w:val="30"/>
          <w:szCs w:val="30"/>
          <w:lang w:val="en-US" w:eastAsia="zh-CN"/>
        </w:rPr>
        <w:fldChar w:fldCharType="separate"/>
      </w:r>
      <w:r>
        <w:rPr>
          <w:rFonts w:hint="eastAsia"/>
          <w:sz w:val="30"/>
          <w:szCs w:val="30"/>
          <w:lang w:val="en-US" w:eastAsia="zh-CN"/>
        </w:rPr>
        <w:t>gzc@tlu.edu.cn</w:t>
      </w:r>
      <w:r>
        <w:rPr>
          <w:rFonts w:hint="eastAsia"/>
          <w:sz w:val="30"/>
          <w:szCs w:val="30"/>
          <w:lang w:val="en-US" w:eastAsia="zh-CN"/>
        </w:rPr>
        <w:fldChar w:fldCharType="end"/>
      </w:r>
      <w:r>
        <w:rPr>
          <w:rFonts w:hint="eastAsia"/>
          <w:sz w:val="30"/>
          <w:szCs w:val="30"/>
          <w:lang w:val="en-US" w:eastAsia="zh-CN"/>
        </w:rPr>
        <w:t xml:space="preserve"> ,联系人：皮晓雅（17756225565）。预算经学校研究同意后，财务处纳入2027年政府采购预算。</w:t>
      </w:r>
    </w:p>
    <w:p w14:paraId="46E93DA8">
      <w:pPr>
        <w:keepNext w:val="0"/>
        <w:keepLines w:val="0"/>
        <w:pageBreakBefore w:val="0"/>
        <w:widowControl w:val="0"/>
        <w:kinsoku/>
        <w:wordWrap/>
        <w:overflowPunct/>
        <w:topLinePunct w:val="0"/>
        <w:autoSpaceDE/>
        <w:autoSpaceDN/>
        <w:bidi w:val="0"/>
        <w:adjustRightInd/>
        <w:snapToGrid/>
        <w:spacing w:line="580" w:lineRule="exact"/>
        <w:ind w:firstLine="602" w:firstLineChars="200"/>
        <w:textAlignment w:val="auto"/>
        <w:rPr>
          <w:rFonts w:hint="eastAsia"/>
          <w:b/>
          <w:bCs/>
          <w:sz w:val="30"/>
          <w:szCs w:val="30"/>
        </w:rPr>
      </w:pPr>
      <w:r>
        <w:rPr>
          <w:rFonts w:hint="eastAsia"/>
          <w:b/>
          <w:bCs/>
          <w:sz w:val="30"/>
          <w:szCs w:val="30"/>
          <w:lang w:val="en-US" w:eastAsia="zh-CN"/>
        </w:rPr>
        <w:t>四</w:t>
      </w:r>
      <w:r>
        <w:rPr>
          <w:rFonts w:hint="eastAsia"/>
          <w:b/>
          <w:bCs/>
          <w:sz w:val="30"/>
          <w:szCs w:val="30"/>
        </w:rPr>
        <w:t>、执行要求</w:t>
      </w:r>
    </w:p>
    <w:p w14:paraId="7BDA2B44">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（一）</w:t>
      </w:r>
      <w:r>
        <w:rPr>
          <w:rFonts w:hint="eastAsia"/>
          <w:sz w:val="30"/>
          <w:szCs w:val="30"/>
        </w:rPr>
        <w:t>2027年车辆租赁经费严格实行预算包干使用。经批复的包干额度内，各</w:t>
      </w:r>
      <w:r>
        <w:rPr>
          <w:rFonts w:hint="eastAsia"/>
          <w:sz w:val="30"/>
          <w:szCs w:val="30"/>
          <w:lang w:val="en-US" w:eastAsia="zh-CN"/>
        </w:rPr>
        <w:t>相关</w:t>
      </w:r>
      <w:r>
        <w:rPr>
          <w:rFonts w:hint="eastAsia"/>
          <w:sz w:val="30"/>
          <w:szCs w:val="30"/>
        </w:rPr>
        <w:t>部门统筹安排全年用车；超出包干额度的，原则上不予追加。特殊情况确需调整的，须按校内预算调剂程序从严审批。</w:t>
      </w:r>
    </w:p>
    <w:p w14:paraId="01640DB5">
      <w:pPr>
        <w:pStyle w:val="2"/>
        <w:rPr>
          <w:rFonts w:hint="default" w:asciiTheme="minorHAnsi" w:hAnsiTheme="minorHAnsi" w:eastAsiaTheme="minorEastAsia" w:cstheme="minorBidi"/>
          <w:kern w:val="2"/>
          <w:sz w:val="30"/>
          <w:szCs w:val="30"/>
          <w:lang w:val="en-US" w:eastAsia="zh-CN" w:bidi="ar-SA"/>
        </w:rPr>
      </w:pPr>
      <w:r>
        <w:rPr>
          <w:rFonts w:hint="eastAsia"/>
          <w:sz w:val="30"/>
          <w:szCs w:val="30"/>
          <w:lang w:val="en-US" w:eastAsia="zh-CN"/>
        </w:rPr>
        <w:t xml:space="preserve">   </w:t>
      </w:r>
      <w:r>
        <w:rPr>
          <w:rFonts w:hint="eastAsia" w:asciiTheme="minorHAnsi" w:hAnsiTheme="minorHAnsi" w:eastAsiaTheme="minorEastAsia" w:cstheme="minorBidi"/>
          <w:kern w:val="2"/>
          <w:sz w:val="30"/>
          <w:szCs w:val="30"/>
          <w:lang w:val="en-US" w:eastAsia="zh-CN" w:bidi="ar-SA"/>
        </w:rPr>
        <w:t xml:space="preserve"> （二）乘用车租赁服务为政府集中采购，适用框架协议采购，各部门只能使用学校确定的框架协议内供应商提供的服务。车辆租赁费用标准按照与乘用车租赁服务供应商达成的协议结果执行。</w:t>
      </w:r>
    </w:p>
    <w:p w14:paraId="038E521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b/>
          <w:bCs/>
          <w:sz w:val="30"/>
          <w:szCs w:val="30"/>
          <w:lang w:val="en-US" w:eastAsia="zh-CN"/>
        </w:rPr>
        <w:t xml:space="preserve">  五</w:t>
      </w:r>
      <w:r>
        <w:rPr>
          <w:rFonts w:hint="eastAsia"/>
          <w:b/>
          <w:bCs/>
          <w:sz w:val="30"/>
          <w:szCs w:val="30"/>
        </w:rPr>
        <w:t>、报送安排</w:t>
      </w:r>
    </w:p>
    <w:p w14:paraId="76F2928D">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r>
        <w:rPr>
          <w:rFonts w:hint="eastAsia"/>
          <w:sz w:val="30"/>
          <w:szCs w:val="30"/>
          <w:lang w:val="en-US" w:eastAsia="zh-CN"/>
        </w:rPr>
        <w:t xml:space="preserve">    </w:t>
      </w:r>
      <w:r>
        <w:rPr>
          <w:rFonts w:hint="eastAsia"/>
          <w:sz w:val="30"/>
          <w:szCs w:val="30"/>
        </w:rPr>
        <w:t>请各部门于2026年10月15日前，将2027年车辆租赁预算需求（含用车事由、预计次数、车型需求、经费测算）报送国有资产管理处汇总。</w:t>
      </w:r>
    </w:p>
    <w:p w14:paraId="5BEB9C4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sz w:val="30"/>
          <w:szCs w:val="30"/>
        </w:rPr>
      </w:pPr>
      <w:r>
        <w:rPr>
          <w:rFonts w:hint="eastAsia"/>
          <w:sz w:val="30"/>
          <w:szCs w:val="30"/>
        </w:rPr>
        <w:t>特此通知。</w:t>
      </w:r>
    </w:p>
    <w:p w14:paraId="75DBCFC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30"/>
          <w:szCs w:val="30"/>
        </w:rPr>
      </w:pPr>
    </w:p>
    <w:p w14:paraId="2458A32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30"/>
          <w:szCs w:val="30"/>
        </w:rPr>
      </w:pPr>
      <w:r>
        <w:rPr>
          <w:rFonts w:hint="eastAsia"/>
          <w:sz w:val="30"/>
          <w:szCs w:val="30"/>
          <w:lang w:val="en-US" w:eastAsia="zh-CN"/>
        </w:rPr>
        <w:t xml:space="preserve">                           财务处     </w:t>
      </w:r>
      <w:r>
        <w:rPr>
          <w:rFonts w:hint="eastAsia"/>
          <w:sz w:val="30"/>
          <w:szCs w:val="30"/>
        </w:rPr>
        <w:t>国有资产管理处</w:t>
      </w:r>
    </w:p>
    <w:p w14:paraId="148AEB4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30"/>
          <w:szCs w:val="30"/>
        </w:rPr>
      </w:pPr>
      <w:r>
        <w:rPr>
          <w:rFonts w:hint="eastAsia"/>
          <w:sz w:val="30"/>
          <w:szCs w:val="30"/>
          <w:lang w:val="en-US" w:eastAsia="zh-CN"/>
        </w:rPr>
        <w:t xml:space="preserve">                      </w:t>
      </w:r>
      <w:r>
        <w:rPr>
          <w:rFonts w:hint="eastAsia"/>
          <w:sz w:val="30"/>
          <w:szCs w:val="30"/>
        </w:rPr>
        <w:t>2026年9月28日</w:t>
      </w:r>
    </w:p>
    <w:p w14:paraId="69444A69">
      <w:pPr>
        <w:keepNext w:val="0"/>
        <w:keepLines w:val="0"/>
        <w:pageBreakBefore w:val="0"/>
        <w:widowControl w:val="0"/>
        <w:kinsoku/>
        <w:wordWrap w:val="0"/>
        <w:overflowPunct/>
        <w:topLinePunct w:val="0"/>
        <w:autoSpaceDE/>
        <w:autoSpaceDN/>
        <w:bidi w:val="0"/>
        <w:adjustRightInd/>
        <w:snapToGrid/>
        <w:spacing w:line="580" w:lineRule="exact"/>
        <w:jc w:val="right"/>
        <w:textAlignment w:val="auto"/>
        <w:rPr>
          <w:rFonts w:hint="eastAsia"/>
          <w:sz w:val="30"/>
          <w:szCs w:val="30"/>
          <w:lang w:val="en-US" w:eastAsia="zh-CN"/>
        </w:rPr>
      </w:pPr>
      <w:r>
        <w:rPr>
          <w:rFonts w:hint="eastAsia"/>
          <w:sz w:val="30"/>
          <w:szCs w:val="30"/>
          <w:lang w:val="en-US" w:eastAsia="zh-CN"/>
        </w:rPr>
        <w:t xml:space="preserve">  </w:t>
      </w:r>
    </w:p>
    <w:p w14:paraId="5CBEE63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30"/>
          <w:szCs w:val="30"/>
          <w:lang w:val="en-US" w:eastAsia="zh-CN"/>
        </w:rPr>
      </w:pPr>
      <w:r>
        <w:rPr>
          <w:rFonts w:hint="eastAsia"/>
          <w:sz w:val="30"/>
          <w:szCs w:val="30"/>
          <w:lang w:val="en-US" w:eastAsia="zh-CN"/>
        </w:rPr>
        <w:t>2027年车辆租赁预算申请表</w:t>
      </w:r>
    </w:p>
    <w:p w14:paraId="7F855F8F">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sz w:val="30"/>
          <w:szCs w:val="30"/>
          <w:lang w:val="en-US" w:eastAsia="zh-CN"/>
        </w:rPr>
      </w:pPr>
    </w:p>
    <w:p w14:paraId="0FFEFC92">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sz w:val="30"/>
          <w:szCs w:val="30"/>
          <w:lang w:val="en-US" w:eastAsia="zh-CN"/>
        </w:rPr>
      </w:pPr>
      <w:r>
        <w:rPr>
          <w:rFonts w:hint="eastAsia"/>
          <w:sz w:val="30"/>
          <w:szCs w:val="30"/>
          <w:lang w:val="en-US" w:eastAsia="zh-CN"/>
        </w:rPr>
        <w:t>部门负责人（签字）：       部门盖章：         经办人：</w:t>
      </w:r>
    </w:p>
    <w:tbl>
      <w:tblPr>
        <w:tblStyle w:val="4"/>
        <w:tblpPr w:leftFromText="180" w:rightFromText="180" w:vertAnchor="text" w:horzAnchor="page" w:tblpX="1183" w:tblpY="152"/>
        <w:tblOverlap w:val="never"/>
        <w:tblW w:w="10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1240"/>
        <w:gridCol w:w="1239"/>
        <w:gridCol w:w="1265"/>
        <w:gridCol w:w="1202"/>
        <w:gridCol w:w="1202"/>
        <w:gridCol w:w="2393"/>
        <w:gridCol w:w="731"/>
      </w:tblGrid>
      <w:tr w14:paraId="1A68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154A871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1240" w:type="dxa"/>
          </w:tcPr>
          <w:p w14:paraId="2AE83E0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用车事由</w:t>
            </w:r>
          </w:p>
        </w:tc>
        <w:tc>
          <w:tcPr>
            <w:tcW w:w="1239" w:type="dxa"/>
          </w:tcPr>
          <w:p w14:paraId="3CA9730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预计次数</w:t>
            </w:r>
          </w:p>
        </w:tc>
        <w:tc>
          <w:tcPr>
            <w:tcW w:w="1265" w:type="dxa"/>
          </w:tcPr>
          <w:p w14:paraId="48E44B7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预计人数</w:t>
            </w:r>
          </w:p>
        </w:tc>
        <w:tc>
          <w:tcPr>
            <w:tcW w:w="1202" w:type="dxa"/>
          </w:tcPr>
          <w:p w14:paraId="34A315E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24"/>
                <w:szCs w:val="24"/>
                <w:vertAlign w:val="baseline"/>
                <w:lang w:val="en-US" w:eastAsia="zh-CN"/>
              </w:rPr>
            </w:pPr>
            <w:r>
              <w:rPr>
                <w:rFonts w:hint="eastAsia"/>
                <w:sz w:val="24"/>
                <w:szCs w:val="24"/>
                <w:vertAlign w:val="baseline"/>
                <w:lang w:val="en-US" w:eastAsia="zh-CN"/>
              </w:rPr>
              <w:t>车型需求</w:t>
            </w:r>
          </w:p>
        </w:tc>
        <w:tc>
          <w:tcPr>
            <w:tcW w:w="1202" w:type="dxa"/>
          </w:tcPr>
          <w:p w14:paraId="054D54B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经费预算</w:t>
            </w:r>
          </w:p>
        </w:tc>
        <w:tc>
          <w:tcPr>
            <w:tcW w:w="2393" w:type="dxa"/>
          </w:tcPr>
          <w:p w14:paraId="036B68F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eastAsiaTheme="minorEastAsia"/>
                <w:sz w:val="24"/>
                <w:szCs w:val="24"/>
                <w:vertAlign w:val="baseline"/>
                <w:lang w:val="en-US" w:eastAsia="zh-CN"/>
              </w:rPr>
            </w:pPr>
            <w:r>
              <w:rPr>
                <w:rFonts w:hint="eastAsia"/>
                <w:sz w:val="24"/>
                <w:szCs w:val="24"/>
                <w:vertAlign w:val="baseline"/>
                <w:lang w:val="en-US" w:eastAsia="zh-CN"/>
              </w:rPr>
              <w:t>合计预算金额（万元）</w:t>
            </w:r>
          </w:p>
        </w:tc>
        <w:tc>
          <w:tcPr>
            <w:tcW w:w="731" w:type="dxa"/>
          </w:tcPr>
          <w:p w14:paraId="611C71F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eastAsiaTheme="minorEastAsia"/>
                <w:sz w:val="24"/>
                <w:szCs w:val="24"/>
                <w:vertAlign w:val="baseline"/>
                <w:lang w:val="en-US" w:eastAsia="zh-CN"/>
              </w:rPr>
            </w:pPr>
            <w:r>
              <w:rPr>
                <w:rFonts w:hint="eastAsia"/>
                <w:sz w:val="24"/>
                <w:szCs w:val="24"/>
                <w:vertAlign w:val="baseline"/>
                <w:lang w:val="en-US" w:eastAsia="zh-CN"/>
              </w:rPr>
              <w:t>备注</w:t>
            </w:r>
          </w:p>
        </w:tc>
      </w:tr>
      <w:tr w14:paraId="528D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0B1E515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eastAsiaTheme="minorEastAsia"/>
                <w:sz w:val="30"/>
                <w:szCs w:val="30"/>
                <w:vertAlign w:val="baseline"/>
                <w:lang w:val="en-US" w:eastAsia="zh-CN"/>
              </w:rPr>
            </w:pPr>
            <w:r>
              <w:rPr>
                <w:rFonts w:hint="eastAsia"/>
                <w:sz w:val="30"/>
                <w:szCs w:val="30"/>
                <w:vertAlign w:val="baseline"/>
                <w:lang w:val="en-US" w:eastAsia="zh-CN"/>
              </w:rPr>
              <w:t>1</w:t>
            </w:r>
          </w:p>
        </w:tc>
        <w:tc>
          <w:tcPr>
            <w:tcW w:w="1240" w:type="dxa"/>
          </w:tcPr>
          <w:p w14:paraId="49D4513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30"/>
                <w:szCs w:val="30"/>
                <w:vertAlign w:val="baseline"/>
              </w:rPr>
            </w:pPr>
          </w:p>
        </w:tc>
        <w:tc>
          <w:tcPr>
            <w:tcW w:w="1239" w:type="dxa"/>
          </w:tcPr>
          <w:p w14:paraId="1A849945">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65" w:type="dxa"/>
          </w:tcPr>
          <w:p w14:paraId="635AF3F6">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74DFE3A5">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71AF49C4">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2393" w:type="dxa"/>
          </w:tcPr>
          <w:p w14:paraId="5CE224EE">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731" w:type="dxa"/>
          </w:tcPr>
          <w:p w14:paraId="25D8F4D7">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r>
      <w:tr w14:paraId="2DE4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5CF1AE2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eastAsiaTheme="minorEastAsia"/>
                <w:sz w:val="30"/>
                <w:szCs w:val="30"/>
                <w:vertAlign w:val="baseline"/>
                <w:lang w:val="en-US" w:eastAsia="zh-CN"/>
              </w:rPr>
            </w:pPr>
            <w:r>
              <w:rPr>
                <w:rFonts w:hint="eastAsia"/>
                <w:sz w:val="30"/>
                <w:szCs w:val="30"/>
                <w:vertAlign w:val="baseline"/>
                <w:lang w:val="en-US" w:eastAsia="zh-CN"/>
              </w:rPr>
              <w:t>2</w:t>
            </w:r>
          </w:p>
        </w:tc>
        <w:tc>
          <w:tcPr>
            <w:tcW w:w="1240" w:type="dxa"/>
          </w:tcPr>
          <w:p w14:paraId="2C702F6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30"/>
                <w:szCs w:val="30"/>
                <w:vertAlign w:val="baseline"/>
              </w:rPr>
            </w:pPr>
          </w:p>
        </w:tc>
        <w:tc>
          <w:tcPr>
            <w:tcW w:w="1239" w:type="dxa"/>
          </w:tcPr>
          <w:p w14:paraId="737F4516">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65" w:type="dxa"/>
          </w:tcPr>
          <w:p w14:paraId="5A17E8AC">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5D208C15">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30BB7E5D">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2393" w:type="dxa"/>
          </w:tcPr>
          <w:p w14:paraId="7C467D6A">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731" w:type="dxa"/>
          </w:tcPr>
          <w:p w14:paraId="73EA8064">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r>
      <w:tr w14:paraId="145D4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6A3C1BC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eastAsiaTheme="minorEastAsia"/>
                <w:sz w:val="30"/>
                <w:szCs w:val="30"/>
                <w:vertAlign w:val="baseline"/>
                <w:lang w:val="en-US" w:eastAsia="zh-CN"/>
              </w:rPr>
            </w:pPr>
            <w:r>
              <w:rPr>
                <w:rFonts w:hint="eastAsia"/>
                <w:sz w:val="30"/>
                <w:szCs w:val="30"/>
                <w:vertAlign w:val="baseline"/>
                <w:lang w:val="en-US" w:eastAsia="zh-CN"/>
              </w:rPr>
              <w:t>...</w:t>
            </w:r>
          </w:p>
        </w:tc>
        <w:tc>
          <w:tcPr>
            <w:tcW w:w="1240" w:type="dxa"/>
          </w:tcPr>
          <w:p w14:paraId="142F849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30"/>
                <w:szCs w:val="30"/>
                <w:vertAlign w:val="baseline"/>
              </w:rPr>
            </w:pPr>
          </w:p>
        </w:tc>
        <w:tc>
          <w:tcPr>
            <w:tcW w:w="1239" w:type="dxa"/>
          </w:tcPr>
          <w:p w14:paraId="5D67E406">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65" w:type="dxa"/>
          </w:tcPr>
          <w:p w14:paraId="403E0FFB">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06F38E76">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25BF006E">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2393" w:type="dxa"/>
          </w:tcPr>
          <w:p w14:paraId="1DBB4524">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731" w:type="dxa"/>
          </w:tcPr>
          <w:p w14:paraId="11A622F2">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r>
      <w:tr w14:paraId="61DC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14:paraId="19633CD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sz w:val="30"/>
                <w:szCs w:val="30"/>
                <w:vertAlign w:val="baseline"/>
                <w:lang w:val="en-US" w:eastAsia="zh-CN"/>
              </w:rPr>
            </w:pPr>
            <w:r>
              <w:rPr>
                <w:rFonts w:hint="eastAsia"/>
                <w:sz w:val="24"/>
                <w:szCs w:val="24"/>
                <w:vertAlign w:val="baseline"/>
                <w:lang w:val="en-US" w:eastAsia="zh-CN"/>
              </w:rPr>
              <w:t>合计</w:t>
            </w:r>
          </w:p>
        </w:tc>
        <w:tc>
          <w:tcPr>
            <w:tcW w:w="1240" w:type="dxa"/>
          </w:tcPr>
          <w:p w14:paraId="33830EC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sz w:val="30"/>
                <w:szCs w:val="30"/>
                <w:vertAlign w:val="baseline"/>
              </w:rPr>
            </w:pPr>
          </w:p>
        </w:tc>
        <w:tc>
          <w:tcPr>
            <w:tcW w:w="1239" w:type="dxa"/>
          </w:tcPr>
          <w:p w14:paraId="0BFA2EDC">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65" w:type="dxa"/>
          </w:tcPr>
          <w:p w14:paraId="1CD6F7FB">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438E26FF">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1202" w:type="dxa"/>
          </w:tcPr>
          <w:p w14:paraId="6D058868">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c>
          <w:tcPr>
            <w:tcW w:w="2393" w:type="dxa"/>
          </w:tcPr>
          <w:p w14:paraId="147460AB">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default" w:eastAsiaTheme="minorEastAsia"/>
                <w:sz w:val="30"/>
                <w:szCs w:val="30"/>
                <w:vertAlign w:val="baseline"/>
                <w:lang w:val="en-US" w:eastAsia="zh-CN"/>
              </w:rPr>
            </w:pPr>
            <w:r>
              <w:rPr>
                <w:rFonts w:hint="eastAsia"/>
                <w:sz w:val="30"/>
                <w:szCs w:val="30"/>
                <w:vertAlign w:val="baseline"/>
                <w:lang w:val="en-US" w:eastAsia="zh-CN"/>
              </w:rPr>
              <w:t>***</w:t>
            </w:r>
          </w:p>
        </w:tc>
        <w:tc>
          <w:tcPr>
            <w:tcW w:w="731" w:type="dxa"/>
          </w:tcPr>
          <w:p w14:paraId="34F83DDC">
            <w:pPr>
              <w:keepNext w:val="0"/>
              <w:keepLines w:val="0"/>
              <w:pageBreakBefore w:val="0"/>
              <w:widowControl w:val="0"/>
              <w:kinsoku/>
              <w:wordWrap/>
              <w:overflowPunct/>
              <w:topLinePunct w:val="0"/>
              <w:autoSpaceDE/>
              <w:autoSpaceDN/>
              <w:bidi w:val="0"/>
              <w:adjustRightInd/>
              <w:snapToGrid/>
              <w:spacing w:line="580" w:lineRule="exact"/>
              <w:jc w:val="right"/>
              <w:textAlignment w:val="auto"/>
              <w:rPr>
                <w:rFonts w:hint="eastAsia"/>
                <w:sz w:val="30"/>
                <w:szCs w:val="30"/>
                <w:vertAlign w:val="baseline"/>
              </w:rPr>
            </w:pPr>
          </w:p>
        </w:tc>
      </w:tr>
    </w:tbl>
    <w:p w14:paraId="56B112B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eastAsiaTheme="minorEastAsia"/>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61714B"/>
    <w:rsid w:val="002E1F6F"/>
    <w:rsid w:val="006D2A98"/>
    <w:rsid w:val="03D42E2E"/>
    <w:rsid w:val="054D2E98"/>
    <w:rsid w:val="09666348"/>
    <w:rsid w:val="0C9C64B3"/>
    <w:rsid w:val="10991687"/>
    <w:rsid w:val="15804BC3"/>
    <w:rsid w:val="16A713F5"/>
    <w:rsid w:val="18267CA4"/>
    <w:rsid w:val="18602A8A"/>
    <w:rsid w:val="1A61330B"/>
    <w:rsid w:val="1EC92634"/>
    <w:rsid w:val="1F9E149D"/>
    <w:rsid w:val="22B20386"/>
    <w:rsid w:val="2C176131"/>
    <w:rsid w:val="31264419"/>
    <w:rsid w:val="317B29B7"/>
    <w:rsid w:val="330469DC"/>
    <w:rsid w:val="399565E0"/>
    <w:rsid w:val="3D2008B6"/>
    <w:rsid w:val="3E2B7513"/>
    <w:rsid w:val="3FB05F21"/>
    <w:rsid w:val="45A100BA"/>
    <w:rsid w:val="45CC41B7"/>
    <w:rsid w:val="47136D96"/>
    <w:rsid w:val="4861714B"/>
    <w:rsid w:val="48A71E8C"/>
    <w:rsid w:val="4B776C14"/>
    <w:rsid w:val="4D1A294D"/>
    <w:rsid w:val="564F20A8"/>
    <w:rsid w:val="572172AD"/>
    <w:rsid w:val="573B036F"/>
    <w:rsid w:val="59605E6B"/>
    <w:rsid w:val="5AD92211"/>
    <w:rsid w:val="5DEF5A0F"/>
    <w:rsid w:val="627D208A"/>
    <w:rsid w:val="69A00505"/>
    <w:rsid w:val="709C1A26"/>
    <w:rsid w:val="7349097B"/>
    <w:rsid w:val="739764D5"/>
    <w:rsid w:val="73D72D76"/>
    <w:rsid w:val="76B243E0"/>
    <w:rsid w:val="78372035"/>
    <w:rsid w:val="7ED70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1136</Words>
  <Characters>1212</Characters>
  <Lines>0</Lines>
  <Paragraphs>0</Paragraphs>
  <TotalTime>5</TotalTime>
  <ScaleCrop>false</ScaleCrop>
  <LinksUpToDate>false</LinksUpToDate>
  <CharactersWithSpaces>1332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2026-09-28T08:34:00Z</dcterms:created>
  <dc:creator>红头鸟</dc:creator>
  <cp:lastModifiedBy>皮晓雅</cp:lastModifiedBy>
  <dcterms:modified xsi:type="dcterms:W3CDTF">2026-10-08T06:52:41Z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87B7D403B17945EEBBA9BC55FFDD0989_13</vt:lpwstr>
  </property>
  <property fmtid="{D5CDD505-2E9C-101B-9397-08002B2CF9AE}" pid="4" name="KSOTemplateDocerSaveRecord">
    <vt:lpwstr>eyJoZGlkIjoiZTFjYjkxMmExODBkMWRmN2U4OGJjOTJmOTE1OGNkNzMiLCJ1c2VySWQiOiIxNzE0ODc0NzY3In0=</vt:lpwstr>
  </property>
</Properties>
</file>