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spacing w:line="360" w:lineRule="auto"/>
        <w:jc w:val="left"/>
        <w:rPr>
          <w:rFonts w:hint="eastAsia" w:ascii="宋体" w:hAnsi="宋体" w:eastAsia="宋体" w:cs="宋体"/>
          <w:b/>
          <w:color w:val="auto"/>
          <w:szCs w:val="28"/>
          <w:highlight w:val="none"/>
          <w:u w:val="none"/>
        </w:rPr>
      </w:pPr>
      <w:bookmarkStart w:id="0" w:name="_Toc183582209"/>
      <w:bookmarkStart w:id="1" w:name="_Toc89075875"/>
      <w:bookmarkStart w:id="2" w:name="_Toc217446038"/>
      <w:bookmarkStart w:id="3" w:name="_Toc77400779"/>
      <w:bookmarkStart w:id="4" w:name="_Toc183682346"/>
    </w:p>
    <w:p>
      <w:pPr>
        <w:wordWrap w:val="0"/>
        <w:spacing w:line="600" w:lineRule="auto"/>
        <w:rPr>
          <w:rFonts w:hint="eastAsia" w:ascii="宋体" w:hAnsi="宋体" w:eastAsia="宋体" w:cs="宋体"/>
          <w:b/>
          <w:color w:val="auto"/>
          <w:sz w:val="52"/>
          <w:szCs w:val="52"/>
          <w:highlight w:val="none"/>
        </w:rPr>
      </w:pPr>
    </w:p>
    <w:p>
      <w:pPr>
        <w:pStyle w:val="14"/>
        <w:wordWrap w:val="0"/>
        <w:spacing w:line="600" w:lineRule="auto"/>
        <w:jc w:val="center"/>
        <w:rPr>
          <w:rFonts w:hint="eastAsia" w:hAnsi="宋体" w:eastAsia="宋体" w:cs="宋体"/>
          <w:b/>
          <w:bCs w:val="0"/>
          <w:color w:val="auto"/>
          <w:sz w:val="44"/>
          <w:szCs w:val="44"/>
          <w:highlight w:val="none"/>
          <w:lang w:eastAsia="zh-CN"/>
        </w:rPr>
      </w:pPr>
      <w:r>
        <w:rPr>
          <w:rFonts w:hint="eastAsia" w:hAnsi="宋体" w:eastAsia="宋体" w:cs="宋体"/>
          <w:b/>
          <w:bCs w:val="0"/>
          <w:color w:val="auto"/>
          <w:sz w:val="44"/>
          <w:szCs w:val="44"/>
          <w:highlight w:val="none"/>
          <w:lang w:eastAsia="zh-CN"/>
        </w:rPr>
        <w:t>202</w:t>
      </w:r>
      <w:r>
        <w:rPr>
          <w:rFonts w:hint="eastAsia" w:hAnsi="宋体" w:eastAsia="宋体" w:cs="宋体"/>
          <w:b/>
          <w:bCs w:val="0"/>
          <w:color w:val="auto"/>
          <w:sz w:val="44"/>
          <w:szCs w:val="44"/>
          <w:highlight w:val="none"/>
          <w:lang w:val="en-US" w:eastAsia="zh-CN"/>
        </w:rPr>
        <w:t>2</w:t>
      </w:r>
      <w:r>
        <w:rPr>
          <w:rFonts w:hint="eastAsia" w:hAnsi="宋体" w:eastAsia="宋体" w:cs="宋体"/>
          <w:b/>
          <w:bCs w:val="0"/>
          <w:color w:val="auto"/>
          <w:sz w:val="44"/>
          <w:szCs w:val="44"/>
          <w:highlight w:val="none"/>
          <w:lang w:eastAsia="zh-CN"/>
        </w:rPr>
        <w:t>年铜陵学院智慧资助系统网络安全等级保护测评服务采购</w:t>
      </w:r>
    </w:p>
    <w:p>
      <w:pPr>
        <w:pStyle w:val="14"/>
        <w:wordWrap w:val="0"/>
        <w:spacing w:line="600" w:lineRule="auto"/>
        <w:jc w:val="center"/>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rPr>
        <w:t>竞争性磋商文件</w:t>
      </w:r>
    </w:p>
    <w:p>
      <w:pPr>
        <w:pStyle w:val="14"/>
        <w:wordWrap w:val="0"/>
        <w:spacing w:line="360" w:lineRule="auto"/>
        <w:jc w:val="center"/>
        <w:rPr>
          <w:rFonts w:hint="eastAsia" w:ascii="宋体" w:hAnsi="宋体" w:eastAsia="宋体" w:cs="宋体"/>
          <w:b/>
          <w:color w:val="auto"/>
          <w:szCs w:val="28"/>
          <w:highlight w:val="none"/>
        </w:rPr>
      </w:pPr>
    </w:p>
    <w:p>
      <w:pPr>
        <w:pStyle w:val="14"/>
        <w:spacing w:line="360" w:lineRule="auto"/>
        <w:ind w:firstLine="2249" w:firstLineChars="800"/>
        <w:jc w:val="left"/>
        <w:rPr>
          <w:rFonts w:hint="eastAsia" w:ascii="宋体" w:hAnsi="宋体" w:eastAsia="宋体" w:cs="宋体"/>
          <w:b/>
          <w:color w:val="auto"/>
          <w:szCs w:val="28"/>
          <w:highlight w:val="none"/>
          <w:u w:val="none"/>
          <w:lang w:eastAsia="zh-CN"/>
        </w:rPr>
      </w:pPr>
      <w:r>
        <w:rPr>
          <w:rFonts w:hint="eastAsia" w:ascii="宋体" w:hAnsi="宋体" w:eastAsia="宋体" w:cs="宋体"/>
          <w:b/>
          <w:color w:val="auto"/>
          <w:szCs w:val="28"/>
          <w:highlight w:val="none"/>
          <w:u w:val="none"/>
        </w:rPr>
        <w:t>项目编号：</w:t>
      </w:r>
      <w:r>
        <w:rPr>
          <w:rFonts w:hint="eastAsia" w:hAnsi="宋体" w:eastAsia="宋体" w:cs="宋体"/>
          <w:b/>
          <w:color w:val="auto"/>
          <w:szCs w:val="28"/>
          <w:highlight w:val="none"/>
          <w:u w:val="none"/>
          <w:lang w:val="en-US" w:eastAsia="zh-CN"/>
        </w:rPr>
        <w:t>tlxyzb</w:t>
      </w:r>
      <w:r>
        <w:rPr>
          <w:rFonts w:hint="eastAsia" w:ascii="宋体" w:hAnsi="宋体" w:eastAsia="宋体" w:cs="宋体"/>
          <w:b/>
          <w:color w:val="auto"/>
          <w:szCs w:val="28"/>
          <w:highlight w:val="none"/>
          <w:u w:val="none"/>
        </w:rPr>
        <w:t>[</w:t>
      </w:r>
      <w:r>
        <w:rPr>
          <w:rFonts w:hint="eastAsia" w:hAnsi="宋体" w:eastAsia="宋体" w:cs="宋体"/>
          <w:b/>
          <w:color w:val="auto"/>
          <w:szCs w:val="28"/>
          <w:highlight w:val="none"/>
          <w:u w:val="none"/>
          <w:lang w:eastAsia="zh-CN"/>
        </w:rPr>
        <w:t>202</w:t>
      </w:r>
      <w:r>
        <w:rPr>
          <w:rFonts w:hint="eastAsia" w:hAnsi="宋体" w:eastAsia="宋体" w:cs="宋体"/>
          <w:b/>
          <w:color w:val="auto"/>
          <w:szCs w:val="28"/>
          <w:highlight w:val="none"/>
          <w:u w:val="none"/>
          <w:lang w:val="en-US" w:eastAsia="zh-CN"/>
        </w:rPr>
        <w:t>2</w:t>
      </w:r>
      <w:r>
        <w:rPr>
          <w:rFonts w:hint="eastAsia" w:ascii="宋体" w:hAnsi="宋体" w:eastAsia="宋体" w:cs="宋体"/>
          <w:b/>
          <w:color w:val="auto"/>
          <w:szCs w:val="28"/>
          <w:highlight w:val="none"/>
          <w:u w:val="none"/>
        </w:rPr>
        <w:t>]</w:t>
      </w:r>
      <w:r>
        <w:rPr>
          <w:rFonts w:hint="eastAsia" w:hAnsi="宋体" w:eastAsia="宋体" w:cs="宋体"/>
          <w:b/>
          <w:color w:val="auto"/>
          <w:szCs w:val="28"/>
          <w:highlight w:val="none"/>
          <w:u w:val="none"/>
          <w:lang w:val="en-US" w:eastAsia="zh-CN"/>
        </w:rPr>
        <w:t>40</w:t>
      </w:r>
      <w:r>
        <w:rPr>
          <w:rFonts w:hint="eastAsia" w:hAnsi="宋体" w:eastAsia="宋体" w:cs="宋体"/>
          <w:b/>
          <w:color w:val="auto"/>
          <w:szCs w:val="28"/>
          <w:highlight w:val="none"/>
          <w:u w:val="none"/>
          <w:lang w:eastAsia="zh-CN"/>
        </w:rPr>
        <w:t>号</w:t>
      </w:r>
    </w:p>
    <w:p>
      <w:pPr>
        <w:pStyle w:val="14"/>
        <w:wordWrap w:val="0"/>
        <w:spacing w:line="360" w:lineRule="auto"/>
        <w:jc w:val="center"/>
        <w:rPr>
          <w:rFonts w:hint="eastAsia" w:ascii="宋体" w:hAnsi="宋体" w:eastAsia="宋体" w:cs="宋体"/>
          <w:b/>
          <w:color w:val="auto"/>
          <w:szCs w:val="28"/>
          <w:highlight w:val="none"/>
        </w:rPr>
      </w:pPr>
    </w:p>
    <w:p>
      <w:pPr>
        <w:pStyle w:val="14"/>
        <w:wordWrap w:val="0"/>
        <w:spacing w:line="360" w:lineRule="auto"/>
        <w:jc w:val="center"/>
        <w:rPr>
          <w:rFonts w:hint="eastAsia" w:ascii="宋体" w:hAnsi="宋体" w:eastAsia="宋体" w:cs="宋体"/>
          <w:b/>
          <w:color w:val="auto"/>
          <w:szCs w:val="28"/>
          <w:highlight w:val="none"/>
        </w:rPr>
      </w:pPr>
    </w:p>
    <w:p>
      <w:pPr>
        <w:pStyle w:val="14"/>
        <w:wordWrap w:val="0"/>
        <w:spacing w:line="360" w:lineRule="auto"/>
        <w:jc w:val="center"/>
        <w:rPr>
          <w:rFonts w:hint="eastAsia" w:ascii="宋体" w:hAnsi="宋体" w:eastAsia="宋体" w:cs="宋体"/>
          <w:b/>
          <w:color w:val="auto"/>
          <w:szCs w:val="28"/>
          <w:highlight w:val="none"/>
        </w:rPr>
      </w:pPr>
    </w:p>
    <w:p>
      <w:pPr>
        <w:pStyle w:val="14"/>
        <w:wordWrap w:val="0"/>
        <w:spacing w:line="360" w:lineRule="auto"/>
        <w:jc w:val="center"/>
        <w:rPr>
          <w:rFonts w:hint="eastAsia" w:ascii="宋体" w:hAnsi="宋体" w:eastAsia="宋体" w:cs="宋体"/>
          <w:b/>
          <w:color w:val="auto"/>
          <w:szCs w:val="28"/>
          <w:highlight w:val="none"/>
        </w:rPr>
      </w:pPr>
    </w:p>
    <w:p>
      <w:pPr>
        <w:pStyle w:val="14"/>
        <w:wordWrap w:val="0"/>
        <w:spacing w:line="360" w:lineRule="auto"/>
        <w:jc w:val="center"/>
        <w:rPr>
          <w:rFonts w:hint="eastAsia" w:ascii="宋体" w:hAnsi="宋体" w:eastAsia="宋体" w:cs="宋体"/>
          <w:b/>
          <w:color w:val="auto"/>
          <w:szCs w:val="28"/>
          <w:highlight w:val="none"/>
        </w:rPr>
      </w:pPr>
    </w:p>
    <w:p>
      <w:pPr>
        <w:pStyle w:val="14"/>
        <w:wordWrap w:val="0"/>
        <w:spacing w:line="360" w:lineRule="auto"/>
        <w:jc w:val="center"/>
        <w:rPr>
          <w:rFonts w:hint="eastAsia" w:ascii="宋体" w:hAnsi="宋体" w:eastAsia="宋体" w:cs="宋体"/>
          <w:b/>
          <w:color w:val="auto"/>
          <w:szCs w:val="28"/>
          <w:highlight w:val="none"/>
        </w:rPr>
      </w:pPr>
    </w:p>
    <w:p>
      <w:pPr>
        <w:pStyle w:val="14"/>
        <w:wordWrap w:val="0"/>
        <w:spacing w:line="360" w:lineRule="auto"/>
        <w:jc w:val="center"/>
        <w:rPr>
          <w:rFonts w:hint="eastAsia" w:ascii="宋体" w:hAnsi="宋体" w:eastAsia="宋体" w:cs="宋体"/>
          <w:b/>
          <w:color w:val="auto"/>
          <w:szCs w:val="28"/>
          <w:highlight w:val="none"/>
        </w:rPr>
      </w:pPr>
    </w:p>
    <w:tbl>
      <w:tblPr>
        <w:tblStyle w:val="12"/>
        <w:tblW w:w="918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864"/>
        <w:gridCol w:w="484"/>
        <w:gridCol w:w="58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2864" w:type="dxa"/>
            <w:vAlign w:val="center"/>
          </w:tcPr>
          <w:p>
            <w:pPr>
              <w:pStyle w:val="14"/>
              <w:keepNext w:val="0"/>
              <w:keepLines w:val="0"/>
              <w:suppressLineNumbers w:val="0"/>
              <w:wordWrap w:val="0"/>
              <w:spacing w:before="0" w:beforeAutospacing="0" w:after="0" w:afterAutospacing="0" w:line="360" w:lineRule="auto"/>
              <w:ind w:left="0" w:right="0"/>
              <w:jc w:val="distribute"/>
              <w:rPr>
                <w:rFonts w:hint="eastAsia" w:ascii="宋体" w:hAnsi="宋体" w:eastAsia="宋体" w:cs="宋体"/>
                <w:b/>
                <w:color w:val="auto"/>
                <w:szCs w:val="28"/>
                <w:highlight w:val="none"/>
              </w:rPr>
            </w:pPr>
            <w:r>
              <w:rPr>
                <w:rFonts w:hint="eastAsia" w:ascii="宋体" w:hAnsi="宋体" w:eastAsia="宋体" w:cs="宋体"/>
                <w:b/>
                <w:color w:val="auto"/>
                <w:szCs w:val="28"/>
                <w:highlight w:val="none"/>
              </w:rPr>
              <w:t>采购人</w:t>
            </w:r>
          </w:p>
        </w:tc>
        <w:tc>
          <w:tcPr>
            <w:tcW w:w="484" w:type="dxa"/>
            <w:vAlign w:val="center"/>
          </w:tcPr>
          <w:p>
            <w:pPr>
              <w:pStyle w:val="14"/>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b/>
                <w:color w:val="auto"/>
                <w:szCs w:val="28"/>
                <w:highlight w:val="none"/>
              </w:rPr>
            </w:pPr>
            <w:r>
              <w:rPr>
                <w:rFonts w:hint="eastAsia" w:ascii="宋体" w:hAnsi="宋体" w:eastAsia="宋体" w:cs="宋体"/>
                <w:b/>
                <w:color w:val="auto"/>
                <w:spacing w:val="60"/>
                <w:szCs w:val="28"/>
                <w:highlight w:val="none"/>
              </w:rPr>
              <w:t>：</w:t>
            </w:r>
          </w:p>
        </w:tc>
        <w:tc>
          <w:tcPr>
            <w:tcW w:w="5834" w:type="dxa"/>
            <w:vAlign w:val="center"/>
          </w:tcPr>
          <w:p>
            <w:pPr>
              <w:pStyle w:val="14"/>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b/>
                <w:color w:val="auto"/>
                <w:szCs w:val="28"/>
                <w:highlight w:val="none"/>
              </w:rPr>
            </w:pPr>
            <w:r>
              <w:rPr>
                <w:rFonts w:hint="eastAsia" w:hAnsi="宋体" w:eastAsia="宋体" w:cs="宋体"/>
                <w:b/>
                <w:bCs/>
                <w:color w:val="auto"/>
                <w:szCs w:val="28"/>
                <w:highlight w:val="none"/>
                <w:lang w:eastAsia="zh-CN"/>
              </w:rPr>
              <w:t>铜陵学院</w:t>
            </w:r>
            <w:r>
              <w:rPr>
                <w:rFonts w:hint="eastAsia" w:ascii="宋体" w:hAnsi="宋体" w:eastAsia="宋体" w:cs="宋体"/>
                <w:b/>
                <w:bCs/>
                <w:color w:val="auto"/>
                <w:szCs w:val="28"/>
                <w:highlight w:val="none"/>
              </w:rPr>
              <w:t>（盖章</w:t>
            </w:r>
            <w:r>
              <w:rPr>
                <w:rFonts w:hint="eastAsia" w:ascii="宋体" w:hAnsi="宋体" w:eastAsia="宋体" w:cs="宋体"/>
                <w:b/>
                <w:color w:val="auto"/>
                <w:sz w:val="24"/>
                <w:szCs w:val="24"/>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2864" w:type="dxa"/>
            <w:vAlign w:val="center"/>
          </w:tcPr>
          <w:p>
            <w:pPr>
              <w:pStyle w:val="14"/>
              <w:keepNext w:val="0"/>
              <w:keepLines w:val="0"/>
              <w:suppressLineNumbers w:val="0"/>
              <w:wordWrap w:val="0"/>
              <w:spacing w:before="0" w:beforeAutospacing="0" w:after="0" w:afterAutospacing="0" w:line="360" w:lineRule="auto"/>
              <w:ind w:left="0" w:right="0"/>
              <w:jc w:val="distribute"/>
              <w:rPr>
                <w:rFonts w:hint="eastAsia" w:ascii="宋体" w:hAnsi="宋体" w:eastAsia="宋体" w:cs="宋体"/>
                <w:b/>
                <w:color w:val="auto"/>
                <w:spacing w:val="60"/>
                <w:szCs w:val="28"/>
                <w:highlight w:val="none"/>
              </w:rPr>
            </w:pPr>
            <w:r>
              <w:rPr>
                <w:rFonts w:hint="eastAsia" w:ascii="宋体" w:hAnsi="宋体" w:eastAsia="宋体" w:cs="宋体"/>
                <w:b/>
                <w:color w:val="auto"/>
                <w:spacing w:val="60"/>
                <w:szCs w:val="28"/>
                <w:highlight w:val="none"/>
              </w:rPr>
              <w:t>日期</w:t>
            </w:r>
          </w:p>
        </w:tc>
        <w:tc>
          <w:tcPr>
            <w:tcW w:w="484" w:type="dxa"/>
            <w:vAlign w:val="center"/>
          </w:tcPr>
          <w:p>
            <w:pPr>
              <w:pStyle w:val="14"/>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b/>
                <w:color w:val="auto"/>
                <w:spacing w:val="-20"/>
                <w:szCs w:val="28"/>
                <w:highlight w:val="none"/>
              </w:rPr>
            </w:pPr>
            <w:r>
              <w:rPr>
                <w:rFonts w:hint="eastAsia" w:ascii="宋体" w:hAnsi="宋体" w:eastAsia="宋体" w:cs="宋体"/>
                <w:b/>
                <w:color w:val="auto"/>
                <w:spacing w:val="-20"/>
                <w:szCs w:val="28"/>
                <w:highlight w:val="none"/>
              </w:rPr>
              <w:t>：</w:t>
            </w:r>
          </w:p>
        </w:tc>
        <w:tc>
          <w:tcPr>
            <w:tcW w:w="5834" w:type="dxa"/>
            <w:vAlign w:val="center"/>
          </w:tcPr>
          <w:p>
            <w:pPr>
              <w:pStyle w:val="14"/>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b/>
                <w:bCs/>
                <w:color w:val="auto"/>
                <w:szCs w:val="28"/>
                <w:highlight w:val="none"/>
              </w:rPr>
            </w:pPr>
            <w:r>
              <w:rPr>
                <w:rFonts w:hint="eastAsia" w:hAnsi="宋体" w:eastAsia="宋体" w:cs="宋体"/>
                <w:b/>
                <w:bCs/>
                <w:color w:val="auto"/>
                <w:szCs w:val="28"/>
                <w:highlight w:val="none"/>
                <w:lang w:eastAsia="zh-CN"/>
              </w:rPr>
              <w:t>202</w:t>
            </w:r>
            <w:r>
              <w:rPr>
                <w:rFonts w:hint="eastAsia" w:hAnsi="宋体" w:eastAsia="宋体" w:cs="宋体"/>
                <w:b/>
                <w:bCs/>
                <w:color w:val="auto"/>
                <w:szCs w:val="28"/>
                <w:highlight w:val="none"/>
                <w:lang w:val="en-US" w:eastAsia="zh-CN"/>
              </w:rPr>
              <w:t>2</w:t>
            </w:r>
            <w:r>
              <w:rPr>
                <w:rFonts w:hint="eastAsia" w:ascii="宋体" w:hAnsi="宋体" w:eastAsia="宋体" w:cs="宋体"/>
                <w:b/>
                <w:bCs/>
                <w:color w:val="auto"/>
                <w:szCs w:val="28"/>
                <w:highlight w:val="none"/>
              </w:rPr>
              <w:t>年</w:t>
            </w:r>
            <w:r>
              <w:rPr>
                <w:rFonts w:hint="eastAsia" w:hAnsi="宋体" w:eastAsia="宋体" w:cs="宋体"/>
                <w:b/>
                <w:bCs/>
                <w:color w:val="auto"/>
                <w:szCs w:val="28"/>
                <w:highlight w:val="none"/>
                <w:lang w:val="en-US" w:eastAsia="zh-CN"/>
              </w:rPr>
              <w:t>06</w:t>
            </w:r>
            <w:r>
              <w:rPr>
                <w:rFonts w:hint="eastAsia" w:ascii="宋体" w:hAnsi="宋体" w:eastAsia="宋体" w:cs="宋体"/>
                <w:b/>
                <w:bCs/>
                <w:color w:val="auto"/>
                <w:szCs w:val="28"/>
                <w:highlight w:val="none"/>
                <w:lang w:val="en-US" w:eastAsia="zh-CN"/>
              </w:rPr>
              <w:t>月</w:t>
            </w:r>
          </w:p>
        </w:tc>
      </w:tr>
    </w:tbl>
    <w:p>
      <w:pPr>
        <w:pStyle w:val="14"/>
        <w:spacing w:line="360" w:lineRule="auto"/>
        <w:jc w:val="center"/>
        <w:rPr>
          <w:rFonts w:hint="eastAsia" w:ascii="宋体" w:hAnsi="宋体" w:eastAsia="宋体" w:cs="宋体"/>
          <w:color w:val="auto"/>
          <w:szCs w:val="28"/>
          <w:highlight w:val="none"/>
        </w:rPr>
      </w:pPr>
      <w:r>
        <w:rPr>
          <w:rFonts w:hint="eastAsia" w:ascii="宋体" w:hAnsi="宋体" w:eastAsia="宋体" w:cs="宋体"/>
          <w:color w:val="auto"/>
          <w:szCs w:val="28"/>
          <w:highlight w:val="none"/>
        </w:rPr>
        <w:br w:type="page"/>
      </w:r>
    </w:p>
    <w:p>
      <w:pPr>
        <w:pStyle w:val="14"/>
        <w:spacing w:line="360" w:lineRule="auto"/>
        <w:jc w:val="center"/>
        <w:rPr>
          <w:rFonts w:hint="eastAsia" w:ascii="宋体" w:hAnsi="宋体" w:eastAsia="宋体" w:cs="宋体"/>
          <w:b/>
          <w:color w:val="auto"/>
          <w:kern w:val="44"/>
          <w:szCs w:val="28"/>
          <w:highlight w:val="none"/>
        </w:rPr>
      </w:pPr>
      <w:r>
        <w:rPr>
          <w:rFonts w:hint="eastAsia" w:ascii="宋体" w:hAnsi="宋体" w:eastAsia="宋体" w:cs="宋体"/>
          <w:b/>
          <w:color w:val="auto"/>
          <w:kern w:val="44"/>
          <w:sz w:val="36"/>
          <w:szCs w:val="36"/>
          <w:highlight w:val="none"/>
        </w:rPr>
        <w:t>目    录</w:t>
      </w:r>
    </w:p>
    <w:p>
      <w:pPr>
        <w:pStyle w:val="14"/>
        <w:spacing w:line="360" w:lineRule="auto"/>
        <w:jc w:val="center"/>
        <w:rPr>
          <w:rFonts w:hint="eastAsia" w:ascii="宋体" w:hAnsi="宋体" w:eastAsia="宋体" w:cs="宋体"/>
          <w:b/>
          <w:color w:val="auto"/>
          <w:kern w:val="44"/>
          <w:szCs w:val="28"/>
          <w:highlight w:val="none"/>
        </w:rPr>
      </w:pPr>
    </w:p>
    <w:p>
      <w:pPr>
        <w:pStyle w:val="14"/>
        <w:numPr>
          <w:ilvl w:val="0"/>
          <w:numId w:val="1"/>
        </w:num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r>
        <w:rPr>
          <w:rFonts w:hint="eastAsia" w:ascii="宋体" w:hAnsi="宋体" w:eastAsia="宋体" w:cs="宋体"/>
          <w:color w:val="auto"/>
          <w:sz w:val="28"/>
          <w:szCs w:val="28"/>
          <w:highlight w:val="none"/>
          <w:lang w:eastAsia="zh-CN"/>
        </w:rPr>
        <w:t>竞争性磋商公告</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第二章  磋商响应供应商须知前附表</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第三章  磋商响应供应商须知</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（一）总则</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（二）竞争性磋商文件</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（三）磋商响应供应商</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（四）磋商响应文件的编制</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（五）磋商响应文件的递交</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（六）开标</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（七）评标定标</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（八）废标</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（九）评标办法</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（十）合同的签订、履行及验收</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第四章  项目需求</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第五章  采购合同</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第六章 竞争性磋商文件格式</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（一）资格、技术商务部分</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（二）报价部分</w:t>
      </w:r>
    </w:p>
    <w:p>
      <w:pPr>
        <w:spacing w:line="360" w:lineRule="auto"/>
        <w:rPr>
          <w:rFonts w:hint="eastAsia" w:ascii="宋体" w:hAnsi="宋体" w:eastAsia="宋体" w:cs="宋体"/>
          <w:color w:val="auto"/>
          <w:sz w:val="28"/>
          <w:szCs w:val="28"/>
          <w:highlight w:val="none"/>
        </w:rPr>
      </w:pPr>
    </w:p>
    <w:p>
      <w:pPr>
        <w:pStyle w:val="6"/>
        <w:spacing w:line="360" w:lineRule="auto"/>
        <w:jc w:val="center"/>
        <w:rPr>
          <w:rFonts w:hint="eastAsia" w:ascii="宋体" w:hAnsi="宋体" w:eastAsia="宋体" w:cs="宋体"/>
          <w:color w:val="auto"/>
          <w:highlight w:val="none"/>
          <w:lang w:eastAsia="zh-CN"/>
        </w:rPr>
      </w:pPr>
      <w:r>
        <w:rPr>
          <w:rFonts w:hint="eastAsia" w:ascii="宋体" w:hAnsi="宋体" w:eastAsia="宋体" w:cs="宋体"/>
          <w:color w:val="auto"/>
          <w:highlight w:val="none"/>
        </w:rPr>
        <w:t xml:space="preserve">第一章 </w:t>
      </w:r>
      <w:r>
        <w:rPr>
          <w:rFonts w:hint="eastAsia" w:ascii="宋体" w:hAnsi="宋体" w:eastAsia="宋体" w:cs="宋体"/>
          <w:color w:val="auto"/>
          <w:highlight w:val="none"/>
          <w:lang w:eastAsia="zh-CN"/>
        </w:rPr>
        <w:t>竞争性磋商公告</w:t>
      </w:r>
    </w:p>
    <w:p>
      <w:pPr>
        <w:widowControl/>
        <w:shd w:val="clear" w:color="auto" w:fill="FFFFFF"/>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一、项目基本情况</w:t>
      </w:r>
    </w:p>
    <w:p>
      <w:pPr>
        <w:widowControl/>
        <w:shd w:val="clear" w:color="auto" w:fill="FFFFFF"/>
        <w:spacing w:line="360" w:lineRule="auto"/>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1.项目编号：</w:t>
      </w:r>
      <w:r>
        <w:rPr>
          <w:rFonts w:hint="eastAsia" w:ascii="宋体" w:hAnsi="宋体" w:cs="宋体"/>
          <w:color w:val="auto"/>
          <w:kern w:val="0"/>
          <w:sz w:val="24"/>
          <w:szCs w:val="24"/>
          <w:highlight w:val="none"/>
          <w:lang w:val="en-US" w:eastAsia="zh-CN"/>
        </w:rPr>
        <w:t>tlxyzb</w:t>
      </w:r>
      <w:r>
        <w:rPr>
          <w:rFonts w:hint="eastAsia" w:ascii="宋体" w:hAnsi="宋体" w:eastAsia="宋体" w:cs="宋体"/>
          <w:color w:val="auto"/>
          <w:kern w:val="0"/>
          <w:sz w:val="24"/>
          <w:szCs w:val="24"/>
          <w:highlight w:val="none"/>
          <w:lang w:val="en-US" w:eastAsia="zh-CN"/>
        </w:rPr>
        <w:t>[202</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lang w:val="en-US" w:eastAsia="zh-CN"/>
        </w:rPr>
        <w:t>]</w:t>
      </w:r>
      <w:r>
        <w:rPr>
          <w:rFonts w:hint="eastAsia" w:ascii="宋体" w:hAnsi="宋体" w:cs="宋体"/>
          <w:color w:val="auto"/>
          <w:kern w:val="0"/>
          <w:sz w:val="24"/>
          <w:szCs w:val="24"/>
          <w:highlight w:val="none"/>
          <w:lang w:val="en-US" w:eastAsia="zh-CN"/>
        </w:rPr>
        <w:t>40</w:t>
      </w:r>
      <w:r>
        <w:rPr>
          <w:rFonts w:hint="eastAsia" w:ascii="宋体" w:hAnsi="宋体" w:eastAsia="宋体" w:cs="宋体"/>
          <w:color w:val="auto"/>
          <w:kern w:val="0"/>
          <w:sz w:val="24"/>
          <w:szCs w:val="24"/>
          <w:highlight w:val="none"/>
          <w:lang w:val="en-US" w:eastAsia="zh-CN"/>
        </w:rPr>
        <w:t xml:space="preserve">号                </w:t>
      </w:r>
    </w:p>
    <w:p>
      <w:pPr>
        <w:widowControl/>
        <w:shd w:val="clear" w:color="auto" w:fill="FFFFFF"/>
        <w:spacing w:line="360" w:lineRule="auto"/>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2.项目名称</w:t>
      </w:r>
      <w:r>
        <w:rPr>
          <w:rFonts w:hint="eastAsia" w:ascii="宋体" w:hAnsi="宋体" w:cs="宋体"/>
          <w:color w:val="auto"/>
          <w:kern w:val="0"/>
          <w:sz w:val="24"/>
          <w:szCs w:val="24"/>
          <w:highlight w:val="none"/>
          <w:lang w:val="en-US" w:eastAsia="zh-CN"/>
        </w:rPr>
        <w:t>：2022年铜陵学院智慧资助系统网络安全等级保护测评采购</w:t>
      </w:r>
    </w:p>
    <w:p>
      <w:pPr>
        <w:widowControl/>
        <w:shd w:val="clear" w:color="auto" w:fill="FFFFFF"/>
        <w:spacing w:line="360" w:lineRule="auto"/>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 xml:space="preserve">3.采购方式：竞争性磋商 </w:t>
      </w:r>
    </w:p>
    <w:p>
      <w:pPr>
        <w:widowControl/>
        <w:shd w:val="clear" w:color="auto" w:fill="FFFFFF"/>
        <w:spacing w:line="360" w:lineRule="auto"/>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4.预算金额：</w:t>
      </w:r>
      <w:r>
        <w:rPr>
          <w:rFonts w:hint="eastAsia" w:ascii="宋体" w:hAnsi="宋体" w:cs="宋体"/>
          <w:color w:val="auto"/>
          <w:kern w:val="0"/>
          <w:sz w:val="24"/>
          <w:szCs w:val="24"/>
          <w:highlight w:val="none"/>
          <w:lang w:val="en-US" w:eastAsia="zh-CN"/>
        </w:rPr>
        <w:t>5万</w:t>
      </w:r>
      <w:r>
        <w:rPr>
          <w:rFonts w:hint="eastAsia" w:ascii="宋体" w:hAnsi="宋体" w:eastAsia="宋体" w:cs="宋体"/>
          <w:color w:val="auto"/>
          <w:kern w:val="0"/>
          <w:sz w:val="24"/>
          <w:szCs w:val="24"/>
          <w:highlight w:val="none"/>
          <w:lang w:val="en-US" w:eastAsia="zh-CN"/>
        </w:rPr>
        <w:t>元</w:t>
      </w:r>
    </w:p>
    <w:p>
      <w:pPr>
        <w:widowControl/>
        <w:shd w:val="clear" w:color="auto" w:fill="FFFFFF"/>
        <w:spacing w:line="360" w:lineRule="auto"/>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5.最高限价：</w:t>
      </w:r>
      <w:r>
        <w:rPr>
          <w:rFonts w:hint="eastAsia" w:ascii="宋体" w:hAnsi="宋体" w:cs="宋体"/>
          <w:color w:val="auto"/>
          <w:kern w:val="0"/>
          <w:sz w:val="24"/>
          <w:szCs w:val="24"/>
          <w:highlight w:val="none"/>
          <w:lang w:val="en-US" w:eastAsia="zh-CN"/>
        </w:rPr>
        <w:t>5万</w:t>
      </w:r>
      <w:r>
        <w:rPr>
          <w:rFonts w:hint="eastAsia" w:ascii="宋体" w:hAnsi="宋体" w:eastAsia="宋体" w:cs="宋体"/>
          <w:color w:val="auto"/>
          <w:kern w:val="0"/>
          <w:sz w:val="24"/>
          <w:szCs w:val="24"/>
          <w:highlight w:val="none"/>
          <w:lang w:val="en-US" w:eastAsia="zh-CN"/>
        </w:rPr>
        <w:t>元</w:t>
      </w:r>
    </w:p>
    <w:p>
      <w:pPr>
        <w:adjustRightInd w:val="0"/>
        <w:snapToGrid w:val="0"/>
        <w:spacing w:line="420" w:lineRule="exact"/>
        <w:ind w:firstLine="480" w:firstLineChars="20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6.项目基本情况</w:t>
      </w:r>
      <w:r>
        <w:rPr>
          <w:rFonts w:hint="eastAsia" w:ascii="宋体" w:hAnsi="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lang w:val="en-US" w:eastAsia="zh-CN"/>
        </w:rPr>
        <w:t>智慧资助系统是面向学生资助工作日常管理的服务平台，实现从资助业务管理、智慧资助分析与学生预警跟踪的闭环管理，覆盖贫困生认定、奖学金、助学金、困难补助、勤工助学、助学贷款、学费减免、“绿色通道”以及学生智慧资助分析等。我校智慧资助系统于2021年11月验收，但没有经过等级保护测评，极有可能存在网络与信息安全隐患。</w:t>
      </w:r>
      <w:r>
        <w:rPr>
          <w:rFonts w:hint="eastAsia" w:ascii="宋体" w:hAnsi="宋体" w:cs="宋体"/>
          <w:color w:val="auto"/>
          <w:sz w:val="24"/>
        </w:rPr>
        <w:t>铜陵学院智慧资助系统实施网络安全等级保护测评，以进一步完善信息系统安全管理体系和技术防护体系，切实提高系统信息安全防护能力。</w:t>
      </w:r>
      <w:r>
        <w:rPr>
          <w:rFonts w:hint="eastAsia" w:ascii="宋体" w:hAnsi="宋体" w:cs="宋体"/>
          <w:color w:val="auto"/>
          <w:kern w:val="0"/>
          <w:sz w:val="24"/>
          <w:szCs w:val="24"/>
          <w:highlight w:val="none"/>
          <w:lang w:val="en-US" w:eastAsia="zh-CN"/>
        </w:rPr>
        <w:t>其他内容</w:t>
      </w:r>
      <w:r>
        <w:rPr>
          <w:rFonts w:hint="eastAsia" w:ascii="宋体" w:hAnsi="宋体" w:eastAsia="宋体" w:cs="宋体"/>
          <w:color w:val="auto"/>
          <w:kern w:val="0"/>
          <w:sz w:val="24"/>
          <w:szCs w:val="24"/>
          <w:highlight w:val="none"/>
          <w:lang w:val="en-US" w:eastAsia="zh-CN"/>
        </w:rPr>
        <w:t>详见项目需求。</w:t>
      </w:r>
    </w:p>
    <w:p>
      <w:pPr>
        <w:widowControl/>
        <w:shd w:val="clear" w:color="auto" w:fill="FFFFFF"/>
        <w:spacing w:line="360" w:lineRule="auto"/>
        <w:ind w:firstLine="480" w:firstLineChars="200"/>
        <w:rPr>
          <w:rFonts w:hint="eastAsia" w:ascii="宋体" w:hAnsi="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7.服务期：</w:t>
      </w:r>
      <w:r>
        <w:rPr>
          <w:rFonts w:hint="eastAsia" w:ascii="宋体" w:hAnsi="宋体" w:cs="宋体"/>
          <w:color w:val="auto"/>
          <w:kern w:val="0"/>
          <w:sz w:val="24"/>
          <w:szCs w:val="24"/>
          <w:highlight w:val="none"/>
          <w:lang w:val="en-US" w:eastAsia="zh-CN"/>
        </w:rPr>
        <w:t>（1）中标人需要在中标公示期满之后5个工作日之内完成定级备案工作并取得公安部门颁发的备案证明；</w:t>
      </w:r>
    </w:p>
    <w:p>
      <w:pPr>
        <w:widowControl/>
        <w:shd w:val="clear" w:color="auto" w:fill="FFFFFF"/>
        <w:spacing w:line="360" w:lineRule="auto"/>
        <w:ind w:firstLine="480" w:firstLineChars="200"/>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（2）取得备案证明之后5个工作日之内完成初次测评工作并出具整改建议；</w:t>
      </w:r>
    </w:p>
    <w:p>
      <w:pPr>
        <w:widowControl/>
        <w:shd w:val="clear" w:color="auto" w:fill="FFFFFF"/>
        <w:spacing w:line="360" w:lineRule="auto"/>
        <w:ind w:firstLine="480" w:firstLineChars="200"/>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（3）校方整改完成后，中标人须在20工作日之内出具正式《测评报告》。</w:t>
      </w:r>
    </w:p>
    <w:p>
      <w:pPr>
        <w:widowControl/>
        <w:shd w:val="clear" w:color="auto" w:fill="FFFFFF"/>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标段（包别）划分：一个标段</w:t>
      </w:r>
    </w:p>
    <w:p>
      <w:pPr>
        <w:widowControl/>
        <w:shd w:val="clear" w:color="auto" w:fill="FFFFFF"/>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9.</w:t>
      </w:r>
      <w:r>
        <w:rPr>
          <w:rFonts w:hint="eastAsia" w:ascii="宋体" w:hAnsi="宋体" w:eastAsia="宋体" w:cs="宋体"/>
          <w:color w:val="auto"/>
          <w:kern w:val="0"/>
          <w:sz w:val="24"/>
          <w:szCs w:val="24"/>
          <w:highlight w:val="none"/>
        </w:rPr>
        <w:t>本项目不接受联合体投标。</w:t>
      </w:r>
    </w:p>
    <w:p>
      <w:pPr>
        <w:widowControl/>
        <w:shd w:val="clear" w:color="auto" w:fill="FFFFFF"/>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二、投标供应商资格</w:t>
      </w:r>
    </w:p>
    <w:p>
      <w:pPr>
        <w:spacing w:line="360" w:lineRule="auto"/>
        <w:ind w:firstLine="480" w:firstLineChars="200"/>
        <w:jc w:val="both"/>
        <w:textAlignment w:val="baseline"/>
        <w:rPr>
          <w:rStyle w:val="15"/>
          <w:rFonts w:hint="eastAsia" w:ascii="宋体" w:hAnsi="宋体" w:cs="宋体"/>
          <w:color w:val="auto"/>
          <w:sz w:val="24"/>
          <w:highlight w:val="none"/>
          <w:lang w:val="en-US" w:eastAsia="zh-CN"/>
        </w:rPr>
      </w:pPr>
      <w:r>
        <w:rPr>
          <w:rStyle w:val="15"/>
          <w:rFonts w:hint="eastAsia" w:ascii="宋体" w:hAnsi="宋体" w:cs="宋体"/>
          <w:color w:val="auto"/>
          <w:sz w:val="24"/>
          <w:highlight w:val="none"/>
          <w:lang w:val="en-US" w:eastAsia="zh-CN"/>
        </w:rPr>
        <w:t>1.满足《中华人民共和国政府采购法》第二十二条规定；</w:t>
      </w:r>
    </w:p>
    <w:p>
      <w:pPr>
        <w:spacing w:line="360" w:lineRule="auto"/>
        <w:ind w:firstLine="480" w:firstLineChars="200"/>
        <w:jc w:val="both"/>
        <w:textAlignment w:val="baseline"/>
        <w:rPr>
          <w:rStyle w:val="15"/>
          <w:rFonts w:hint="eastAsia" w:ascii="宋体" w:hAnsi="宋体" w:cs="宋体"/>
          <w:color w:val="auto"/>
          <w:sz w:val="24"/>
          <w:highlight w:val="none"/>
          <w:lang w:val="en-US" w:eastAsia="zh-CN"/>
        </w:rPr>
      </w:pPr>
      <w:r>
        <w:rPr>
          <w:rStyle w:val="15"/>
          <w:rFonts w:hint="eastAsia" w:ascii="宋体" w:hAnsi="宋体" w:cs="宋体"/>
          <w:color w:val="auto"/>
          <w:sz w:val="24"/>
          <w:highlight w:val="none"/>
          <w:lang w:val="en-US" w:eastAsia="zh-CN"/>
        </w:rPr>
        <w:t>2.具备《计算机信息系统企业集成资质证书》；对于测评机构的人员要求具备公安部认可的等级保护测评服务人员资格认证，等保测评服务机构或单位要求其具备公安部认可的测评服务单位资质认证。</w:t>
      </w:r>
    </w:p>
    <w:p>
      <w:pPr>
        <w:spacing w:line="360" w:lineRule="auto"/>
        <w:ind w:firstLine="480" w:firstLineChars="200"/>
        <w:jc w:val="both"/>
        <w:textAlignment w:val="baseline"/>
        <w:rPr>
          <w:rStyle w:val="15"/>
          <w:rFonts w:hint="eastAsia" w:ascii="宋体" w:hAnsi="宋体" w:cs="宋体"/>
          <w:color w:val="auto"/>
          <w:sz w:val="24"/>
          <w:highlight w:val="none"/>
          <w:lang w:val="en-US" w:eastAsia="zh-CN"/>
        </w:rPr>
      </w:pPr>
      <w:r>
        <w:rPr>
          <w:rStyle w:val="15"/>
          <w:rFonts w:hint="eastAsia" w:ascii="宋体" w:hAnsi="宋体" w:cs="宋体"/>
          <w:color w:val="auto"/>
          <w:sz w:val="24"/>
          <w:highlight w:val="none"/>
          <w:lang w:val="en-US" w:eastAsia="zh-CN"/>
        </w:rPr>
        <w:t>3.落实政府采购政策需满足的资格要求：本项目非专门面向中小企业采购。</w:t>
      </w:r>
    </w:p>
    <w:p>
      <w:pPr>
        <w:spacing w:line="360" w:lineRule="auto"/>
        <w:ind w:firstLine="480" w:firstLineChars="200"/>
        <w:jc w:val="both"/>
        <w:textAlignment w:val="baseline"/>
        <w:rPr>
          <w:rStyle w:val="15"/>
          <w:rFonts w:hint="eastAsia" w:ascii="宋体" w:hAnsi="宋体" w:cs="宋体"/>
          <w:color w:val="auto"/>
          <w:sz w:val="24"/>
          <w:highlight w:val="none"/>
          <w:lang w:val="en-US" w:eastAsia="zh-CN"/>
        </w:rPr>
      </w:pPr>
      <w:r>
        <w:rPr>
          <w:rStyle w:val="15"/>
          <w:rFonts w:hint="eastAsia" w:ascii="宋体" w:hAnsi="宋体" w:cs="宋体"/>
          <w:color w:val="auto"/>
          <w:sz w:val="24"/>
          <w:highlight w:val="none"/>
          <w:lang w:val="en-US" w:eastAsia="zh-CN"/>
        </w:rPr>
        <w:t>4.供应商存在以下不良信用记录情形之一的，不得推荐为成交候选人，不得确定为成交供应商：</w:t>
      </w:r>
    </w:p>
    <w:p>
      <w:pPr>
        <w:spacing w:line="360" w:lineRule="auto"/>
        <w:ind w:firstLine="480" w:firstLineChars="200"/>
        <w:jc w:val="both"/>
        <w:textAlignment w:val="baseline"/>
        <w:rPr>
          <w:rStyle w:val="15"/>
          <w:rFonts w:hint="eastAsia" w:ascii="宋体" w:hAnsi="宋体" w:eastAsia="宋体" w:cs="宋体"/>
          <w:color w:val="auto"/>
          <w:kern w:val="2"/>
          <w:sz w:val="24"/>
          <w:szCs w:val="24"/>
          <w:highlight w:val="none"/>
          <w:lang w:val="en-US" w:eastAsia="zh-CN" w:bidi="ar-SA"/>
        </w:rPr>
      </w:pPr>
      <w:r>
        <w:rPr>
          <w:rStyle w:val="15"/>
          <w:rFonts w:hint="eastAsia" w:ascii="宋体" w:hAnsi="宋体" w:eastAsia="宋体" w:cs="宋体"/>
          <w:color w:val="auto"/>
          <w:kern w:val="2"/>
          <w:sz w:val="24"/>
          <w:szCs w:val="24"/>
          <w:highlight w:val="none"/>
          <w:lang w:val="en-US" w:eastAsia="zh-CN" w:bidi="ar-SA"/>
        </w:rPr>
        <w:t>(1）供应商被人民法院列入失信被执行人的；</w:t>
      </w:r>
    </w:p>
    <w:p>
      <w:pPr>
        <w:widowControl/>
        <w:shd w:val="clear" w:color="auto" w:fill="FFFFFF"/>
        <w:spacing w:line="360" w:lineRule="auto"/>
        <w:ind w:firstLine="480" w:firstLineChars="200"/>
        <w:jc w:val="both"/>
        <w:textAlignment w:val="baseline"/>
        <w:rPr>
          <w:rStyle w:val="15"/>
          <w:rFonts w:hint="eastAsia" w:ascii="宋体" w:hAnsi="宋体" w:eastAsia="宋体" w:cs="宋体"/>
          <w:color w:val="auto"/>
          <w:kern w:val="2"/>
          <w:sz w:val="24"/>
          <w:szCs w:val="24"/>
          <w:highlight w:val="none"/>
          <w:lang w:val="en-US" w:eastAsia="zh-CN" w:bidi="ar-SA"/>
        </w:rPr>
      </w:pPr>
      <w:r>
        <w:rPr>
          <w:rStyle w:val="15"/>
          <w:rFonts w:hint="eastAsia" w:ascii="宋体" w:hAnsi="宋体" w:eastAsia="宋体" w:cs="宋体"/>
          <w:color w:val="auto"/>
          <w:kern w:val="2"/>
          <w:sz w:val="24"/>
          <w:szCs w:val="24"/>
          <w:highlight w:val="none"/>
          <w:lang w:val="en-US" w:eastAsia="zh-CN" w:bidi="ar-SA"/>
        </w:rPr>
        <w:t>(2）供应商或其法定代表人近三年内被人民检察院列入行贿犯罪档案的；</w:t>
      </w:r>
    </w:p>
    <w:p>
      <w:pPr>
        <w:widowControl/>
        <w:shd w:val="clear" w:color="auto" w:fill="FFFFFF"/>
        <w:spacing w:line="360" w:lineRule="auto"/>
        <w:ind w:firstLine="480" w:firstLineChars="200"/>
        <w:jc w:val="both"/>
        <w:textAlignment w:val="baseline"/>
        <w:rPr>
          <w:rStyle w:val="15"/>
          <w:rFonts w:hint="eastAsia" w:ascii="宋体" w:hAnsi="宋体" w:eastAsia="宋体" w:cs="宋体"/>
          <w:color w:val="auto"/>
          <w:kern w:val="2"/>
          <w:sz w:val="24"/>
          <w:szCs w:val="24"/>
          <w:highlight w:val="none"/>
          <w:lang w:val="en-US" w:eastAsia="zh-CN" w:bidi="ar-SA"/>
        </w:rPr>
      </w:pPr>
      <w:r>
        <w:rPr>
          <w:rStyle w:val="15"/>
          <w:rFonts w:hint="eastAsia" w:ascii="宋体" w:hAnsi="宋体" w:eastAsia="宋体" w:cs="宋体"/>
          <w:color w:val="auto"/>
          <w:kern w:val="2"/>
          <w:sz w:val="24"/>
          <w:szCs w:val="24"/>
          <w:highlight w:val="none"/>
          <w:lang w:val="en-US" w:eastAsia="zh-CN" w:bidi="ar-SA"/>
        </w:rPr>
        <w:t>(3）供应商被工商行政管理部门列入企业经营异常名录的；</w:t>
      </w:r>
    </w:p>
    <w:p>
      <w:pPr>
        <w:widowControl/>
        <w:shd w:val="clear" w:color="auto" w:fill="FFFFFF"/>
        <w:spacing w:line="360" w:lineRule="auto"/>
        <w:ind w:firstLine="480" w:firstLineChars="200"/>
        <w:jc w:val="both"/>
        <w:textAlignment w:val="baseline"/>
        <w:rPr>
          <w:rStyle w:val="15"/>
          <w:rFonts w:hint="eastAsia" w:ascii="宋体" w:hAnsi="宋体" w:eastAsia="宋体" w:cs="宋体"/>
          <w:color w:val="auto"/>
          <w:kern w:val="2"/>
          <w:sz w:val="24"/>
          <w:szCs w:val="24"/>
          <w:highlight w:val="none"/>
          <w:lang w:val="en-US" w:eastAsia="zh-CN" w:bidi="ar-SA"/>
        </w:rPr>
      </w:pPr>
      <w:r>
        <w:rPr>
          <w:rStyle w:val="15"/>
          <w:rFonts w:hint="eastAsia" w:ascii="宋体" w:hAnsi="宋体" w:eastAsia="宋体" w:cs="宋体"/>
          <w:color w:val="auto"/>
          <w:kern w:val="2"/>
          <w:sz w:val="24"/>
          <w:szCs w:val="24"/>
          <w:highlight w:val="none"/>
          <w:lang w:val="en-US" w:eastAsia="zh-CN" w:bidi="ar-SA"/>
        </w:rPr>
        <w:t>(4）供应商被税务部门列入重大税收违法案件当事人名单的；</w:t>
      </w:r>
    </w:p>
    <w:p>
      <w:pPr>
        <w:spacing w:line="360" w:lineRule="auto"/>
        <w:ind w:firstLine="480" w:firstLineChars="200"/>
        <w:jc w:val="both"/>
        <w:textAlignment w:val="baseline"/>
        <w:rPr>
          <w:rStyle w:val="15"/>
          <w:rFonts w:hint="eastAsia" w:ascii="宋体" w:hAnsi="宋体" w:eastAsia="宋体" w:cs="宋体"/>
          <w:color w:val="auto"/>
          <w:kern w:val="2"/>
          <w:sz w:val="24"/>
          <w:szCs w:val="24"/>
          <w:highlight w:val="none"/>
          <w:lang w:val="en-US" w:eastAsia="zh-CN" w:bidi="ar-SA"/>
        </w:rPr>
      </w:pPr>
      <w:r>
        <w:rPr>
          <w:rStyle w:val="15"/>
          <w:rFonts w:hint="eastAsia" w:ascii="宋体" w:hAnsi="宋体" w:eastAsia="宋体" w:cs="宋体"/>
          <w:color w:val="auto"/>
          <w:kern w:val="2"/>
          <w:sz w:val="24"/>
          <w:szCs w:val="24"/>
          <w:highlight w:val="none"/>
          <w:lang w:val="en-US" w:eastAsia="zh-CN" w:bidi="ar-SA"/>
        </w:rPr>
        <w:t>(5）供应商被政府采购监管部门列入政府采购严重违法失信行为记录名单的。</w:t>
      </w:r>
    </w:p>
    <w:p>
      <w:pPr>
        <w:widowControl/>
        <w:shd w:val="clear" w:color="auto" w:fill="auto"/>
        <w:spacing w:line="360" w:lineRule="auto"/>
        <w:ind w:firstLine="480" w:firstLineChars="200"/>
        <w:jc w:val="left"/>
        <w:rPr>
          <w:rFonts w:hint="eastAsia" w:ascii="宋体" w:hAnsi="宋体" w:cs="宋体"/>
          <w:color w:val="auto"/>
          <w:sz w:val="24"/>
          <w:highlight w:val="none"/>
          <w:lang w:val="en-US" w:eastAsia="zh-CN"/>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被铜陵市公共资源交易监管部门记录的不良行为累计分值在 10 分（含）-15 分（不含），且最近一次不良行为记录公布日距开标日未超过 3 个月；</w:t>
      </w:r>
    </w:p>
    <w:p>
      <w:pPr>
        <w:widowControl/>
        <w:shd w:val="clear" w:color="auto" w:fill="auto"/>
        <w:spacing w:line="360" w:lineRule="auto"/>
        <w:ind w:firstLine="480" w:firstLineChars="200"/>
        <w:jc w:val="left"/>
        <w:rPr>
          <w:rFonts w:hint="eastAsia" w:ascii="宋体" w:hAnsi="宋体" w:cs="宋体"/>
          <w:color w:val="auto"/>
          <w:sz w:val="24"/>
          <w:highlight w:val="none"/>
          <w:lang w:val="en-US" w:eastAsia="zh-CN"/>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被铜陵市公共资源交易监管部门记不良行为记录累计分值在 15 分（含）-20 分（不含），且最近一次不良行为记录公布日距开标日未超过 6 个月；</w:t>
      </w:r>
    </w:p>
    <w:p>
      <w:pPr>
        <w:widowControl/>
        <w:shd w:val="clear" w:color="auto" w:fill="auto"/>
        <w:spacing w:line="360" w:lineRule="auto"/>
        <w:ind w:firstLine="480" w:firstLineChars="200"/>
        <w:jc w:val="left"/>
        <w:rPr>
          <w:rFonts w:hint="eastAsia" w:ascii="宋体" w:hAnsi="宋体" w:cs="宋体"/>
          <w:color w:val="auto"/>
          <w:sz w:val="24"/>
          <w:highlight w:val="none"/>
          <w:lang w:val="en-US" w:eastAsia="zh-CN"/>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8</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被铜陵市公共资源交易监管部门记不良行为记录累计分值达 20 分（含）以上，且最近一次不良行为记录公布日距开标日未超过 12 个月。</w:t>
      </w:r>
    </w:p>
    <w:p>
      <w:pPr>
        <w:widowControl/>
        <w:shd w:val="clear" w:color="auto" w:fill="FFFFFF"/>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三、获取采购文件</w:t>
      </w:r>
    </w:p>
    <w:p>
      <w:pPr>
        <w:widowControl/>
        <w:shd w:val="clear" w:color="auto" w:fill="FFFFFF"/>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1、获取时间：2022年6月15日至投标截止期前。</w:t>
      </w:r>
    </w:p>
    <w:p>
      <w:pPr>
        <w:widowControl/>
        <w:shd w:val="clear" w:color="auto" w:fill="FFFFFF"/>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2、获取地址：铜陵学院官网（www.tlu.edu.cn）自行下载。</w:t>
      </w:r>
    </w:p>
    <w:p>
      <w:pPr>
        <w:widowControl/>
        <w:shd w:val="clear" w:color="auto" w:fill="FFFFFF"/>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四、响应文件提交</w:t>
      </w:r>
    </w:p>
    <w:p>
      <w:pPr>
        <w:widowControl/>
        <w:shd w:val="clear" w:color="auto" w:fill="FFFFFF"/>
        <w:spacing w:line="360" w:lineRule="auto"/>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1.标书递交时间：凡符合投标资格、有意向的投标单位，均为被询价对象。请有意参与投标报价的单位于2022年6月27日上午11：00前。</w:t>
      </w:r>
    </w:p>
    <w:p>
      <w:pPr>
        <w:widowControl/>
        <w:shd w:val="clear" w:color="auto" w:fill="FFFFFF"/>
        <w:spacing w:line="360" w:lineRule="auto"/>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2.递交地点：铜陵学院翠湖校区南大门值班室，联系人：胡老师（13955931061）。</w:t>
      </w:r>
    </w:p>
    <w:p>
      <w:pPr>
        <w:widowControl/>
        <w:shd w:val="clear" w:color="auto" w:fill="FFFFFF"/>
        <w:spacing w:line="360" w:lineRule="auto"/>
        <w:ind w:firstLine="480" w:firstLineChars="200"/>
        <w:rPr>
          <w:rFonts w:hint="eastAsia" w:ascii="宋体" w:hAnsi="宋体" w:eastAsia="宋体" w:cs="宋体"/>
          <w:color w:val="C00000"/>
          <w:kern w:val="0"/>
          <w:sz w:val="24"/>
          <w:szCs w:val="24"/>
          <w:highlight w:val="none"/>
          <w:lang w:val="en-US" w:eastAsia="zh-CN"/>
        </w:rPr>
      </w:pPr>
      <w:r>
        <w:rPr>
          <w:rFonts w:hint="eastAsia" w:ascii="宋体" w:hAnsi="宋体" w:eastAsia="宋体" w:cs="宋体"/>
          <w:color w:val="C00000"/>
          <w:kern w:val="0"/>
          <w:sz w:val="24"/>
          <w:szCs w:val="24"/>
          <w:highlight w:val="none"/>
          <w:lang w:val="en-US" w:eastAsia="zh-CN"/>
        </w:rPr>
        <w:t>（因新冠肺炎疫情防控要求，请投标人在2022年6月27日上午8:30-11:00期间投递投标函，其它时段不接收）递交投标文件。</w:t>
      </w:r>
    </w:p>
    <w:p>
      <w:pPr>
        <w:widowControl/>
        <w:shd w:val="clear" w:color="auto" w:fill="FFFFFF"/>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五、其他补充事宜</w:t>
      </w:r>
    </w:p>
    <w:p>
      <w:pPr>
        <w:widowControl/>
        <w:shd w:val="clear" w:color="auto" w:fill="FFFFFF"/>
        <w:spacing w:line="360" w:lineRule="auto"/>
        <w:ind w:firstLine="480" w:firstLineChars="200"/>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采购项目的名称、编号、数量、简要规格描述或项目基本概况介绍详见采购需求</w:t>
      </w:r>
      <w:r>
        <w:rPr>
          <w:rFonts w:hint="eastAsia" w:ascii="宋体" w:hAnsi="宋体" w:eastAsia="宋体" w:cs="宋体"/>
          <w:color w:val="auto"/>
          <w:kern w:val="0"/>
          <w:sz w:val="24"/>
          <w:szCs w:val="24"/>
          <w:highlight w:val="none"/>
          <w:lang w:eastAsia="zh-CN"/>
        </w:rPr>
        <w:t>。</w:t>
      </w:r>
    </w:p>
    <w:p>
      <w:pPr>
        <w:widowControl/>
        <w:shd w:val="clear" w:color="auto" w:fill="FFFFFF"/>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cs="宋体"/>
          <w:b/>
          <w:bCs/>
          <w:color w:val="auto"/>
          <w:kern w:val="0"/>
          <w:sz w:val="24"/>
          <w:szCs w:val="24"/>
          <w:highlight w:val="none"/>
          <w:lang w:val="en-US" w:eastAsia="zh-CN"/>
        </w:rPr>
        <w:t>六</w:t>
      </w:r>
      <w:r>
        <w:rPr>
          <w:rFonts w:hint="eastAsia" w:ascii="宋体" w:hAnsi="宋体" w:eastAsia="宋体" w:cs="宋体"/>
          <w:b/>
          <w:bCs/>
          <w:color w:val="auto"/>
          <w:kern w:val="0"/>
          <w:sz w:val="24"/>
          <w:szCs w:val="24"/>
          <w:highlight w:val="none"/>
        </w:rPr>
        <w:t>、联系方法</w:t>
      </w:r>
    </w:p>
    <w:p>
      <w:pPr>
        <w:widowControl/>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1.采购人信息</w:t>
      </w:r>
    </w:p>
    <w:p>
      <w:pPr>
        <w:spacing w:line="360" w:lineRule="auto"/>
        <w:ind w:firstLine="480" w:firstLineChars="200"/>
        <w:jc w:val="left"/>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名 称：</w:t>
      </w:r>
      <w:r>
        <w:rPr>
          <w:rFonts w:hint="eastAsia" w:ascii="宋体" w:hAnsi="宋体" w:cs="宋体"/>
          <w:color w:val="auto"/>
          <w:sz w:val="24"/>
          <w:szCs w:val="24"/>
          <w:highlight w:val="none"/>
          <w:u w:val="single"/>
          <w:lang w:eastAsia="zh-CN"/>
        </w:rPr>
        <w:t xml:space="preserve"> </w:t>
      </w:r>
      <w:r>
        <w:rPr>
          <w:rFonts w:hint="eastAsia" w:ascii="宋体" w:hAnsi="宋体" w:cs="宋体"/>
          <w:color w:val="auto"/>
          <w:sz w:val="24"/>
          <w:szCs w:val="24"/>
          <w:highlight w:val="none"/>
          <w:u w:val="single"/>
          <w:lang w:val="en-US" w:eastAsia="zh-CN"/>
        </w:rPr>
        <w:t xml:space="preserve">铜陵学院                    </w:t>
      </w:r>
      <w:r>
        <w:rPr>
          <w:rFonts w:hint="eastAsia" w:ascii="宋体" w:hAnsi="宋体" w:eastAsia="宋体" w:cs="宋体"/>
          <w:color w:val="auto"/>
          <w:sz w:val="24"/>
          <w:szCs w:val="24"/>
          <w:highlight w:val="none"/>
          <w:u w:val="single"/>
          <w:lang w:val="en-US" w:eastAsia="zh-CN"/>
        </w:rPr>
        <w:t xml:space="preserve"> </w:t>
      </w:r>
    </w:p>
    <w:p>
      <w:pP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程老师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p>
    <w:p>
      <w:pPr>
        <w:spacing w:line="360" w:lineRule="auto"/>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联系方式</w:t>
      </w:r>
      <w:r>
        <w:rPr>
          <w:rFonts w:hint="eastAsia" w:ascii="宋体" w:hAnsi="宋体" w:cs="宋体"/>
          <w:color w:val="auto"/>
          <w:sz w:val="24"/>
          <w:szCs w:val="24"/>
          <w:highlight w:val="none"/>
          <w:u w:val="none"/>
          <w:lang w:val="en-US" w:eastAsia="zh-CN"/>
        </w:rPr>
        <w:t>：</w:t>
      </w:r>
      <w:r>
        <w:rPr>
          <w:rFonts w:hint="eastAsia" w:ascii="宋体" w:hAnsi="宋体" w:cs="宋体"/>
          <w:color w:val="auto"/>
          <w:sz w:val="24"/>
          <w:szCs w:val="24"/>
          <w:highlight w:val="none"/>
          <w:u w:val="single"/>
          <w:lang w:val="en-US" w:eastAsia="zh-CN"/>
        </w:rPr>
        <w:t xml:space="preserve">   0562-5881058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bookmarkStart w:id="5" w:name="_Toc28359009"/>
      <w:bookmarkStart w:id="6" w:name="_Toc28359086"/>
    </w:p>
    <w:bookmarkEnd w:id="5"/>
    <w:bookmarkEnd w:id="6"/>
    <w:p>
      <w:pPr>
        <w:numPr>
          <w:ilvl w:val="0"/>
          <w:numId w:val="2"/>
        </w:numPr>
        <w:spacing w:line="360" w:lineRule="auto"/>
        <w:ind w:firstLine="480" w:firstLineChars="200"/>
        <w:jc w:val="left"/>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项目使用管理部门：</w:t>
      </w:r>
      <w:r>
        <w:rPr>
          <w:rFonts w:hint="eastAsia" w:ascii="宋体" w:hAnsi="宋体" w:cs="宋体"/>
          <w:color w:val="auto"/>
          <w:sz w:val="24"/>
          <w:szCs w:val="24"/>
          <w:highlight w:val="none"/>
          <w:u w:val="single"/>
          <w:lang w:eastAsia="zh-CN"/>
        </w:rPr>
        <w:t>铜陵学院学生处</w:t>
      </w:r>
    </w:p>
    <w:p>
      <w:pPr>
        <w:numPr>
          <w:ilvl w:val="0"/>
          <w:numId w:val="2"/>
        </w:numPr>
        <w:spacing w:line="360" w:lineRule="auto"/>
        <w:ind w:firstLine="480" w:firstLineChars="200"/>
        <w:jc w:val="left"/>
        <w:rPr>
          <w:rFonts w:hint="eastAsia" w:ascii="宋体" w:hAnsi="宋体" w:eastAsia="宋体" w:cs="宋体"/>
          <w:color w:val="auto"/>
          <w:sz w:val="28"/>
          <w:szCs w:val="28"/>
          <w:highlight w:val="none"/>
        </w:rPr>
      </w:pPr>
      <w:r>
        <w:rPr>
          <w:rFonts w:hint="eastAsia" w:ascii="宋体" w:hAnsi="宋体" w:cs="宋体"/>
          <w:color w:val="auto"/>
          <w:sz w:val="24"/>
          <w:szCs w:val="24"/>
          <w:highlight w:val="none"/>
          <w:lang w:eastAsia="zh-CN"/>
        </w:rPr>
        <w:t>技术及业务咨询联系人：</w:t>
      </w:r>
      <w:r>
        <w:rPr>
          <w:rFonts w:hint="eastAsia" w:ascii="宋体" w:hAnsi="宋体" w:cs="宋体"/>
          <w:color w:val="auto"/>
          <w:sz w:val="24"/>
          <w:szCs w:val="24"/>
          <w:highlight w:val="none"/>
          <w:u w:val="single"/>
          <w:lang w:eastAsia="zh-CN"/>
        </w:rPr>
        <w:t>张老师（</w:t>
      </w:r>
      <w:r>
        <w:rPr>
          <w:rFonts w:hint="eastAsia" w:ascii="宋体" w:hAnsi="宋体" w:cs="宋体"/>
          <w:color w:val="auto"/>
          <w:sz w:val="24"/>
          <w:szCs w:val="24"/>
          <w:highlight w:val="none"/>
          <w:u w:val="single"/>
          <w:lang w:val="en-US" w:eastAsia="zh-CN"/>
        </w:rPr>
        <w:t>0562-5883641</w:t>
      </w:r>
      <w:r>
        <w:rPr>
          <w:rFonts w:hint="eastAsia" w:ascii="宋体" w:hAnsi="宋体" w:cs="宋体"/>
          <w:color w:val="auto"/>
          <w:sz w:val="24"/>
          <w:szCs w:val="24"/>
          <w:highlight w:val="none"/>
          <w:u w:val="single"/>
          <w:lang w:eastAsia="zh-CN"/>
        </w:rPr>
        <w:t>）</w:t>
      </w:r>
    </w:p>
    <w:p>
      <w:pPr>
        <w:pStyle w:val="16"/>
        <w:wordWrap w:val="0"/>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第二章　供应商须知前附表</w:t>
      </w:r>
    </w:p>
    <w:p>
      <w:pPr>
        <w:spacing w:line="360" w:lineRule="auto"/>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磋商响应供应商须知一览表</w:t>
      </w:r>
    </w:p>
    <w:tbl>
      <w:tblPr>
        <w:tblStyle w:val="12"/>
        <w:tblW w:w="905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04"/>
        <w:gridCol w:w="2920"/>
        <w:gridCol w:w="533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tblHeader/>
          <w:jc w:val="center"/>
        </w:trPr>
        <w:tc>
          <w:tcPr>
            <w:tcW w:w="804" w:type="dxa"/>
            <w:tcMar>
              <w:left w:w="113" w:type="dxa"/>
              <w:right w:w="113" w:type="dxa"/>
            </w:tcMar>
            <w:vAlign w:val="center"/>
          </w:tcPr>
          <w:p>
            <w:pPr>
              <w:pStyle w:val="17"/>
              <w:keepNext w:val="0"/>
              <w:keepLines w:val="0"/>
              <w:suppressLineNumbers w:val="0"/>
              <w:wordWrap w:val="0"/>
              <w:adjustRightInd/>
              <w:snapToGrid w:val="0"/>
              <w:spacing w:before="0" w:beforeAutospacing="0" w:after="0" w:afterAutospacing="0"/>
              <w:ind w:left="0" w:right="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序号</w:t>
            </w:r>
          </w:p>
        </w:tc>
        <w:tc>
          <w:tcPr>
            <w:tcW w:w="2920" w:type="dxa"/>
            <w:tcMar>
              <w:left w:w="113" w:type="dxa"/>
              <w:right w:w="113" w:type="dxa"/>
            </w:tcMar>
            <w:vAlign w:val="center"/>
          </w:tcPr>
          <w:p>
            <w:pPr>
              <w:pStyle w:val="17"/>
              <w:keepNext w:val="0"/>
              <w:keepLines w:val="0"/>
              <w:suppressLineNumbers w:val="0"/>
              <w:wordWrap w:val="0"/>
              <w:adjustRightInd/>
              <w:snapToGrid w:val="0"/>
              <w:spacing w:before="0" w:beforeAutospacing="0" w:after="0" w:afterAutospacing="0"/>
              <w:ind w:left="0" w:right="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条款名称</w:t>
            </w:r>
          </w:p>
        </w:tc>
        <w:tc>
          <w:tcPr>
            <w:tcW w:w="5333" w:type="dxa"/>
            <w:tcMar>
              <w:left w:w="113" w:type="dxa"/>
              <w:right w:w="113" w:type="dxa"/>
            </w:tcMar>
            <w:vAlign w:val="center"/>
          </w:tcPr>
          <w:p>
            <w:pPr>
              <w:pStyle w:val="17"/>
              <w:keepNext w:val="0"/>
              <w:keepLines w:val="0"/>
              <w:suppressLineNumbers w:val="0"/>
              <w:wordWrap w:val="0"/>
              <w:adjustRightInd/>
              <w:snapToGrid w:val="0"/>
              <w:spacing w:before="0" w:beforeAutospacing="0" w:after="0" w:afterAutospacing="0"/>
              <w:ind w:left="0" w:right="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说明和要求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17"/>
              <w:keepNext w:val="0"/>
              <w:keepLines w:val="0"/>
              <w:suppressLineNumbers w:val="0"/>
              <w:wordWrap w:val="0"/>
              <w:adjustRightInd/>
              <w:snapToGrid w:val="0"/>
              <w:spacing w:before="0" w:beforeAutospacing="0" w:after="0" w:afterAutospacing="0"/>
              <w:ind w:left="0" w:right="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1</w:t>
            </w:r>
          </w:p>
        </w:tc>
        <w:tc>
          <w:tcPr>
            <w:tcW w:w="2920" w:type="dxa"/>
            <w:tcMar>
              <w:left w:w="113" w:type="dxa"/>
              <w:right w:w="113" w:type="dxa"/>
            </w:tcMar>
            <w:vAlign w:val="center"/>
          </w:tcPr>
          <w:p>
            <w:pPr>
              <w:pStyle w:val="17"/>
              <w:keepNext w:val="0"/>
              <w:keepLines w:val="0"/>
              <w:suppressLineNumbers w:val="0"/>
              <w:wordWrap w:val="0"/>
              <w:adjustRightInd/>
              <w:snapToGrid w:val="0"/>
              <w:spacing w:before="0" w:beforeAutospacing="0" w:after="0" w:afterAutospacing="0"/>
              <w:ind w:left="0" w:right="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预算控制数</w:t>
            </w:r>
          </w:p>
        </w:tc>
        <w:tc>
          <w:tcPr>
            <w:tcW w:w="5333" w:type="dxa"/>
            <w:tcMar>
              <w:left w:w="113" w:type="dxa"/>
              <w:right w:w="113" w:type="dxa"/>
            </w:tcMar>
            <w:vAlign w:val="center"/>
          </w:tcPr>
          <w:p>
            <w:pPr>
              <w:pStyle w:val="17"/>
              <w:keepNext w:val="0"/>
              <w:keepLines w:val="0"/>
              <w:suppressLineNumbers w:val="0"/>
              <w:wordWrap w:val="0"/>
              <w:adjustRightInd/>
              <w:snapToGrid w:val="0"/>
              <w:spacing w:before="0" w:beforeAutospacing="0" w:after="0" w:afterAutospacing="0"/>
              <w:ind w:left="0" w:right="0"/>
              <w:jc w:val="both"/>
              <w:rPr>
                <w:rFonts w:hint="eastAsia" w:ascii="宋体" w:hAnsi="宋体" w:eastAsia="宋体" w:cs="宋体"/>
                <w:color w:val="auto"/>
                <w:sz w:val="24"/>
                <w:szCs w:val="24"/>
                <w:highlight w:val="none"/>
                <w:lang w:val="zh-CN"/>
              </w:rPr>
            </w:pPr>
            <w:r>
              <w:rPr>
                <w:rFonts w:hint="eastAsia" w:cs="宋体"/>
                <w:color w:val="auto"/>
                <w:kern w:val="0"/>
                <w:sz w:val="24"/>
                <w:szCs w:val="24"/>
                <w:highlight w:val="none"/>
                <w:lang w:val="en-US" w:eastAsia="zh-CN"/>
              </w:rPr>
              <w:t>5万</w:t>
            </w:r>
            <w:r>
              <w:rPr>
                <w:rFonts w:hint="eastAsia" w:ascii="宋体" w:hAnsi="宋体" w:eastAsia="宋体" w:cs="宋体"/>
                <w:color w:val="auto"/>
                <w:kern w:val="0"/>
                <w:sz w:val="24"/>
                <w:szCs w:val="24"/>
                <w:highlight w:val="none"/>
                <w:lang w:val="en-US" w:eastAsia="zh-CN"/>
              </w:rPr>
              <w:t>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17"/>
              <w:keepNext w:val="0"/>
              <w:keepLines w:val="0"/>
              <w:suppressLineNumbers w:val="0"/>
              <w:wordWrap w:val="0"/>
              <w:adjustRightInd/>
              <w:snapToGrid w:val="0"/>
              <w:spacing w:before="0" w:beforeAutospacing="0" w:after="0" w:afterAutospacing="0"/>
              <w:ind w:left="0" w:right="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2</w:t>
            </w:r>
          </w:p>
        </w:tc>
        <w:tc>
          <w:tcPr>
            <w:tcW w:w="2920" w:type="dxa"/>
            <w:tcMar>
              <w:left w:w="113" w:type="dxa"/>
              <w:right w:w="113" w:type="dxa"/>
            </w:tcMar>
            <w:vAlign w:val="center"/>
          </w:tcPr>
          <w:p>
            <w:pPr>
              <w:pStyle w:val="17"/>
              <w:keepNext w:val="0"/>
              <w:keepLines w:val="0"/>
              <w:suppressLineNumbers w:val="0"/>
              <w:wordWrap w:val="0"/>
              <w:adjustRightInd/>
              <w:snapToGrid w:val="0"/>
              <w:spacing w:before="0" w:beforeAutospacing="0" w:after="0" w:afterAutospacing="0"/>
              <w:ind w:left="0" w:right="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供应商资格审查材料</w:t>
            </w:r>
          </w:p>
        </w:tc>
        <w:tc>
          <w:tcPr>
            <w:tcW w:w="5333" w:type="dxa"/>
            <w:tcMar>
              <w:left w:w="113" w:type="dxa"/>
              <w:right w:w="113" w:type="dxa"/>
            </w:tcMar>
            <w:vAlign w:val="center"/>
          </w:tcPr>
          <w:p>
            <w:pPr>
              <w:pStyle w:val="17"/>
              <w:keepNext w:val="0"/>
              <w:keepLines w:val="0"/>
              <w:suppressLineNumbers w:val="0"/>
              <w:wordWrap w:val="0"/>
              <w:adjustRightInd/>
              <w:snapToGrid w:val="0"/>
              <w:spacing w:before="0" w:beforeAutospacing="0" w:after="0" w:afterAutospacing="0"/>
              <w:ind w:left="0" w:right="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详见竞争性磋商文件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17"/>
              <w:keepNext w:val="0"/>
              <w:keepLines w:val="0"/>
              <w:suppressLineNumbers w:val="0"/>
              <w:wordWrap w:val="0"/>
              <w:adjustRightInd/>
              <w:snapToGrid w:val="0"/>
              <w:spacing w:before="0" w:beforeAutospacing="0" w:after="0" w:afterAutospacing="0"/>
              <w:ind w:left="0" w:right="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3</w:t>
            </w:r>
          </w:p>
        </w:tc>
        <w:tc>
          <w:tcPr>
            <w:tcW w:w="2920" w:type="dxa"/>
            <w:tcMar>
              <w:left w:w="113" w:type="dxa"/>
              <w:right w:w="113" w:type="dxa"/>
            </w:tcMar>
            <w:vAlign w:val="center"/>
          </w:tcPr>
          <w:p>
            <w:pPr>
              <w:pStyle w:val="17"/>
              <w:keepNext w:val="0"/>
              <w:keepLines w:val="0"/>
              <w:suppressLineNumbers w:val="0"/>
              <w:wordWrap w:val="0"/>
              <w:adjustRightInd/>
              <w:snapToGrid w:val="0"/>
              <w:spacing w:before="0" w:beforeAutospacing="0" w:after="0" w:afterAutospacing="0"/>
              <w:ind w:left="0" w:right="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采购方式</w:t>
            </w:r>
          </w:p>
        </w:tc>
        <w:tc>
          <w:tcPr>
            <w:tcW w:w="5333" w:type="dxa"/>
            <w:tcMar>
              <w:left w:w="113" w:type="dxa"/>
              <w:right w:w="113" w:type="dxa"/>
            </w:tcMar>
            <w:vAlign w:val="center"/>
          </w:tcPr>
          <w:p>
            <w:pPr>
              <w:pStyle w:val="17"/>
              <w:keepNext w:val="0"/>
              <w:keepLines w:val="0"/>
              <w:suppressLineNumbers w:val="0"/>
              <w:wordWrap w:val="0"/>
              <w:adjustRightInd/>
              <w:snapToGrid w:val="0"/>
              <w:spacing w:before="0" w:beforeAutospacing="0" w:after="0" w:afterAutospacing="0"/>
              <w:ind w:left="0" w:right="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竞争性磋商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17"/>
              <w:keepNext w:val="0"/>
              <w:keepLines w:val="0"/>
              <w:suppressLineNumbers w:val="0"/>
              <w:wordWrap w:val="0"/>
              <w:adjustRightInd/>
              <w:snapToGrid w:val="0"/>
              <w:spacing w:before="0" w:beforeAutospacing="0" w:after="0" w:afterAutospacing="0"/>
              <w:ind w:left="0" w:right="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4</w:t>
            </w:r>
          </w:p>
        </w:tc>
        <w:tc>
          <w:tcPr>
            <w:tcW w:w="2920" w:type="dxa"/>
            <w:tcMar>
              <w:left w:w="113" w:type="dxa"/>
              <w:right w:w="113" w:type="dxa"/>
            </w:tcMar>
            <w:vAlign w:val="center"/>
          </w:tcPr>
          <w:p>
            <w:pPr>
              <w:pStyle w:val="17"/>
              <w:keepNext w:val="0"/>
              <w:keepLines w:val="0"/>
              <w:suppressLineNumbers w:val="0"/>
              <w:wordWrap w:val="0"/>
              <w:adjustRightInd/>
              <w:snapToGrid w:val="0"/>
              <w:spacing w:before="0" w:beforeAutospacing="0" w:after="0" w:afterAutospacing="0"/>
              <w:ind w:left="0" w:right="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评标方法</w:t>
            </w:r>
          </w:p>
        </w:tc>
        <w:tc>
          <w:tcPr>
            <w:tcW w:w="5333" w:type="dxa"/>
            <w:tcMar>
              <w:left w:w="113" w:type="dxa"/>
              <w:right w:w="113" w:type="dxa"/>
            </w:tcMar>
            <w:vAlign w:val="center"/>
          </w:tcPr>
          <w:p>
            <w:pPr>
              <w:pStyle w:val="17"/>
              <w:keepNext w:val="0"/>
              <w:keepLines w:val="0"/>
              <w:suppressLineNumbers w:val="0"/>
              <w:wordWrap w:val="0"/>
              <w:adjustRightInd/>
              <w:snapToGrid w:val="0"/>
              <w:spacing w:before="0" w:beforeAutospacing="0" w:after="0" w:afterAutospacing="0"/>
              <w:ind w:left="0" w:right="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综合评分法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17"/>
              <w:keepNext w:val="0"/>
              <w:keepLines w:val="0"/>
              <w:suppressLineNumbers w:val="0"/>
              <w:wordWrap w:val="0"/>
              <w:adjustRightInd/>
              <w:snapToGrid w:val="0"/>
              <w:spacing w:before="0" w:beforeAutospacing="0" w:after="0" w:afterAutospacing="0"/>
              <w:ind w:left="0" w:right="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5</w:t>
            </w:r>
          </w:p>
        </w:tc>
        <w:tc>
          <w:tcPr>
            <w:tcW w:w="2920" w:type="dxa"/>
            <w:tcMar>
              <w:left w:w="113" w:type="dxa"/>
              <w:right w:w="113" w:type="dxa"/>
            </w:tcMar>
            <w:vAlign w:val="center"/>
          </w:tcPr>
          <w:p>
            <w:pPr>
              <w:pStyle w:val="17"/>
              <w:keepNext w:val="0"/>
              <w:keepLines w:val="0"/>
              <w:suppressLineNumbers w:val="0"/>
              <w:adjustRightInd/>
              <w:spacing w:before="0" w:beforeAutospacing="0" w:after="0" w:afterAutospacing="0"/>
              <w:ind w:left="33" w:leftChars="0" w:right="0"/>
              <w:jc w:val="both"/>
              <w:rPr>
                <w:rFonts w:hint="eastAsia" w:ascii="宋体" w:hAnsi="宋体" w:eastAsia="宋体" w:cs="宋体"/>
                <w:color w:val="auto"/>
                <w:sz w:val="24"/>
                <w:szCs w:val="24"/>
                <w:highlight w:val="none"/>
                <w:lang w:val="zh-CN"/>
              </w:rPr>
            </w:pPr>
            <w:r>
              <w:rPr>
                <w:rFonts w:hint="eastAsia" w:cs="华文仿宋"/>
                <w:color w:val="auto"/>
                <w:sz w:val="24"/>
                <w:szCs w:val="24"/>
                <w:lang w:val="zh-CN"/>
              </w:rPr>
              <w:t>服务期</w:t>
            </w:r>
          </w:p>
        </w:tc>
        <w:tc>
          <w:tcPr>
            <w:tcW w:w="5333" w:type="dxa"/>
            <w:tcMar>
              <w:left w:w="113" w:type="dxa"/>
              <w:right w:w="113" w:type="dxa"/>
            </w:tcMar>
            <w:vAlign w:val="center"/>
          </w:tcPr>
          <w:p>
            <w:pPr>
              <w:keepNext w:val="0"/>
              <w:keepLines w:val="0"/>
              <w:suppressLineNumbers w:val="0"/>
              <w:adjustRightInd w:val="0"/>
              <w:snapToGrid w:val="0"/>
              <w:spacing w:before="0" w:beforeAutospacing="0" w:after="0" w:afterAutospacing="0"/>
              <w:ind w:left="0" w:right="0"/>
              <w:rPr>
                <w:rFonts w:hint="eastAsia" w:ascii="宋体" w:hAnsi="宋体" w:eastAsia="宋体" w:cs="宋体"/>
                <w:color w:val="auto"/>
                <w:sz w:val="24"/>
                <w:szCs w:val="24"/>
                <w:highlight w:val="none"/>
                <w:lang w:eastAsia="zh-CN"/>
              </w:rPr>
            </w:pPr>
            <w:r>
              <w:rPr>
                <w:rFonts w:hint="eastAsia" w:ascii="宋体" w:hAnsi="宋体"/>
                <w:color w:val="auto"/>
                <w:sz w:val="24"/>
                <w:lang w:eastAsia="zh-CN"/>
              </w:rPr>
              <w:t>见公告</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17"/>
              <w:keepNext w:val="0"/>
              <w:keepLines w:val="0"/>
              <w:suppressLineNumbers w:val="0"/>
              <w:wordWrap w:val="0"/>
              <w:adjustRightInd/>
              <w:snapToGrid w:val="0"/>
              <w:spacing w:before="0" w:beforeAutospacing="0" w:after="0" w:afterAutospacing="0"/>
              <w:ind w:left="0" w:right="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6</w:t>
            </w:r>
          </w:p>
        </w:tc>
        <w:tc>
          <w:tcPr>
            <w:tcW w:w="2920" w:type="dxa"/>
            <w:tcMar>
              <w:left w:w="113" w:type="dxa"/>
              <w:right w:w="113" w:type="dxa"/>
            </w:tcMar>
            <w:vAlign w:val="center"/>
          </w:tcPr>
          <w:p>
            <w:pPr>
              <w:pStyle w:val="17"/>
              <w:keepNext w:val="0"/>
              <w:keepLines w:val="0"/>
              <w:suppressLineNumbers w:val="0"/>
              <w:wordWrap w:val="0"/>
              <w:adjustRightInd/>
              <w:snapToGrid w:val="0"/>
              <w:spacing w:before="0" w:beforeAutospacing="0" w:after="0" w:afterAutospacing="0"/>
              <w:ind w:left="0" w:right="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是否接受联合体磋商响应</w:t>
            </w:r>
          </w:p>
        </w:tc>
        <w:tc>
          <w:tcPr>
            <w:tcW w:w="5333" w:type="dxa"/>
            <w:tcMar>
              <w:left w:w="113" w:type="dxa"/>
              <w:right w:w="113" w:type="dxa"/>
            </w:tcMar>
            <w:vAlign w:val="center"/>
          </w:tcPr>
          <w:p>
            <w:pPr>
              <w:pStyle w:val="17"/>
              <w:keepNext w:val="0"/>
              <w:keepLines w:val="0"/>
              <w:suppressLineNumbers w:val="0"/>
              <w:wordWrap w:val="0"/>
              <w:adjustRightInd/>
              <w:snapToGrid w:val="0"/>
              <w:spacing w:before="0" w:beforeAutospacing="0" w:after="0" w:afterAutospacing="0"/>
              <w:ind w:left="0" w:right="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不接受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17"/>
              <w:keepNext w:val="0"/>
              <w:keepLines w:val="0"/>
              <w:suppressLineNumbers w:val="0"/>
              <w:wordWrap w:val="0"/>
              <w:adjustRightInd/>
              <w:snapToGrid w:val="0"/>
              <w:spacing w:before="0" w:beforeAutospacing="0" w:after="0" w:afterAutospacing="0"/>
              <w:ind w:left="0" w:right="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7</w:t>
            </w:r>
          </w:p>
        </w:tc>
        <w:tc>
          <w:tcPr>
            <w:tcW w:w="2920" w:type="dxa"/>
            <w:tcMar>
              <w:left w:w="113" w:type="dxa"/>
              <w:right w:w="113" w:type="dxa"/>
            </w:tcMar>
            <w:vAlign w:val="center"/>
          </w:tcPr>
          <w:p>
            <w:pPr>
              <w:pStyle w:val="17"/>
              <w:keepNext w:val="0"/>
              <w:keepLines w:val="0"/>
              <w:suppressLineNumbers w:val="0"/>
              <w:wordWrap w:val="0"/>
              <w:adjustRightInd/>
              <w:snapToGrid w:val="0"/>
              <w:spacing w:before="0" w:beforeAutospacing="0" w:after="0" w:afterAutospacing="0"/>
              <w:ind w:left="0" w:right="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是否接受分包履约</w:t>
            </w:r>
          </w:p>
        </w:tc>
        <w:tc>
          <w:tcPr>
            <w:tcW w:w="5333" w:type="dxa"/>
            <w:tcMar>
              <w:left w:w="113" w:type="dxa"/>
              <w:right w:w="113" w:type="dxa"/>
            </w:tcMar>
            <w:vAlign w:val="center"/>
          </w:tcPr>
          <w:p>
            <w:pPr>
              <w:pStyle w:val="17"/>
              <w:keepNext w:val="0"/>
              <w:keepLines w:val="0"/>
              <w:suppressLineNumbers w:val="0"/>
              <w:wordWrap w:val="0"/>
              <w:adjustRightInd/>
              <w:snapToGrid w:val="0"/>
              <w:spacing w:before="0" w:beforeAutospacing="0" w:after="0" w:afterAutospacing="0"/>
              <w:ind w:left="0" w:right="0"/>
              <w:jc w:val="both"/>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lang w:val="zh-CN"/>
              </w:rPr>
              <w:t>不接受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17"/>
              <w:keepNext w:val="0"/>
              <w:keepLines w:val="0"/>
              <w:suppressLineNumbers w:val="0"/>
              <w:wordWrap w:val="0"/>
              <w:adjustRightInd/>
              <w:snapToGrid w:val="0"/>
              <w:spacing w:before="0" w:beforeAutospacing="0" w:after="0" w:afterAutospacing="0"/>
              <w:ind w:left="0" w:right="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8</w:t>
            </w:r>
          </w:p>
        </w:tc>
        <w:tc>
          <w:tcPr>
            <w:tcW w:w="2920" w:type="dxa"/>
            <w:tcMar>
              <w:left w:w="113" w:type="dxa"/>
              <w:right w:w="113" w:type="dxa"/>
            </w:tcMar>
            <w:vAlign w:val="center"/>
          </w:tcPr>
          <w:p>
            <w:pPr>
              <w:pStyle w:val="17"/>
              <w:keepNext w:val="0"/>
              <w:keepLines w:val="0"/>
              <w:suppressLineNumbers w:val="0"/>
              <w:wordWrap w:val="0"/>
              <w:adjustRightInd/>
              <w:snapToGrid w:val="0"/>
              <w:spacing w:before="0" w:beforeAutospacing="0" w:after="0" w:afterAutospacing="0"/>
              <w:ind w:left="0" w:right="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标段划分</w:t>
            </w:r>
          </w:p>
        </w:tc>
        <w:tc>
          <w:tcPr>
            <w:tcW w:w="5333" w:type="dxa"/>
            <w:tcMar>
              <w:left w:w="113" w:type="dxa"/>
              <w:right w:w="113" w:type="dxa"/>
            </w:tcMar>
            <w:vAlign w:val="center"/>
          </w:tcPr>
          <w:p>
            <w:pPr>
              <w:pStyle w:val="17"/>
              <w:keepNext w:val="0"/>
              <w:keepLines w:val="0"/>
              <w:suppressLineNumbers w:val="0"/>
              <w:adjustRightInd/>
              <w:snapToGrid w:val="0"/>
              <w:spacing w:before="0" w:beforeAutospacing="0" w:after="0" w:afterAutospacing="0"/>
              <w:ind w:left="0"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一个标段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17"/>
              <w:keepNext w:val="0"/>
              <w:keepLines w:val="0"/>
              <w:suppressLineNumbers w:val="0"/>
              <w:wordWrap w:val="0"/>
              <w:adjustRightInd/>
              <w:snapToGrid w:val="0"/>
              <w:spacing w:before="0" w:beforeAutospacing="0" w:after="0" w:afterAutospacing="0"/>
              <w:ind w:left="0" w:right="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9</w:t>
            </w:r>
          </w:p>
        </w:tc>
        <w:tc>
          <w:tcPr>
            <w:tcW w:w="2920" w:type="dxa"/>
            <w:tcMar>
              <w:left w:w="113" w:type="dxa"/>
              <w:right w:w="113" w:type="dxa"/>
            </w:tcMar>
            <w:vAlign w:val="center"/>
          </w:tcPr>
          <w:p>
            <w:pPr>
              <w:pStyle w:val="17"/>
              <w:keepNext w:val="0"/>
              <w:keepLines w:val="0"/>
              <w:suppressLineNumbers w:val="0"/>
              <w:wordWrap w:val="0"/>
              <w:adjustRightInd/>
              <w:snapToGrid w:val="0"/>
              <w:spacing w:before="0" w:beforeAutospacing="0" w:after="0" w:afterAutospacing="0"/>
              <w:ind w:left="0" w:right="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成交候选人的推荐</w:t>
            </w:r>
          </w:p>
        </w:tc>
        <w:tc>
          <w:tcPr>
            <w:tcW w:w="5333" w:type="dxa"/>
            <w:tcMar>
              <w:left w:w="113" w:type="dxa"/>
              <w:right w:w="113" w:type="dxa"/>
            </w:tcMar>
            <w:vAlign w:val="center"/>
          </w:tcPr>
          <w:p>
            <w:pPr>
              <w:pStyle w:val="17"/>
              <w:keepNext w:val="0"/>
              <w:keepLines w:val="0"/>
              <w:suppressLineNumbers w:val="0"/>
              <w:adjustRightInd/>
              <w:snapToGrid w:val="0"/>
              <w:spacing w:before="0" w:beforeAutospacing="0" w:after="0" w:afterAutospacing="0"/>
              <w:ind w:left="0" w:right="0"/>
              <w:jc w:val="both"/>
              <w:rPr>
                <w:rFonts w:hint="eastAsia" w:ascii="宋体" w:hAnsi="宋体" w:eastAsia="宋体" w:cs="宋体"/>
                <w:color w:val="auto"/>
                <w:sz w:val="24"/>
                <w:szCs w:val="24"/>
                <w:highlight w:val="none"/>
              </w:rPr>
            </w:pPr>
            <w:r>
              <w:rPr>
                <w:rFonts w:hint="eastAsia" w:ascii="宋体" w:hAnsi="宋体" w:eastAsia="宋体" w:cs="宋体"/>
                <w:b w:val="0"/>
                <w:bCs/>
                <w:color w:val="auto"/>
                <w:sz w:val="24"/>
                <w:szCs w:val="24"/>
                <w:highlight w:val="none"/>
              </w:rPr>
              <w:t>磋商小组依据磋商文件规定的评标标准和方法，对合格磋商响应文件分别进行评审和比较，结合信用查询情况，按顺序推荐出有排序的</w:t>
            </w:r>
            <w:r>
              <w:rPr>
                <w:rFonts w:hint="eastAsia" w:ascii="宋体" w:hAnsi="宋体" w:eastAsia="宋体" w:cs="宋体"/>
                <w:b w:val="0"/>
                <w:bCs/>
                <w:color w:val="auto"/>
                <w:sz w:val="24"/>
                <w:szCs w:val="24"/>
                <w:highlight w:val="none"/>
                <w:u w:val="single"/>
              </w:rPr>
              <w:t xml:space="preserve"> </w:t>
            </w:r>
            <w:r>
              <w:rPr>
                <w:rFonts w:hint="eastAsia" w:cs="宋体"/>
                <w:b w:val="0"/>
                <w:bCs/>
                <w:color w:val="auto"/>
                <w:sz w:val="24"/>
                <w:szCs w:val="24"/>
                <w:highlight w:val="none"/>
                <w:u w:val="single"/>
                <w:lang w:val="en-US" w:eastAsia="zh-CN"/>
              </w:rPr>
              <w:t>2</w:t>
            </w:r>
            <w:r>
              <w:rPr>
                <w:rFonts w:hint="eastAsia" w:ascii="宋体" w:hAnsi="宋体" w:eastAsia="宋体" w:cs="宋体"/>
                <w:b w:val="0"/>
                <w:bCs/>
                <w:color w:val="auto"/>
                <w:sz w:val="24"/>
                <w:szCs w:val="24"/>
                <w:highlight w:val="none"/>
                <w:u w:val="single"/>
              </w:rPr>
              <w:t xml:space="preserve"> </w:t>
            </w:r>
            <w:r>
              <w:rPr>
                <w:rFonts w:hint="eastAsia" w:ascii="宋体" w:hAnsi="宋体" w:eastAsia="宋体" w:cs="宋体"/>
                <w:b w:val="0"/>
                <w:bCs/>
                <w:color w:val="auto"/>
                <w:sz w:val="24"/>
                <w:szCs w:val="24"/>
                <w:highlight w:val="none"/>
              </w:rPr>
              <w:t>名成交候选人</w:t>
            </w:r>
            <w:r>
              <w:rPr>
                <w:rFonts w:hint="eastAsia" w:ascii="宋体" w:hAnsi="宋体" w:eastAsia="宋体" w:cs="宋体"/>
                <w:b/>
                <w:color w:val="auto"/>
                <w:sz w:val="24"/>
                <w:szCs w:val="24"/>
                <w:highlight w:val="non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17"/>
              <w:keepNext w:val="0"/>
              <w:keepLines w:val="0"/>
              <w:suppressLineNumbers w:val="0"/>
              <w:wordWrap w:val="0"/>
              <w:adjustRightInd/>
              <w:snapToGrid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2920" w:type="dxa"/>
            <w:tcMar>
              <w:left w:w="113" w:type="dxa"/>
              <w:right w:w="113" w:type="dxa"/>
            </w:tcMar>
            <w:vAlign w:val="center"/>
          </w:tcPr>
          <w:p>
            <w:pPr>
              <w:pStyle w:val="17"/>
              <w:keepNext w:val="0"/>
              <w:keepLines w:val="0"/>
              <w:suppressLineNumbers w:val="0"/>
              <w:wordWrap w:val="0"/>
              <w:adjustRightInd/>
              <w:snapToGrid w:val="0"/>
              <w:spacing w:before="0" w:beforeAutospacing="0" w:after="0" w:afterAutospacing="0"/>
              <w:ind w:left="0"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磋商响应保证金</w:t>
            </w:r>
          </w:p>
        </w:tc>
        <w:tc>
          <w:tcPr>
            <w:tcW w:w="5333" w:type="dxa"/>
            <w:tcMar>
              <w:left w:w="113" w:type="dxa"/>
              <w:right w:w="113" w:type="dxa"/>
            </w:tcMar>
            <w:vAlign w:val="center"/>
          </w:tcPr>
          <w:p>
            <w:pPr>
              <w:pStyle w:val="17"/>
              <w:keepNext w:val="0"/>
              <w:keepLines w:val="0"/>
              <w:suppressLineNumbers w:val="0"/>
              <w:adjustRightInd/>
              <w:snapToGrid w:val="0"/>
              <w:spacing w:before="0" w:beforeAutospacing="0" w:after="0" w:afterAutospacing="0"/>
              <w:ind w:left="0" w:right="0"/>
              <w:jc w:val="both"/>
              <w:rPr>
                <w:rFonts w:hint="eastAsia" w:ascii="宋体" w:hAnsi="宋体" w:eastAsia="宋体" w:cs="宋体"/>
                <w:color w:val="auto"/>
                <w:sz w:val="24"/>
                <w:szCs w:val="24"/>
                <w:highlight w:val="none"/>
                <w:lang w:eastAsia="zh-CN"/>
              </w:rPr>
            </w:pPr>
            <w:r>
              <w:rPr>
                <w:rFonts w:hint="eastAsia" w:cs="宋体"/>
                <w:color w:val="auto"/>
                <w:sz w:val="24"/>
                <w:szCs w:val="24"/>
                <w:highlight w:val="none"/>
                <w:lang w:eastAsia="zh-CN"/>
              </w:rPr>
              <w:t>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17"/>
              <w:keepNext w:val="0"/>
              <w:keepLines w:val="0"/>
              <w:suppressLineNumbers w:val="0"/>
              <w:wordWrap w:val="0"/>
              <w:adjustRightInd/>
              <w:snapToGrid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2920" w:type="dxa"/>
            <w:tcMar>
              <w:left w:w="113" w:type="dxa"/>
              <w:right w:w="113" w:type="dxa"/>
            </w:tcMar>
            <w:vAlign w:val="center"/>
          </w:tcPr>
          <w:p>
            <w:pPr>
              <w:pStyle w:val="17"/>
              <w:keepNext w:val="0"/>
              <w:keepLines w:val="0"/>
              <w:suppressLineNumbers w:val="0"/>
              <w:wordWrap w:val="0"/>
              <w:adjustRightInd/>
              <w:snapToGrid w:val="0"/>
              <w:spacing w:before="0" w:beforeAutospacing="0" w:after="0" w:afterAutospacing="0"/>
              <w:ind w:left="0"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资料采集</w:t>
            </w:r>
          </w:p>
        </w:tc>
        <w:tc>
          <w:tcPr>
            <w:tcW w:w="5333" w:type="dxa"/>
            <w:tcMar>
              <w:left w:w="113" w:type="dxa"/>
              <w:right w:w="113" w:type="dxa"/>
            </w:tcMar>
            <w:vAlign w:val="center"/>
          </w:tcPr>
          <w:p>
            <w:pPr>
              <w:pStyle w:val="17"/>
              <w:keepNext w:val="0"/>
              <w:keepLines w:val="0"/>
              <w:suppressLineNumbers w:val="0"/>
              <w:adjustRightInd/>
              <w:snapToGrid w:val="0"/>
              <w:spacing w:before="0" w:beforeAutospacing="0" w:after="0" w:afterAutospacing="0"/>
              <w:ind w:left="0" w:right="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供应商应自行</w:t>
            </w:r>
            <w:r>
              <w:rPr>
                <w:rFonts w:hint="eastAsia" w:cs="宋体"/>
                <w:color w:val="auto"/>
                <w:sz w:val="24"/>
                <w:szCs w:val="24"/>
                <w:highlight w:val="none"/>
                <w:lang w:eastAsia="zh-CN"/>
              </w:rPr>
              <w:t>下载</w:t>
            </w:r>
            <w:r>
              <w:rPr>
                <w:rFonts w:hint="eastAsia" w:ascii="宋体" w:hAnsi="宋体" w:eastAsia="宋体" w:cs="宋体"/>
                <w:color w:val="auto"/>
                <w:sz w:val="24"/>
                <w:szCs w:val="24"/>
                <w:highlight w:val="none"/>
                <w:lang w:val="en-US" w:eastAsia="zh-CN"/>
              </w:rPr>
              <w:t>获取</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77" w:hRule="atLeast"/>
          <w:jc w:val="center"/>
        </w:trPr>
        <w:tc>
          <w:tcPr>
            <w:tcW w:w="804" w:type="dxa"/>
            <w:tcMar>
              <w:left w:w="113" w:type="dxa"/>
              <w:right w:w="113" w:type="dxa"/>
            </w:tcMar>
            <w:vAlign w:val="center"/>
          </w:tcPr>
          <w:p>
            <w:pPr>
              <w:pStyle w:val="17"/>
              <w:keepNext w:val="0"/>
              <w:keepLines w:val="0"/>
              <w:suppressLineNumbers w:val="0"/>
              <w:wordWrap w:val="0"/>
              <w:adjustRightInd/>
              <w:snapToGrid w:val="0"/>
              <w:spacing w:before="0" w:beforeAutospacing="0" w:after="0" w:afterAutospacing="0"/>
              <w:ind w:left="0" w:right="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12</w:t>
            </w:r>
          </w:p>
        </w:tc>
        <w:tc>
          <w:tcPr>
            <w:tcW w:w="2920" w:type="dxa"/>
            <w:tcMar>
              <w:left w:w="113" w:type="dxa"/>
              <w:right w:w="113" w:type="dxa"/>
            </w:tcMar>
            <w:vAlign w:val="center"/>
          </w:tcPr>
          <w:p>
            <w:pPr>
              <w:pStyle w:val="17"/>
              <w:keepNext w:val="0"/>
              <w:keepLines w:val="0"/>
              <w:suppressLineNumbers w:val="0"/>
              <w:wordWrap w:val="0"/>
              <w:adjustRightInd/>
              <w:snapToGrid w:val="0"/>
              <w:spacing w:before="0" w:beforeAutospacing="0" w:after="0" w:afterAutospacing="0"/>
              <w:ind w:left="0"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构成竞争性磋商文件的其他文件</w:t>
            </w:r>
          </w:p>
        </w:tc>
        <w:tc>
          <w:tcPr>
            <w:tcW w:w="5333" w:type="dxa"/>
            <w:tcMar>
              <w:left w:w="113" w:type="dxa"/>
              <w:right w:w="113" w:type="dxa"/>
            </w:tcMar>
            <w:vAlign w:val="center"/>
          </w:tcPr>
          <w:p>
            <w:pPr>
              <w:pStyle w:val="17"/>
              <w:keepNext w:val="0"/>
              <w:keepLines w:val="0"/>
              <w:suppressLineNumbers w:val="0"/>
              <w:wordWrap w:val="0"/>
              <w:adjustRightInd/>
              <w:snapToGrid w:val="0"/>
              <w:spacing w:before="0" w:beforeAutospacing="0" w:after="0" w:afterAutospacing="0"/>
              <w:ind w:left="0"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竞争性磋商文件的澄清</w:t>
            </w:r>
            <w:r>
              <w:rPr>
                <w:rFonts w:hint="eastAsia" w:ascii="宋体" w:hAnsi="宋体" w:eastAsia="宋体" w:cs="宋体"/>
                <w:color w:val="auto"/>
                <w:sz w:val="24"/>
                <w:szCs w:val="24"/>
                <w:highlight w:val="none"/>
              </w:rPr>
              <w:t>、修改书及有关补充通知为竞争性磋商文件的有效组成部分。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17"/>
              <w:keepNext w:val="0"/>
              <w:keepLines w:val="0"/>
              <w:suppressLineNumbers w:val="0"/>
              <w:wordWrap w:val="0"/>
              <w:adjustRightInd/>
              <w:snapToGrid w:val="0"/>
              <w:spacing w:before="0" w:beforeAutospacing="0" w:after="0" w:afterAutospacing="0"/>
              <w:ind w:left="0" w:right="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13</w:t>
            </w:r>
          </w:p>
        </w:tc>
        <w:tc>
          <w:tcPr>
            <w:tcW w:w="2920" w:type="dxa"/>
            <w:tcMar>
              <w:left w:w="113" w:type="dxa"/>
              <w:right w:w="113" w:type="dxa"/>
            </w:tcMar>
            <w:vAlign w:val="center"/>
          </w:tcPr>
          <w:p>
            <w:pPr>
              <w:pStyle w:val="17"/>
              <w:keepNext w:val="0"/>
              <w:keepLines w:val="0"/>
              <w:suppressLineNumbers w:val="0"/>
              <w:wordWrap w:val="0"/>
              <w:adjustRightInd/>
              <w:snapToGrid w:val="0"/>
              <w:spacing w:before="0" w:beforeAutospacing="0" w:after="0" w:afterAutospacing="0"/>
              <w:ind w:left="0"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磋商响应有效期</w:t>
            </w:r>
          </w:p>
        </w:tc>
        <w:tc>
          <w:tcPr>
            <w:tcW w:w="5333" w:type="dxa"/>
            <w:tcMar>
              <w:left w:w="113" w:type="dxa"/>
              <w:right w:w="113" w:type="dxa"/>
            </w:tcMar>
            <w:vAlign w:val="center"/>
          </w:tcPr>
          <w:p>
            <w:pPr>
              <w:pStyle w:val="17"/>
              <w:keepNext w:val="0"/>
              <w:keepLines w:val="0"/>
              <w:suppressLineNumbers w:val="0"/>
              <w:wordWrap w:val="0"/>
              <w:adjustRightInd/>
              <w:snapToGrid w:val="0"/>
              <w:spacing w:before="0" w:beforeAutospacing="0" w:after="0" w:afterAutospacing="0"/>
              <w:ind w:left="0"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开标后</w:t>
            </w:r>
            <w:r>
              <w:rPr>
                <w:rFonts w:hint="eastAsia" w:cs="宋体"/>
                <w:color w:val="auto"/>
                <w:sz w:val="24"/>
                <w:szCs w:val="24"/>
                <w:highlight w:val="none"/>
                <w:lang w:eastAsia="zh-CN"/>
              </w:rPr>
              <w:t>一</w:t>
            </w:r>
            <w:r>
              <w:rPr>
                <w:rFonts w:hint="eastAsia" w:ascii="宋体" w:hAnsi="宋体" w:eastAsia="宋体" w:cs="宋体"/>
                <w:color w:val="auto"/>
                <w:sz w:val="24"/>
                <w:szCs w:val="24"/>
                <w:highlight w:val="none"/>
              </w:rPr>
              <w:t>个月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17"/>
              <w:keepNext w:val="0"/>
              <w:keepLines w:val="0"/>
              <w:suppressLineNumbers w:val="0"/>
              <w:wordWrap w:val="0"/>
              <w:adjustRightInd/>
              <w:snapToGrid w:val="0"/>
              <w:spacing w:before="0" w:beforeAutospacing="0" w:after="0" w:afterAutospacing="0"/>
              <w:ind w:left="0" w:right="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14</w:t>
            </w:r>
          </w:p>
        </w:tc>
        <w:tc>
          <w:tcPr>
            <w:tcW w:w="2920" w:type="dxa"/>
            <w:tcMar>
              <w:left w:w="113" w:type="dxa"/>
              <w:right w:w="113" w:type="dxa"/>
            </w:tcMar>
            <w:vAlign w:val="center"/>
          </w:tcPr>
          <w:p>
            <w:pPr>
              <w:pStyle w:val="17"/>
              <w:keepNext w:val="0"/>
              <w:keepLines w:val="0"/>
              <w:suppressLineNumbers w:val="0"/>
              <w:wordWrap w:val="0"/>
              <w:adjustRightInd/>
              <w:snapToGrid w:val="0"/>
              <w:spacing w:before="0" w:beforeAutospacing="0" w:after="0" w:afterAutospacing="0"/>
              <w:ind w:left="0" w:right="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付款方式</w:t>
            </w:r>
          </w:p>
        </w:tc>
        <w:tc>
          <w:tcPr>
            <w:tcW w:w="5333" w:type="dxa"/>
            <w:tcMar>
              <w:left w:w="113" w:type="dxa"/>
              <w:right w:w="113" w:type="dxa"/>
            </w:tcMar>
            <w:vAlign w:val="center"/>
          </w:tcPr>
          <w:p>
            <w:pPr>
              <w:pStyle w:val="7"/>
              <w:keepNext w:val="0"/>
              <w:keepLines w:val="0"/>
              <w:numPr>
                <w:ilvl w:val="0"/>
                <w:numId w:val="0"/>
              </w:numPr>
              <w:suppressLineNumbers w:val="0"/>
              <w:spacing w:before="0" w:beforeAutospacing="0" w:after="0" w:afterAutospacing="0" w:line="240" w:lineRule="auto"/>
              <w:ind w:left="0" w:right="0"/>
              <w:rPr>
                <w:rFonts w:hint="default" w:ascii="宋体" w:hAnsi="宋体" w:eastAsia="宋体" w:cs="宋体"/>
                <w:color w:val="auto"/>
                <w:sz w:val="24"/>
                <w:szCs w:val="24"/>
                <w:highlight w:val="none"/>
                <w:lang w:val="en-US" w:eastAsia="zh-CN"/>
              </w:rPr>
            </w:pPr>
            <w:r>
              <w:rPr>
                <w:rFonts w:hint="eastAsia" w:cs="宋体"/>
                <w:color w:val="auto"/>
                <w:sz w:val="24"/>
                <w:szCs w:val="24"/>
                <w:highlight w:val="none"/>
                <w:lang w:val="en-US" w:eastAsia="zh-CN"/>
              </w:rPr>
              <w:t>项目完成经验收合格后，按照实际完成工作量支</w:t>
            </w:r>
            <w:r>
              <w:rPr>
                <w:rFonts w:hint="eastAsia" w:ascii="宋体" w:hAnsi="宋体" w:cs="宋体"/>
                <w:color w:val="auto"/>
                <w:sz w:val="24"/>
                <w:szCs w:val="24"/>
                <w:highlight w:val="none"/>
                <w:lang w:val="en-US" w:eastAsia="zh-CN"/>
              </w:rPr>
              <w:t>付合同款，据实结算。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17"/>
              <w:keepNext w:val="0"/>
              <w:keepLines w:val="0"/>
              <w:suppressLineNumbers w:val="0"/>
              <w:wordWrap w:val="0"/>
              <w:adjustRightInd/>
              <w:snapToGrid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2920" w:type="dxa"/>
            <w:tcMar>
              <w:left w:w="113" w:type="dxa"/>
              <w:right w:w="113" w:type="dxa"/>
            </w:tcMar>
            <w:vAlign w:val="center"/>
          </w:tcPr>
          <w:p>
            <w:pPr>
              <w:pStyle w:val="17"/>
              <w:keepNext w:val="0"/>
              <w:keepLines w:val="0"/>
              <w:suppressLineNumbers w:val="0"/>
              <w:wordWrap w:val="0"/>
              <w:adjustRightInd/>
              <w:snapToGrid w:val="0"/>
              <w:spacing w:before="0" w:beforeAutospacing="0" w:after="0" w:afterAutospacing="0"/>
              <w:ind w:left="0" w:right="0"/>
              <w:jc w:val="both"/>
              <w:rPr>
                <w:rFonts w:hint="eastAsia" w:ascii="宋体" w:hAnsi="宋体" w:eastAsia="宋体" w:cs="宋体"/>
                <w:color w:val="auto"/>
                <w:sz w:val="24"/>
                <w:szCs w:val="24"/>
                <w:highlight w:val="none"/>
                <w:lang w:val="zh-CN"/>
              </w:rPr>
            </w:pPr>
            <w:r>
              <w:rPr>
                <w:rFonts w:hint="eastAsia" w:ascii="宋体" w:hAnsi="宋体" w:cs="宋体"/>
                <w:color w:val="auto"/>
                <w:sz w:val="24"/>
                <w:szCs w:val="24"/>
                <w:highlight w:val="none"/>
                <w:lang w:val="zh-CN"/>
              </w:rPr>
              <w:t>质保期</w:t>
            </w:r>
          </w:p>
        </w:tc>
        <w:tc>
          <w:tcPr>
            <w:tcW w:w="5333" w:type="dxa"/>
            <w:tcMar>
              <w:left w:w="113" w:type="dxa"/>
              <w:right w:w="113" w:type="dxa"/>
            </w:tcMar>
            <w:vAlign w:val="center"/>
          </w:tcPr>
          <w:p>
            <w:pPr>
              <w:pStyle w:val="7"/>
              <w:keepNext w:val="0"/>
              <w:keepLines w:val="0"/>
              <w:numPr>
                <w:ilvl w:val="0"/>
                <w:numId w:val="0"/>
              </w:numPr>
              <w:suppressLineNumbers w:val="0"/>
              <w:spacing w:before="0" w:beforeAutospacing="0" w:after="0" w:afterAutospacing="0" w:line="240" w:lineRule="auto"/>
              <w:ind w:left="0" w:right="0"/>
              <w:rPr>
                <w:rFonts w:hint="eastAsia" w:cs="宋体"/>
                <w:color w:val="auto"/>
                <w:sz w:val="24"/>
                <w:szCs w:val="24"/>
                <w:highlight w:val="none"/>
                <w:lang w:val="en-US" w:eastAsia="zh-CN"/>
              </w:rPr>
            </w:pPr>
            <w:r>
              <w:rPr>
                <w:rFonts w:hint="eastAsia" w:ascii="宋体" w:hAnsi="宋体" w:cs="宋体"/>
                <w:color w:val="auto"/>
                <w:sz w:val="24"/>
                <w:szCs w:val="24"/>
                <w:highlight w:val="none"/>
                <w:lang w:val="zh-CN"/>
              </w:rPr>
              <w:t>六个月。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17"/>
              <w:keepNext w:val="0"/>
              <w:keepLines w:val="0"/>
              <w:suppressLineNumbers w:val="0"/>
              <w:wordWrap w:val="0"/>
              <w:adjustRightInd/>
              <w:snapToGrid w:val="0"/>
              <w:spacing w:before="0" w:beforeAutospacing="0" w:after="0" w:afterAutospacing="0"/>
              <w:ind w:left="0" w:right="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w:t>
            </w:r>
            <w:r>
              <w:rPr>
                <w:rFonts w:hint="eastAsia" w:ascii="宋体" w:hAnsi="宋体" w:eastAsia="宋体" w:cs="宋体"/>
                <w:color w:val="auto"/>
                <w:sz w:val="24"/>
                <w:szCs w:val="24"/>
                <w:highlight w:val="none"/>
              </w:rPr>
              <w:t>6</w:t>
            </w:r>
          </w:p>
        </w:tc>
        <w:tc>
          <w:tcPr>
            <w:tcW w:w="2920" w:type="dxa"/>
            <w:tcMar>
              <w:left w:w="113" w:type="dxa"/>
              <w:right w:w="113" w:type="dxa"/>
            </w:tcMar>
            <w:vAlign w:val="center"/>
          </w:tcPr>
          <w:p>
            <w:pPr>
              <w:pStyle w:val="17"/>
              <w:keepNext w:val="0"/>
              <w:keepLines w:val="0"/>
              <w:suppressLineNumbers w:val="0"/>
              <w:wordWrap w:val="0"/>
              <w:adjustRightInd/>
              <w:snapToGrid w:val="0"/>
              <w:spacing w:before="0" w:beforeAutospacing="0" w:after="0" w:afterAutospacing="0"/>
              <w:ind w:left="0" w:right="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履约保证金</w:t>
            </w:r>
          </w:p>
        </w:tc>
        <w:tc>
          <w:tcPr>
            <w:tcW w:w="5333" w:type="dxa"/>
            <w:tcMar>
              <w:left w:w="113" w:type="dxa"/>
              <w:right w:w="113" w:type="dxa"/>
            </w:tcMar>
            <w:vAlign w:val="center"/>
          </w:tcPr>
          <w:p>
            <w:pPr>
              <w:pStyle w:val="17"/>
              <w:keepNext w:val="0"/>
              <w:keepLines w:val="0"/>
              <w:suppressLineNumbers w:val="0"/>
              <w:wordWrap w:val="0"/>
              <w:adjustRightInd/>
              <w:snapToGrid w:val="0"/>
              <w:spacing w:before="0" w:beforeAutospacing="0" w:after="0" w:afterAutospacing="0"/>
              <w:ind w:left="0" w:right="0"/>
              <w:jc w:val="both"/>
              <w:rPr>
                <w:rFonts w:hint="eastAsia" w:ascii="宋体" w:hAnsi="宋体" w:eastAsia="宋体" w:cs="宋体"/>
                <w:color w:val="auto"/>
                <w:sz w:val="24"/>
                <w:szCs w:val="24"/>
                <w:highlight w:val="none"/>
                <w:lang w:val="zh-CN" w:eastAsia="zh-CN"/>
              </w:rPr>
            </w:pPr>
            <w:r>
              <w:rPr>
                <w:rStyle w:val="15"/>
                <w:rFonts w:hint="eastAsia" w:ascii="宋体" w:hAnsi="宋体" w:eastAsia="宋体" w:cs="宋体"/>
                <w:color w:val="auto"/>
                <w:kern w:val="0"/>
                <w:sz w:val="24"/>
                <w:szCs w:val="24"/>
                <w:highlight w:val="none"/>
                <w:lang w:val="en-US" w:eastAsia="zh-CN" w:bidi="ar-SA"/>
              </w:rPr>
              <w:t>中标人在合同签订前，需向采购人缴纳中标价</w:t>
            </w:r>
            <w:r>
              <w:rPr>
                <w:rStyle w:val="15"/>
                <w:rFonts w:hint="eastAsia" w:cs="宋体"/>
                <w:color w:val="auto"/>
                <w:kern w:val="0"/>
                <w:sz w:val="24"/>
                <w:szCs w:val="24"/>
                <w:highlight w:val="none"/>
                <w:lang w:val="en-US" w:eastAsia="zh-CN" w:bidi="ar-SA"/>
              </w:rPr>
              <w:t>金额</w:t>
            </w:r>
            <w:r>
              <w:rPr>
                <w:rStyle w:val="15"/>
                <w:rFonts w:hint="eastAsia" w:ascii="宋体" w:hAnsi="宋体" w:eastAsia="宋体" w:cs="宋体"/>
                <w:color w:val="auto"/>
                <w:kern w:val="0"/>
                <w:sz w:val="24"/>
                <w:szCs w:val="24"/>
                <w:highlight w:val="none"/>
                <w:lang w:val="en-US" w:eastAsia="zh-CN" w:bidi="ar-SA"/>
              </w:rPr>
              <w:t>的</w:t>
            </w:r>
            <w:r>
              <w:rPr>
                <w:rStyle w:val="15"/>
                <w:rFonts w:hint="eastAsia" w:cs="宋体"/>
                <w:color w:val="auto"/>
                <w:kern w:val="0"/>
                <w:sz w:val="24"/>
                <w:szCs w:val="24"/>
                <w:highlight w:val="none"/>
                <w:lang w:val="en-US" w:eastAsia="zh-CN" w:bidi="ar-SA"/>
              </w:rPr>
              <w:t>2.5</w:t>
            </w:r>
            <w:r>
              <w:rPr>
                <w:rStyle w:val="15"/>
                <w:rFonts w:hint="eastAsia" w:ascii="宋体" w:hAnsi="宋体" w:eastAsia="宋体" w:cs="宋体"/>
                <w:color w:val="auto"/>
                <w:kern w:val="0"/>
                <w:sz w:val="24"/>
                <w:szCs w:val="24"/>
                <w:highlight w:val="none"/>
                <w:lang w:val="en-US" w:eastAsia="zh-CN" w:bidi="ar-SA"/>
              </w:rPr>
              <w:t>%作为</w:t>
            </w:r>
            <w:r>
              <w:rPr>
                <w:rStyle w:val="15"/>
                <w:rFonts w:hint="eastAsia" w:ascii="宋体" w:hAnsi="宋体" w:cs="宋体"/>
                <w:color w:val="auto"/>
                <w:kern w:val="0"/>
                <w:sz w:val="24"/>
                <w:szCs w:val="24"/>
                <w:highlight w:val="none"/>
                <w:lang w:val="en-US" w:eastAsia="zh-CN" w:bidi="ar-SA"/>
              </w:rPr>
              <w:t>本</w:t>
            </w:r>
            <w:r>
              <w:rPr>
                <w:rStyle w:val="15"/>
                <w:rFonts w:hint="eastAsia" w:ascii="宋体" w:hAnsi="宋体" w:eastAsia="宋体" w:cs="宋体"/>
                <w:color w:val="auto"/>
                <w:kern w:val="0"/>
                <w:sz w:val="24"/>
                <w:szCs w:val="24"/>
                <w:highlight w:val="none"/>
                <w:lang w:val="en-US" w:eastAsia="zh-CN" w:bidi="ar-SA"/>
              </w:rPr>
              <w:t>项目的合同履约保证金，在</w:t>
            </w:r>
            <w:r>
              <w:rPr>
                <w:rStyle w:val="15"/>
                <w:rFonts w:hint="eastAsia" w:cs="宋体"/>
                <w:color w:val="auto"/>
                <w:kern w:val="0"/>
                <w:sz w:val="24"/>
                <w:szCs w:val="24"/>
                <w:highlight w:val="none"/>
                <w:lang w:val="en-US" w:eastAsia="zh-CN" w:bidi="ar-SA"/>
              </w:rPr>
              <w:t>合同签订后</w:t>
            </w:r>
            <w:r>
              <w:rPr>
                <w:rStyle w:val="15"/>
                <w:rFonts w:hint="eastAsia" w:ascii="宋体" w:hAnsi="宋体" w:eastAsia="宋体" w:cs="宋体"/>
                <w:color w:val="auto"/>
                <w:kern w:val="0"/>
                <w:sz w:val="24"/>
                <w:szCs w:val="24"/>
                <w:highlight w:val="none"/>
                <w:lang w:val="en-US" w:eastAsia="zh-CN" w:bidi="ar-SA"/>
              </w:rPr>
              <w:t>履约</w:t>
            </w:r>
            <w:r>
              <w:rPr>
                <w:rStyle w:val="15"/>
                <w:rFonts w:hint="eastAsia" w:cs="宋体"/>
                <w:color w:val="auto"/>
                <w:kern w:val="0"/>
                <w:sz w:val="24"/>
                <w:szCs w:val="24"/>
                <w:highlight w:val="none"/>
                <w:lang w:val="en-US" w:eastAsia="zh-CN" w:bidi="ar-SA"/>
              </w:rPr>
              <w:t>保证金自动转为质量保证金，质保期（六个月）期满无息退还。</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17"/>
              <w:keepNext w:val="0"/>
              <w:keepLines w:val="0"/>
              <w:suppressLineNumbers w:val="0"/>
              <w:wordWrap w:val="0"/>
              <w:adjustRightInd/>
              <w:snapToGrid w:val="0"/>
              <w:spacing w:before="0" w:beforeAutospacing="0" w:after="0" w:afterAutospacing="0"/>
              <w:ind w:left="0" w:right="0"/>
              <w:jc w:val="center"/>
              <w:rPr>
                <w:rFonts w:hint="eastAsia" w:ascii="宋体" w:hAnsi="宋体" w:eastAsia="宋体" w:cs="宋体"/>
                <w:color w:val="auto"/>
                <w:sz w:val="24"/>
                <w:szCs w:val="24"/>
                <w:highlight w:val="none"/>
                <w:lang w:val="en-US" w:eastAsia="zh-CN"/>
              </w:rPr>
            </w:pPr>
            <w:r>
              <w:rPr>
                <w:rFonts w:hint="eastAsia" w:cs="宋体"/>
                <w:color w:val="auto"/>
                <w:sz w:val="24"/>
                <w:szCs w:val="24"/>
                <w:highlight w:val="none"/>
                <w:lang w:val="en-US" w:eastAsia="zh-CN"/>
              </w:rPr>
              <w:t>17</w:t>
            </w:r>
          </w:p>
        </w:tc>
        <w:tc>
          <w:tcPr>
            <w:tcW w:w="2920" w:type="dxa"/>
            <w:tcMar>
              <w:left w:w="113" w:type="dxa"/>
              <w:right w:w="113" w:type="dxa"/>
            </w:tcMar>
            <w:vAlign w:val="center"/>
          </w:tcPr>
          <w:p>
            <w:pPr>
              <w:pStyle w:val="17"/>
              <w:keepNext w:val="0"/>
              <w:keepLines w:val="0"/>
              <w:suppressLineNumbers w:val="0"/>
              <w:wordWrap w:val="0"/>
              <w:adjustRightInd/>
              <w:snapToGrid w:val="0"/>
              <w:spacing w:before="0" w:beforeAutospacing="0" w:after="0" w:afterAutospacing="0"/>
              <w:ind w:left="0" w:right="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磋商响应文件份数</w:t>
            </w:r>
          </w:p>
        </w:tc>
        <w:tc>
          <w:tcPr>
            <w:tcW w:w="5333" w:type="dxa"/>
            <w:tcMar>
              <w:left w:w="113" w:type="dxa"/>
              <w:right w:w="113" w:type="dxa"/>
            </w:tcMar>
            <w:vAlign w:val="center"/>
          </w:tcPr>
          <w:p>
            <w:pPr>
              <w:pStyle w:val="17"/>
              <w:keepNext w:val="0"/>
              <w:keepLines w:val="0"/>
              <w:suppressLineNumbers w:val="0"/>
              <w:wordWrap w:val="0"/>
              <w:adjustRightInd/>
              <w:snapToGrid w:val="0"/>
              <w:spacing w:before="0" w:beforeAutospacing="0" w:after="0" w:afterAutospacing="0"/>
              <w:ind w:left="0" w:right="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一份正本、两份副本</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21" w:hRule="atLeast"/>
          <w:jc w:val="center"/>
        </w:trPr>
        <w:tc>
          <w:tcPr>
            <w:tcW w:w="804" w:type="dxa"/>
            <w:tcMar>
              <w:left w:w="113" w:type="dxa"/>
              <w:right w:w="113" w:type="dxa"/>
            </w:tcMar>
            <w:vAlign w:val="center"/>
          </w:tcPr>
          <w:p>
            <w:pPr>
              <w:pStyle w:val="17"/>
              <w:keepNext w:val="0"/>
              <w:keepLines w:val="0"/>
              <w:suppressLineNumbers w:val="0"/>
              <w:wordWrap w:val="0"/>
              <w:adjustRightInd/>
              <w:snapToGrid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1</w:t>
            </w:r>
            <w:r>
              <w:rPr>
                <w:rFonts w:hint="eastAsia" w:ascii="宋体" w:hAnsi="宋体" w:eastAsia="宋体" w:cs="宋体"/>
                <w:color w:val="auto"/>
                <w:sz w:val="24"/>
                <w:szCs w:val="24"/>
                <w:highlight w:val="none"/>
              </w:rPr>
              <w:t>8</w:t>
            </w:r>
          </w:p>
        </w:tc>
        <w:tc>
          <w:tcPr>
            <w:tcW w:w="2920" w:type="dxa"/>
            <w:tcMar>
              <w:left w:w="113" w:type="dxa"/>
              <w:right w:w="113" w:type="dxa"/>
            </w:tcMar>
            <w:vAlign w:val="center"/>
          </w:tcPr>
          <w:p>
            <w:pPr>
              <w:pStyle w:val="17"/>
              <w:keepNext w:val="0"/>
              <w:keepLines w:val="0"/>
              <w:suppressLineNumbers w:val="0"/>
              <w:wordWrap w:val="0"/>
              <w:adjustRightInd/>
              <w:snapToGrid w:val="0"/>
              <w:spacing w:before="0" w:beforeAutospacing="0" w:after="0" w:afterAutospacing="0"/>
              <w:ind w:left="0" w:right="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磋商及磋商响应书递交</w:t>
            </w:r>
          </w:p>
        </w:tc>
        <w:tc>
          <w:tcPr>
            <w:tcW w:w="5333" w:type="dxa"/>
            <w:tcMar>
              <w:left w:w="113" w:type="dxa"/>
              <w:right w:w="113" w:type="dxa"/>
            </w:tcMar>
            <w:vAlign w:val="center"/>
          </w:tcPr>
          <w:p>
            <w:pPr>
              <w:keepNext w:val="0"/>
              <w:keepLines w:val="0"/>
              <w:suppressLineNumbers w:val="0"/>
              <w:wordWrap w:val="0"/>
              <w:autoSpaceDE w:val="0"/>
              <w:autoSpaceDN w:val="0"/>
              <w:snapToGrid w:val="0"/>
              <w:spacing w:before="0" w:beforeAutospacing="0" w:after="0" w:afterAutospacing="0"/>
              <w:ind w:left="0" w:right="0"/>
              <w:rPr>
                <w:rFonts w:hint="eastAsia" w:ascii="宋体" w:hAnsi="宋体" w:eastAsia="宋体" w:cs="宋体"/>
                <w:color w:val="auto"/>
                <w:sz w:val="24"/>
                <w:szCs w:val="24"/>
                <w:highlight w:val="none"/>
                <w:lang w:val="zh-CN"/>
              </w:rPr>
            </w:pPr>
            <w:r>
              <w:rPr>
                <w:rFonts w:hint="eastAsia" w:ascii="宋体" w:hAnsi="宋体" w:eastAsia="宋体" w:cs="宋体"/>
                <w:color w:val="auto"/>
                <w:kern w:val="0"/>
                <w:sz w:val="24"/>
                <w:szCs w:val="24"/>
                <w:highlight w:val="none"/>
              </w:rPr>
              <w:t>见</w:t>
            </w:r>
            <w:r>
              <w:rPr>
                <w:rFonts w:hint="eastAsia" w:ascii="宋体" w:hAnsi="宋体" w:eastAsia="宋体" w:cs="宋体"/>
                <w:color w:val="auto"/>
                <w:kern w:val="0"/>
                <w:sz w:val="24"/>
                <w:szCs w:val="24"/>
                <w:highlight w:val="none"/>
                <w:lang w:eastAsia="zh-CN"/>
              </w:rPr>
              <w:t>竞争性磋商公告</w:t>
            </w:r>
            <w:r>
              <w:rPr>
                <w:rFonts w:hint="eastAsia" w:ascii="宋体" w:hAnsi="宋体" w:eastAsia="宋体" w:cs="宋体"/>
                <w:color w:val="auto"/>
                <w:kern w:val="0"/>
                <w:sz w:val="24"/>
                <w:szCs w:val="24"/>
                <w:highlight w:val="none"/>
              </w:rPr>
              <w:t>，供应商应当仔细上网查看地点及时间相关发布或变更信息，递交至错误的磋商响应地点将造成标书无法接受。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17"/>
              <w:keepNext w:val="0"/>
              <w:keepLines w:val="0"/>
              <w:suppressLineNumbers w:val="0"/>
              <w:wordWrap w:val="0"/>
              <w:adjustRightInd/>
              <w:snapToGrid w:val="0"/>
              <w:spacing w:before="0" w:beforeAutospacing="0" w:after="0" w:afterAutospacing="0"/>
              <w:ind w:left="0" w:right="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w:t>
            </w:r>
            <w:r>
              <w:rPr>
                <w:rFonts w:hint="eastAsia" w:ascii="宋体" w:hAnsi="宋体" w:eastAsia="宋体" w:cs="宋体"/>
                <w:color w:val="auto"/>
                <w:sz w:val="24"/>
                <w:szCs w:val="24"/>
                <w:highlight w:val="none"/>
              </w:rPr>
              <w:t>9</w:t>
            </w:r>
          </w:p>
        </w:tc>
        <w:tc>
          <w:tcPr>
            <w:tcW w:w="2920" w:type="dxa"/>
            <w:tcMar>
              <w:left w:w="113" w:type="dxa"/>
              <w:right w:w="113" w:type="dxa"/>
            </w:tcMar>
            <w:vAlign w:val="center"/>
          </w:tcPr>
          <w:p>
            <w:pPr>
              <w:pStyle w:val="17"/>
              <w:keepNext w:val="0"/>
              <w:keepLines w:val="0"/>
              <w:suppressLineNumbers w:val="0"/>
              <w:wordWrap w:val="0"/>
              <w:adjustRightInd/>
              <w:snapToGrid w:val="0"/>
              <w:spacing w:before="0" w:beforeAutospacing="0" w:after="0" w:afterAutospacing="0"/>
              <w:ind w:left="0" w:right="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磋商及响应截止时间</w:t>
            </w:r>
          </w:p>
        </w:tc>
        <w:tc>
          <w:tcPr>
            <w:tcW w:w="5333" w:type="dxa"/>
            <w:tcMar>
              <w:left w:w="113" w:type="dxa"/>
              <w:right w:w="113" w:type="dxa"/>
            </w:tcMar>
            <w:vAlign w:val="center"/>
          </w:tcPr>
          <w:p>
            <w:pPr>
              <w:pStyle w:val="17"/>
              <w:keepNext w:val="0"/>
              <w:keepLines w:val="0"/>
              <w:suppressLineNumbers w:val="0"/>
              <w:wordWrap w:val="0"/>
              <w:adjustRightInd/>
              <w:snapToGrid w:val="0"/>
              <w:spacing w:before="0" w:beforeAutospacing="0" w:after="0" w:afterAutospacing="0"/>
              <w:ind w:left="0"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见</w:t>
            </w:r>
            <w:r>
              <w:rPr>
                <w:rFonts w:hint="eastAsia" w:ascii="宋体" w:hAnsi="宋体" w:eastAsia="宋体" w:cs="宋体"/>
                <w:color w:val="auto"/>
                <w:sz w:val="24"/>
                <w:szCs w:val="24"/>
                <w:highlight w:val="none"/>
                <w:lang w:eastAsia="zh-CN"/>
              </w:rPr>
              <w:t>竞争性磋商公告</w:t>
            </w:r>
            <w:r>
              <w:rPr>
                <w:rFonts w:hint="eastAsia" w:ascii="宋体" w:hAnsi="宋体" w:eastAsia="宋体" w:cs="宋体"/>
                <w:color w:val="auto"/>
                <w:sz w:val="24"/>
                <w:szCs w:val="24"/>
                <w:highlight w:val="none"/>
                <w:lang w:val="zh-CN"/>
              </w:rPr>
              <w:t>，迟于响应截止时间递交的文件将不予接受。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17"/>
              <w:keepNext w:val="0"/>
              <w:keepLines w:val="0"/>
              <w:suppressLineNumbers w:val="0"/>
              <w:wordWrap w:val="0"/>
              <w:adjustRightInd/>
              <w:snapToGrid w:val="0"/>
              <w:spacing w:before="0" w:beforeAutospacing="0" w:after="0" w:afterAutospacing="0"/>
              <w:ind w:left="0" w:right="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20</w:t>
            </w:r>
          </w:p>
        </w:tc>
        <w:tc>
          <w:tcPr>
            <w:tcW w:w="2920" w:type="dxa"/>
            <w:tcMar>
              <w:left w:w="113" w:type="dxa"/>
              <w:right w:w="113" w:type="dxa"/>
            </w:tcMar>
            <w:vAlign w:val="center"/>
          </w:tcPr>
          <w:p>
            <w:pPr>
              <w:pStyle w:val="17"/>
              <w:keepNext w:val="0"/>
              <w:keepLines w:val="0"/>
              <w:suppressLineNumbers w:val="0"/>
              <w:wordWrap w:val="0"/>
              <w:adjustRightInd/>
              <w:snapToGrid w:val="0"/>
              <w:spacing w:before="0" w:beforeAutospacing="0" w:after="0" w:afterAutospacing="0"/>
              <w:ind w:left="0" w:right="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费用承担</w:t>
            </w:r>
          </w:p>
        </w:tc>
        <w:tc>
          <w:tcPr>
            <w:tcW w:w="5333" w:type="dxa"/>
            <w:tcMar>
              <w:left w:w="113" w:type="dxa"/>
              <w:right w:w="113" w:type="dxa"/>
            </w:tcMar>
            <w:vAlign w:val="center"/>
          </w:tcPr>
          <w:p>
            <w:pPr>
              <w:pStyle w:val="17"/>
              <w:keepNext w:val="0"/>
              <w:keepLines w:val="0"/>
              <w:suppressLineNumbers w:val="0"/>
              <w:wordWrap w:val="0"/>
              <w:adjustRightInd/>
              <w:snapToGrid w:val="0"/>
              <w:spacing w:before="0" w:beforeAutospacing="0" w:after="0" w:afterAutospacing="0"/>
              <w:ind w:left="0" w:right="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供应商参加磋商活动发生的一切费用均自理</w:t>
            </w:r>
            <w:r>
              <w:rPr>
                <w:rFonts w:hint="eastAsia" w:ascii="宋体" w:hAnsi="宋体" w:eastAsia="宋体" w:cs="宋体"/>
                <w:color w:val="auto"/>
                <w:sz w:val="24"/>
                <w:szCs w:val="24"/>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17"/>
              <w:keepNext w:val="0"/>
              <w:keepLines w:val="0"/>
              <w:suppressLineNumbers w:val="0"/>
              <w:wordWrap w:val="0"/>
              <w:adjustRightInd/>
              <w:snapToGrid w:val="0"/>
              <w:spacing w:before="0" w:beforeAutospacing="0" w:after="0" w:afterAutospacing="0"/>
              <w:ind w:left="0" w:right="0"/>
              <w:jc w:val="center"/>
              <w:rPr>
                <w:rFonts w:hint="eastAsia" w:ascii="宋体" w:hAnsi="宋体" w:eastAsia="宋体" w:cs="宋体"/>
                <w:color w:val="auto"/>
                <w:sz w:val="24"/>
                <w:szCs w:val="24"/>
                <w:highlight w:val="none"/>
                <w:lang w:val="zh-CN"/>
              </w:rPr>
            </w:pPr>
            <w:r>
              <w:rPr>
                <w:rFonts w:hint="eastAsia" w:cs="宋体"/>
                <w:color w:val="auto"/>
                <w:sz w:val="24"/>
                <w:szCs w:val="24"/>
                <w:highlight w:val="none"/>
                <w:lang w:val="en-US" w:eastAsia="zh-CN"/>
              </w:rPr>
              <w:t>21</w:t>
            </w:r>
          </w:p>
        </w:tc>
        <w:tc>
          <w:tcPr>
            <w:tcW w:w="2920" w:type="dxa"/>
            <w:tcMar>
              <w:left w:w="113" w:type="dxa"/>
              <w:right w:w="113" w:type="dxa"/>
            </w:tcMar>
            <w:vAlign w:val="center"/>
          </w:tcPr>
          <w:p>
            <w:pPr>
              <w:pStyle w:val="17"/>
              <w:keepNext w:val="0"/>
              <w:keepLines w:val="0"/>
              <w:suppressLineNumbers w:val="0"/>
              <w:wordWrap w:val="0"/>
              <w:adjustRightInd/>
              <w:snapToGrid w:val="0"/>
              <w:spacing w:before="0" w:beforeAutospacing="0" w:after="0" w:afterAutospacing="0"/>
              <w:ind w:left="0" w:right="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合同签订时间</w:t>
            </w:r>
          </w:p>
        </w:tc>
        <w:tc>
          <w:tcPr>
            <w:tcW w:w="5333" w:type="dxa"/>
            <w:tcMar>
              <w:left w:w="113" w:type="dxa"/>
              <w:right w:w="113" w:type="dxa"/>
            </w:tcMar>
            <w:vAlign w:val="center"/>
          </w:tcPr>
          <w:p>
            <w:pPr>
              <w:pStyle w:val="17"/>
              <w:keepNext w:val="0"/>
              <w:keepLines w:val="0"/>
              <w:suppressLineNumbers w:val="0"/>
              <w:wordWrap w:val="0"/>
              <w:adjustRightInd/>
              <w:snapToGrid w:val="0"/>
              <w:spacing w:before="0" w:beforeAutospacing="0" w:after="0" w:afterAutospacing="0"/>
              <w:ind w:left="0" w:right="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采购人通知领取成交通知书后，成交供应商应在3</w:t>
            </w:r>
            <w:r>
              <w:rPr>
                <w:rFonts w:hint="eastAsia" w:cs="宋体"/>
                <w:color w:val="auto"/>
                <w:sz w:val="24"/>
                <w:szCs w:val="24"/>
                <w:highlight w:val="none"/>
                <w:lang w:eastAsia="zh-CN"/>
              </w:rPr>
              <w:t>工作</w:t>
            </w:r>
            <w:r>
              <w:rPr>
                <w:rFonts w:hint="eastAsia" w:ascii="宋体" w:hAnsi="宋体" w:eastAsia="宋体" w:cs="宋体"/>
                <w:color w:val="auto"/>
                <w:sz w:val="24"/>
                <w:szCs w:val="24"/>
                <w:highlight w:val="none"/>
              </w:rPr>
              <w:t>日内领取成交通知书，领取后</w:t>
            </w:r>
            <w:r>
              <w:rPr>
                <w:rFonts w:hint="eastAsia" w:cs="宋体"/>
                <w:color w:val="auto"/>
                <w:sz w:val="24"/>
                <w:szCs w:val="24"/>
                <w:highlight w:val="none"/>
                <w:lang w:val="en-US" w:eastAsia="zh-CN"/>
              </w:rPr>
              <w:t>5</w:t>
            </w:r>
            <w:r>
              <w:rPr>
                <w:rFonts w:hint="eastAsia" w:cs="宋体"/>
                <w:color w:val="auto"/>
                <w:sz w:val="24"/>
                <w:szCs w:val="24"/>
                <w:highlight w:val="none"/>
                <w:lang w:eastAsia="zh-CN"/>
              </w:rPr>
              <w:t>工作日</w:t>
            </w:r>
            <w:r>
              <w:rPr>
                <w:rFonts w:hint="eastAsia" w:ascii="宋体" w:hAnsi="宋体" w:eastAsia="宋体" w:cs="宋体"/>
                <w:color w:val="auto"/>
                <w:sz w:val="24"/>
                <w:szCs w:val="24"/>
                <w:highlight w:val="none"/>
              </w:rPr>
              <w:t>内与采购人签订合同，逾期不领取成交通知书或不签订合同的，顺延至第二成交供应商或重新采购。</w:t>
            </w:r>
          </w:p>
        </w:tc>
      </w:tr>
      <w:bookmarkEnd w:id="0"/>
      <w:bookmarkEnd w:id="1"/>
      <w:bookmarkEnd w:id="2"/>
      <w:bookmarkEnd w:id="3"/>
      <w:bookmarkEnd w:id="4"/>
    </w:tbl>
    <w:p>
      <w:pPr>
        <w:pStyle w:val="18"/>
        <w:ind w:left="0" w:leftChars="0" w:firstLine="0" w:firstLineChars="0"/>
        <w:rPr>
          <w:rFonts w:hint="eastAsia" w:ascii="宋体" w:hAnsi="宋体" w:eastAsia="宋体" w:cs="宋体"/>
          <w:b/>
          <w:bCs/>
          <w:color w:val="auto"/>
          <w:sz w:val="28"/>
          <w:szCs w:val="28"/>
          <w:highlight w:val="none"/>
        </w:rPr>
      </w:pPr>
    </w:p>
    <w:p>
      <w:pPr>
        <w:pStyle w:val="18"/>
        <w:ind w:left="0" w:leftChars="0" w:firstLine="0" w:firstLineChars="0"/>
        <w:rPr>
          <w:rFonts w:hint="eastAsia" w:ascii="宋体" w:hAnsi="宋体" w:eastAsia="宋体" w:cs="宋体"/>
          <w:b/>
          <w:bCs/>
          <w:color w:val="auto"/>
          <w:sz w:val="28"/>
          <w:szCs w:val="28"/>
          <w:highlight w:val="none"/>
        </w:rPr>
      </w:pPr>
    </w:p>
    <w:p>
      <w:pPr>
        <w:pStyle w:val="18"/>
        <w:ind w:left="0" w:leftChars="0" w:firstLine="0" w:firstLineChars="0"/>
        <w:rPr>
          <w:rFonts w:hint="eastAsia" w:ascii="宋体" w:hAnsi="宋体" w:eastAsia="宋体" w:cs="宋体"/>
          <w:b/>
          <w:bCs/>
          <w:color w:val="auto"/>
          <w:sz w:val="28"/>
          <w:szCs w:val="28"/>
          <w:highlight w:val="none"/>
        </w:rPr>
      </w:pPr>
    </w:p>
    <w:p>
      <w:pPr>
        <w:pStyle w:val="18"/>
        <w:ind w:left="0" w:leftChars="0" w:firstLine="0" w:firstLineChars="0"/>
        <w:rPr>
          <w:rFonts w:hint="eastAsia" w:ascii="宋体" w:hAnsi="宋体" w:eastAsia="宋体" w:cs="宋体"/>
          <w:b/>
          <w:bCs/>
          <w:color w:val="auto"/>
          <w:sz w:val="28"/>
          <w:szCs w:val="28"/>
          <w:highlight w:val="none"/>
        </w:rPr>
      </w:pPr>
    </w:p>
    <w:p>
      <w:pPr>
        <w:pStyle w:val="18"/>
        <w:ind w:left="0" w:leftChars="0" w:firstLine="0" w:firstLineChars="0"/>
        <w:rPr>
          <w:rFonts w:hint="eastAsia" w:ascii="宋体" w:hAnsi="宋体" w:eastAsia="宋体" w:cs="宋体"/>
          <w:b/>
          <w:bCs/>
          <w:color w:val="auto"/>
          <w:sz w:val="28"/>
          <w:szCs w:val="28"/>
          <w:highlight w:val="none"/>
        </w:rPr>
      </w:pPr>
    </w:p>
    <w:p>
      <w:pPr>
        <w:pStyle w:val="18"/>
        <w:ind w:left="0" w:leftChars="0" w:firstLine="0" w:firstLineChars="0"/>
        <w:rPr>
          <w:rFonts w:hint="eastAsia" w:ascii="宋体" w:hAnsi="宋体" w:eastAsia="宋体" w:cs="宋体"/>
          <w:b/>
          <w:bCs/>
          <w:color w:val="auto"/>
          <w:sz w:val="28"/>
          <w:szCs w:val="28"/>
          <w:highlight w:val="none"/>
        </w:rPr>
      </w:pPr>
    </w:p>
    <w:p>
      <w:pPr>
        <w:pStyle w:val="18"/>
        <w:ind w:left="0" w:leftChars="0" w:firstLine="0" w:firstLineChars="0"/>
        <w:rPr>
          <w:rFonts w:hint="eastAsia" w:ascii="宋体" w:hAnsi="宋体" w:eastAsia="宋体" w:cs="宋体"/>
          <w:b/>
          <w:bCs/>
          <w:color w:val="auto"/>
          <w:sz w:val="28"/>
          <w:szCs w:val="28"/>
          <w:highlight w:val="none"/>
        </w:rPr>
      </w:pPr>
    </w:p>
    <w:p>
      <w:pPr>
        <w:pStyle w:val="18"/>
        <w:ind w:left="0" w:leftChars="0" w:firstLine="0" w:firstLineChars="0"/>
        <w:rPr>
          <w:rFonts w:hint="eastAsia" w:ascii="宋体" w:hAnsi="宋体" w:eastAsia="宋体" w:cs="宋体"/>
          <w:b/>
          <w:bCs/>
          <w:color w:val="auto"/>
          <w:sz w:val="28"/>
          <w:szCs w:val="28"/>
          <w:highlight w:val="none"/>
        </w:rPr>
      </w:pPr>
    </w:p>
    <w:p>
      <w:pPr>
        <w:pStyle w:val="18"/>
        <w:ind w:left="0" w:leftChars="0" w:firstLine="0" w:firstLineChars="0"/>
        <w:rPr>
          <w:rFonts w:hint="eastAsia" w:ascii="宋体" w:hAnsi="宋体" w:eastAsia="宋体" w:cs="宋体"/>
          <w:b/>
          <w:bCs/>
          <w:color w:val="auto"/>
          <w:sz w:val="28"/>
          <w:szCs w:val="28"/>
          <w:highlight w:val="none"/>
        </w:rPr>
      </w:pPr>
    </w:p>
    <w:p>
      <w:pPr>
        <w:pStyle w:val="18"/>
        <w:ind w:left="0" w:leftChars="0" w:firstLine="0" w:firstLineChars="0"/>
        <w:rPr>
          <w:rFonts w:hint="eastAsia" w:ascii="宋体" w:hAnsi="宋体" w:eastAsia="宋体" w:cs="宋体"/>
          <w:b/>
          <w:bCs/>
          <w:color w:val="auto"/>
          <w:sz w:val="28"/>
          <w:szCs w:val="28"/>
          <w:highlight w:val="none"/>
        </w:rPr>
      </w:pPr>
    </w:p>
    <w:p>
      <w:pPr>
        <w:pStyle w:val="18"/>
        <w:ind w:left="0" w:leftChars="0" w:firstLine="0" w:firstLineChars="0"/>
        <w:rPr>
          <w:rFonts w:hint="eastAsia" w:ascii="宋体" w:hAnsi="宋体" w:eastAsia="宋体" w:cs="宋体"/>
          <w:b/>
          <w:bCs/>
          <w:color w:val="auto"/>
          <w:sz w:val="28"/>
          <w:szCs w:val="28"/>
          <w:highlight w:val="none"/>
        </w:rPr>
      </w:pPr>
    </w:p>
    <w:p>
      <w:pPr>
        <w:pStyle w:val="18"/>
        <w:ind w:left="0" w:leftChars="0" w:firstLine="0" w:firstLineChars="0"/>
        <w:rPr>
          <w:rFonts w:hint="eastAsia" w:ascii="宋体" w:hAnsi="宋体" w:eastAsia="宋体" w:cs="宋体"/>
          <w:b/>
          <w:bCs/>
          <w:color w:val="auto"/>
          <w:sz w:val="28"/>
          <w:szCs w:val="28"/>
          <w:highlight w:val="none"/>
        </w:rPr>
      </w:pPr>
    </w:p>
    <w:p>
      <w:pPr>
        <w:pStyle w:val="18"/>
        <w:ind w:left="0" w:leftChars="0" w:firstLine="0" w:firstLineChars="0"/>
        <w:rPr>
          <w:rFonts w:hint="eastAsia" w:ascii="宋体" w:hAnsi="宋体" w:eastAsia="宋体" w:cs="宋体"/>
          <w:b/>
          <w:bCs/>
          <w:color w:val="auto"/>
          <w:sz w:val="28"/>
          <w:szCs w:val="28"/>
          <w:highlight w:val="none"/>
        </w:rPr>
      </w:pPr>
    </w:p>
    <w:p>
      <w:pPr>
        <w:pStyle w:val="18"/>
        <w:ind w:left="0" w:leftChars="0" w:firstLine="0" w:firstLineChars="0"/>
        <w:rPr>
          <w:rFonts w:hint="eastAsia" w:ascii="宋体" w:hAnsi="宋体" w:eastAsia="宋体" w:cs="宋体"/>
          <w:b/>
          <w:bCs/>
          <w:color w:val="auto"/>
          <w:sz w:val="28"/>
          <w:szCs w:val="28"/>
          <w:highlight w:val="none"/>
        </w:rPr>
      </w:pPr>
    </w:p>
    <w:p>
      <w:pPr>
        <w:pStyle w:val="18"/>
        <w:ind w:left="0" w:leftChars="0" w:firstLine="0" w:firstLineChars="0"/>
        <w:rPr>
          <w:rFonts w:hint="eastAsia" w:ascii="宋体" w:hAnsi="宋体" w:eastAsia="宋体" w:cs="宋体"/>
          <w:b/>
          <w:bCs/>
          <w:color w:val="auto"/>
          <w:sz w:val="28"/>
          <w:szCs w:val="28"/>
          <w:highlight w:val="none"/>
        </w:rPr>
      </w:pPr>
    </w:p>
    <w:p>
      <w:pPr>
        <w:pStyle w:val="18"/>
        <w:ind w:left="0" w:leftChars="0" w:firstLine="0" w:firstLineChars="0"/>
        <w:rPr>
          <w:rFonts w:hint="eastAsia" w:ascii="宋体" w:hAnsi="宋体" w:eastAsia="宋体" w:cs="宋体"/>
          <w:b/>
          <w:bCs/>
          <w:color w:val="auto"/>
          <w:sz w:val="28"/>
          <w:szCs w:val="28"/>
          <w:highlight w:val="none"/>
        </w:rPr>
      </w:pPr>
    </w:p>
    <w:p>
      <w:pPr>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第三章  磋商响应供应商须知</w:t>
      </w: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一、总则</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1、本竞争性磋商文件仅适用于本次竞争性磋商的服务项目。根据采购人提交的服务要求，对此项目进行</w:t>
      </w:r>
      <w:r>
        <w:rPr>
          <w:rFonts w:hint="eastAsia" w:ascii="宋体" w:hAnsi="宋体" w:cs="宋体"/>
          <w:color w:val="auto"/>
          <w:sz w:val="24"/>
          <w:szCs w:val="24"/>
          <w:highlight w:val="none"/>
          <w:lang w:eastAsia="zh-CN"/>
        </w:rPr>
        <w:t>招标</w:t>
      </w:r>
      <w:r>
        <w:rPr>
          <w:rFonts w:hint="eastAsia" w:ascii="宋体" w:hAnsi="宋体" w:eastAsia="宋体" w:cs="宋体"/>
          <w:color w:val="auto"/>
          <w:sz w:val="24"/>
          <w:szCs w:val="24"/>
          <w:highlight w:val="none"/>
        </w:rPr>
        <w:t>采购，编制竞争性磋商文件，</w:t>
      </w:r>
      <w:r>
        <w:rPr>
          <w:rFonts w:hint="eastAsia" w:ascii="宋体" w:hAnsi="宋体" w:cs="宋体"/>
          <w:color w:val="auto"/>
          <w:sz w:val="24"/>
          <w:szCs w:val="24"/>
          <w:highlight w:val="none"/>
          <w:lang w:eastAsia="zh-CN"/>
        </w:rPr>
        <w:t>在采购人纪委监督下自行</w:t>
      </w:r>
      <w:r>
        <w:rPr>
          <w:rFonts w:hint="eastAsia" w:ascii="宋体" w:hAnsi="宋体" w:eastAsia="宋体" w:cs="宋体"/>
          <w:color w:val="auto"/>
          <w:sz w:val="24"/>
          <w:szCs w:val="24"/>
          <w:highlight w:val="none"/>
        </w:rPr>
        <w:t>组织开评标活动。</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本次竞争性磋商的服务系指除货物和工程以外的其他政府采购对象。无论竞争性磋商文件是否列明，供应商所提供的服务必须符合国家相关现行法律法规的规定，否则磋商响应无效。本竞争性磋商文件所要求的证书、认证、资质，均应当是有权机构颁发，且在有效期内。</w:t>
      </w: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二、磋商文件</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供应商应当按照磋商文件的要求编制磋商响应文件。磋商响应文件应对磋商文件提出的要求和条件作出实质性响应。供应商应认真阅读和充分理解磋商文件中所有的内容。如果供应商没有满足磋商文件的有关要求，其风险由供应商自行承担。</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4、供应商获取磋商文件后，应仔细检查磋商文件的所有内容，如有残缺、疑问等问题应向采购代理机构提出，否则，由此引起的损失由供应商自行承担。</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5、答疑及磋商文件的澄清与修改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5.1供应商可以要求采购单位对磋商文件中的有关问题进行答疑、澄清。</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供应商对磋商文件如有疑问，须按磋商公告中的联系方式，以书面形式（如传真、信件等）通知采购人和采购代理机构。未在规定时间提出疑问的，将不予答复。在此规定时间以前收到的、且需要做出澄清的问题，将以</w:t>
      </w:r>
      <w:r>
        <w:rPr>
          <w:rFonts w:hint="eastAsia" w:ascii="宋体" w:hAnsi="宋体" w:eastAsia="宋体" w:cs="宋体"/>
          <w:color w:val="auto"/>
          <w:sz w:val="24"/>
          <w:szCs w:val="24"/>
          <w:highlight w:val="none"/>
          <w:lang w:val="en-US" w:eastAsia="zh-CN"/>
        </w:rPr>
        <w:t>书面</w:t>
      </w:r>
      <w:r>
        <w:rPr>
          <w:rFonts w:hint="eastAsia" w:ascii="宋体" w:hAnsi="宋体" w:eastAsia="宋体" w:cs="宋体"/>
          <w:color w:val="auto"/>
          <w:sz w:val="24"/>
          <w:szCs w:val="24"/>
          <w:highlight w:val="none"/>
        </w:rPr>
        <w:t>的形式告知所有供应商，但不说明问题的来源。</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6、磋商文件的修改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6.1在某些情况下，采购人可能对磋商文件进行修改。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6.2采购人对磋商文件的修改，将以补充公告的形式通知所有供应商，并对所有供应商具有约束力。</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6.3为使供应商有充分时间对磋商文件的修改部分进行研究或由于其他原因，采购人可以决定延长磋商响应截止日期，并以补充公告的形式将变更时间通知所有供应商。</w:t>
      </w:r>
    </w:p>
    <w:p>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7、提交保证金</w:t>
      </w:r>
      <w:r>
        <w:rPr>
          <w:rFonts w:hint="eastAsia" w:ascii="宋体" w:hAnsi="宋体" w:cs="宋体"/>
          <w:color w:val="auto"/>
          <w:sz w:val="24"/>
          <w:szCs w:val="24"/>
          <w:highlight w:val="none"/>
          <w:lang w:eastAsia="zh-CN"/>
        </w:rPr>
        <w:t>（无）</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7.1磋商响应保证金账截止时间为磋商公告规定的时间。磋商响应保证金必须从供应商基本账户汇入到指定账户。</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7.2开标时出现下列情形之一的，拒绝其投标。</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7.2.1未在投标截止时间前提交磋商响应文件的；</w:t>
      </w: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三、供应商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8、磋商响应费用。</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供应商必须自行承担所有与参加磋商响应有关的一切费用。不论磋商响应的结果如何，采购人和采购机构在任何情况下均无义务和责任承担这些费用。</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9、合格的供应商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9.1合格的供应商应当满足本项目采购文件所载明须满足的最低条件。</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9.2供应商之间如果存在下列情形之一的，且参加同一标段（包别）或者不分标段（包别）的同一项目磋商响应，相关供应商均按无效标进行处理：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9.2.1法定代表人为同一个人的两个及两个以上法人；</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9.2.2母公司、全资子公司及其控股公司；</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9.2.3参加磋商响应的其他组织之间存在特殊的利害关系的；</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9.2.4法律和行政法规规定的其他情形。</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10、勘察现场</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10.1供应商应自行对供货现场和周围环境进行勘察，以获取编制磋商响应文件和签署合同所需的资料。勘察现场的方式、地址及联系方式见供应商须知前附表。</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10.2勘察现场所发生的费用由供应商自行承担。采购人向供应商提供的有关现场的资料和数据，是采购人现有的能使供应商利用的资料。采购人对供应商由此而做出的推论、理解和结论概不负责。供应商未到现场实地踏勘的，成交后签订合同时和履约过程中，不得以不完全了解现场情况为由，提出任何形式的增加合同价款或索赔的要求。</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10.3除非有特殊要求，磋商文件不单独提供现场的自然环境、气候条件、公用设施等情况，供应商被视为熟悉上述与履行合同有关的一切情况。</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11、知识产权</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供应商须保证，采购人在中华人民共和国境内使用磋商响应货物、资料、技术、服务或其任何一部分时，享有不受限制的无偿使用权，不会产生因第三方提出侵犯其专利权、商标权或其它知识产权而引起的法律或经济纠纷。如供应商不拥有相应的知识产权，则在磋商响应报价中必须包括合法获取该知识产权的一切相关费用。如因此导致采购人损失的，供应商须承担全部赔偿责任。</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11.2供应商如欲在项目实施过程中采用自有知识成果，须在磋商响应文件中声明，并提供相关知识产权证明文件。使用该知识成果后，供应商须提供开发接口和开发手册等技术文档。</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12、纪律与保密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12.1供应商的磋商响应行为应遵守中国的有关法律、法规和规章。</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12.2供应商不得相互串通磋商响应报价，不得妨碍其他供应商的公平竞争，不得损害采购人或其他供应商的合法权益，供应商不得以向采购人、磋商小组成员行贿或者采取其他不正当手段谋取成交。</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12.2.1有下列情形之一的，属于供应商相互串通磋商响应：</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12.2.1.1供应商之间协商磋商响应报价等磋商响应文件的实质性内容；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12.2.1.2供应商之间约定成交供应商；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12.2.1.3供应商之间约定部分供应商放弃磋商响应或者成交；</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12.2.1.4属于同一集团、协会、商会等组织成员的供应商按照该组织要求协同磋商响应；</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12.2.1.5供应商之间为谋取成交或者排斥特定供应商而采取的其他联合行动。</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12.2.1.6法律法规规定的其它情形。</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12.2.2 有下列情形之一的，视为供应商相互串通磋商响应：</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12.2.2.1不同供应商的磋商响应文件由同一单位或者个人编制；</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12.2.2.2不同供应商委托同一单位或者个人办理磋商响应事宜；</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12.2.2.3不同供应商的磋商响应文件载明的项目负责人（或技术负责人）为同一人；</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12.2.2.4不同供应商的磋商响应文件相互混装；</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12.2.2.5不同供应商的磋商文件异常一致或者磋商最终报价是呈规律性差异；</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12.2.2.6不同供应商的磋商响应保证金从同一单位（或者同一个人）的账户转出；</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12.2.2.7 法律法规规定的其它情形。</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12.3在确定成交供应商之前，供应商试图在磋商响应文件审查、澄清、比较和评价时对磋商小组和采购人施加任何影响都可能导致其磋商响应无效。</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13、联合体磋商响应（本项目不采用）</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13.1除非本项目明确要求不接受联合体形式磋商响应外，两个或两个以上供应商可以组成一个联合体磋商响应，以一个供应商的身份磋商响应。</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13.2联合体各方之间应当签订联合体协议，明确约定联合体各方应当承担的工作和相应的责任，明确联合体牵头人，并将联合体协议连同磋商响应文件一并提交，联合体协议上需加盖联合体各方单位公章。由同一专业的单位组成的联合体，按照同一资质等级较低的单位确定资质等级。</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13.3联合体各方签订联合体协议后，不得再以自己的名义单独在同一项目中磋商响应，也不得组成新的联合体参加同一项目磋商响应，否则相关供应商均作无效标处理。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13.4联合体磋商响应的，可以由联合体中的一方或者共同提交磋商响应保证金，以一方名义提交保证金的，对联合体各方均具有约束力。</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14、签章的效力</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磋商文件中明确要求签章的，供应商必须在相应位置签章。</w:t>
      </w: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15、企业诚信库（本项目不采用）</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15.1为进一步规范磋商响应行为，提高磋商响应工作效率，降低磋商响应成本，加强对供应商诚信信息的管理，加快政府采购工作电子化、信息化建设，中心实行供应商企业诚信库制度，并面向全国免费征集。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15.2入库资料的真实性、有效性、完整性、准确性、合法性及清晰度由供应商负责。中心只负责对供应商所提供的入库资料原件与上传扫描件进行比对；企业库中文字信息、扫描件必须与真实证照完全一致，企业诚信库资料的有效性在评标时由项目磋商小组负责审核。</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15.3为确保磋商响应文件通过评审，供应商应及时对入库资料进行补充、更新。如因前款原因未通过本项目磋商小组评审，由供应商承担全部责任。</w:t>
      </w: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四、磋商响应文件的编制</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16、磋商响应的语言及度量衡单位</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16.1供应商的磋商响应文件、以及供应商与采购单位就磋商响应的所有往来函电，均须使用简体中文。</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16.2除磋商文件中另有规定外，磋商响应文件所使用的度量衡均须采用法定计量单位。</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17、磋商响应文件构成</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17.1磋商响应文件应包括本磋商文件格式中所规定的全部内容。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17.2供应商必须对其磋商响应文件的真实性与准确性负责。供应商一旦成为成交供应商，其磋商响应文件将作为合同的重要组成部分。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17.3除文件中规定允许变动的格式，供应商不得擅自对磋商文件规定的格式、条款和技术要求进行修改。否则，其磋商响应文件在评标时有可能被认为是未对磋商文件做出实质性的响应而中止对其作进一步的评审。</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18、磋商响应报价</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18.1磋商响应文件的磋商响应报价表上应清楚地标明供应商拟提供货物的名称、单价和总价。只允许有一个方案、一个报价，多方案、多报价的磋商响应文件将不被接受。</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18.2磋商响应报价表上</w:t>
      </w:r>
      <w:r>
        <w:rPr>
          <w:rFonts w:hint="eastAsia" w:ascii="宋体" w:hAnsi="宋体" w:eastAsia="宋体" w:cs="宋体"/>
          <w:color w:val="auto"/>
          <w:sz w:val="24"/>
          <w:szCs w:val="24"/>
          <w:highlight w:val="none"/>
          <w:lang w:val="en-US" w:eastAsia="zh-CN"/>
        </w:rPr>
        <w:t>服务</w:t>
      </w:r>
      <w:r>
        <w:rPr>
          <w:rFonts w:hint="eastAsia" w:ascii="宋体" w:hAnsi="宋体" w:eastAsia="宋体" w:cs="宋体"/>
          <w:color w:val="auto"/>
          <w:sz w:val="24"/>
          <w:szCs w:val="24"/>
          <w:highlight w:val="none"/>
        </w:rPr>
        <w:t>的价格是交货地的验收价格，其总价即为履行合同的固定价格。</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18.3</w:t>
      </w:r>
      <w:bookmarkStart w:id="7" w:name="EB616bfadcee8947c09e287939cf58f192"/>
      <w:r>
        <w:rPr>
          <w:rFonts w:hint="eastAsia" w:ascii="宋体" w:hAnsi="宋体" w:eastAsia="宋体" w:cs="宋体"/>
          <w:color w:val="auto"/>
          <w:sz w:val="24"/>
          <w:szCs w:val="24"/>
          <w:highlight w:val="none"/>
        </w:rPr>
        <w:t>供应商的报价应包含所投服务、人员工资、津补贴、社保支出、交通补贴等工作所发生的一切应有费用。</w:t>
      </w:r>
      <w:bookmarkEnd w:id="7"/>
      <w:r>
        <w:rPr>
          <w:rFonts w:hint="eastAsia" w:ascii="宋体" w:hAnsi="宋体" w:eastAsia="宋体" w:cs="宋体"/>
          <w:color w:val="auto"/>
          <w:sz w:val="24"/>
          <w:szCs w:val="24"/>
          <w:highlight w:val="none"/>
        </w:rPr>
        <w:t>磋商响应报价为签订合同的依据。</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18.4供应商应在磋商响应文件中注明拟提供服务、货物的单价、服务内容明细和总价。除政策性文件规定以外，供应商所报价格在合同实施期间不因市场变化因素而变动。</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19、磋商响应货币：磋商响应须以人民币报价。</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20、证明供应商合格的文件</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20.1供应商在其磋商响应文件中，应根据采购文件要求提交证明其有资格参加磋商响应和成交后有能力履行合同的证明文件，作为其磋商响应文件的一部分。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20.2供应商资质证书（或资格证明）处于年检、换证、升级、变更等期间，除非法律法规或发证机构有书面材料明确表明供应商资质（或资格)有效，否则一律不予认可。</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21、磋商响应文件的密封和标记</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w:t>
      </w:r>
      <w:bookmarkStart w:id="8" w:name="_Hlt509650747"/>
      <w:bookmarkEnd w:id="8"/>
      <w:r>
        <w:rPr>
          <w:rFonts w:hint="eastAsia" w:ascii="宋体" w:hAnsi="宋体" w:eastAsia="宋体" w:cs="宋体"/>
          <w:color w:val="auto"/>
          <w:sz w:val="24"/>
          <w:szCs w:val="24"/>
          <w:highlight w:val="none"/>
        </w:rPr>
        <w:t>磋商响应截止时间前，供应商须到达公告指定的地点将密封的磋商响应文件提交给招标代理工作人员，未密封的不予接收。磋商响应文件应当密封，并在密封袋上标注项目名称、项目编号、供应商名称及包别。</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21.2如果未按规定封装或加写标记或递交，采购代理机构将不承担磋商响应文件错放或提前开封的责任，并导致该类别磋商响应文件递交无效。</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21.3供应商应按照供应商须知前附表的要求准备磋商响应文件。</w:t>
      </w: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五、磋商响应文件的递交</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22、磋商响应文件的递交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22.1磋商响应文件的递交是指供应商在磋商响应截止时间前密封送达指定开标地点并递交的。</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22.2磋商响应截止时间前，供应商可以修改或撤回已提交的磋商响应文件，以磋商响应截止时间前递交的最后一份为准。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22.3在磋商文件要求提交磋商响应文件的截止时间之后送达的磋商响应文件，为无效磋商响应文件，将拒绝接收。</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23、磋商响应文件、磋商响应保证金回单复印件或影印件（如有）需一同递交，否则其磋商响应将被拒绝：</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24、拒绝的磋商响应书：</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24.1采购单位将拒绝迟交的标书并原封退回。</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25、磋商响应书的修改和撤回</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25.1供应商递交磋商响应书后，可以在规定的磋商响应截止时间前修改或撤回其磋商响应书。但这种修改和撤回，必须以书面形式通知采购单位。</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25.2供应商修改书或撤回通知书，应由法定代表人或其授权代表签署，修改书应当按竞争性磋商文件要求进行密封、标记和提交。</w:t>
      </w: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六、开标</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26、开标活动符合相关法律法规</w:t>
      </w:r>
      <w:r>
        <w:rPr>
          <w:rFonts w:hint="eastAsia" w:ascii="宋体" w:hAnsi="宋体" w:cs="宋体"/>
          <w:color w:val="auto"/>
          <w:sz w:val="24"/>
          <w:szCs w:val="24"/>
          <w:highlight w:val="none"/>
          <w:lang w:eastAsia="zh-CN"/>
        </w:rPr>
        <w:t>，在采购人纪委监督下自行组织开评标活动，供应商不参加开标</w:t>
      </w:r>
      <w:r>
        <w:rPr>
          <w:rFonts w:hint="eastAsia" w:ascii="宋体" w:hAnsi="宋体" w:eastAsia="宋体" w:cs="宋体"/>
          <w:color w:val="auto"/>
          <w:sz w:val="24"/>
          <w:szCs w:val="24"/>
          <w:highlight w:val="none"/>
        </w:rPr>
        <w:t>。</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27、开标会议</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27.1主持人按竞争性磋商规定，</w:t>
      </w:r>
      <w:r>
        <w:rPr>
          <w:rFonts w:hint="eastAsia" w:ascii="宋体" w:hAnsi="宋体" w:cs="宋体"/>
          <w:color w:val="auto"/>
          <w:sz w:val="24"/>
          <w:szCs w:val="24"/>
          <w:highlight w:val="none"/>
          <w:lang w:eastAsia="zh-CN"/>
        </w:rPr>
        <w:t>不</w:t>
      </w:r>
      <w:r>
        <w:rPr>
          <w:rFonts w:hint="eastAsia" w:ascii="宋体" w:hAnsi="宋体" w:eastAsia="宋体" w:cs="宋体"/>
          <w:color w:val="auto"/>
          <w:sz w:val="24"/>
          <w:szCs w:val="24"/>
          <w:highlight w:val="none"/>
        </w:rPr>
        <w:t>邀请供应商代表参加。</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27.2 按规定提交合格的撤回通知的磋商响应文件不予开封，并退回给供应商。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27.3 开标由采购</w:t>
      </w:r>
      <w:r>
        <w:rPr>
          <w:rFonts w:hint="eastAsia" w:ascii="宋体" w:hAnsi="宋体" w:cs="宋体"/>
          <w:color w:val="auto"/>
          <w:sz w:val="24"/>
          <w:szCs w:val="24"/>
          <w:highlight w:val="none"/>
          <w:lang w:eastAsia="zh-CN"/>
        </w:rPr>
        <w:t>人国资处部门</w:t>
      </w:r>
      <w:r>
        <w:rPr>
          <w:rFonts w:hint="eastAsia" w:ascii="宋体" w:hAnsi="宋体" w:eastAsia="宋体" w:cs="宋体"/>
          <w:color w:val="auto"/>
          <w:sz w:val="24"/>
          <w:szCs w:val="24"/>
          <w:highlight w:val="none"/>
        </w:rPr>
        <w:t>相关人员主持。</w:t>
      </w: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七、评标定标</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28、磋商与评标</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28.1磋商与评审程序</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28.1.1磋商小组由采购人依法组建，成员人数为3人以上单数。</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28.1.2磋商小组首先对供应商的有效性进行审查。</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28.1.3磋商开始前，磋商小组将认真审查供应商提交的磋商响应书，了解其与磋商文件要求是否有偏离，并对照本磋商文件规定评判供应商是否合格。审查完磋商响应书后，对合格供应商提供的样品(如有)进行检验。</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28.1.4磋商小组所有成员集中与单一供应商进行逐一磋商。磋商小组可以根据磋商文件和磋商情况实质性变动采购需求中的技术、服务要求以及合同草案条款，但不得变动磋商文件中的其他内容。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应当按照磋商文件的变动情况和磋商小组的要求重新提交响应文件，并由其法定代表人或授权代表签字或者加盖公章。由授权代表签字的，应当附法定代表人授权书。供应商为自然人的，应当由本人签字并附身份证明。</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28.1.5对否定的供应商，磋商小组要提出充足的否定理由，并填写在评审记录上；对评审结果持有异议的，按照少数服从多数的原则由评委采取投票方式表决确定并记录入评审记录。</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28.2磋商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28.2.1在掌握了供应商磋商响应书及样品（如有）的基本情况后，磋商小组将与供应商分别进行磋商。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28.2.2在磋商过程中，磋商小组可以根据磋商文件和磋商情况实质性变动采购需求中的技术、服务要求以及合同草案条款，实质性变动内容是磋商文件的有效组成部分。实质性变动的内容，经采购人代表确认。</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对磋商文件作出的实质性变动是磋商文件的有效组成部分，磋商小组应当及时以书面形式同时通知所有参加磋商的供应商。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应当按照磋商文件的变动情况和磋商小组的要求重新提交响应文件，并由其法定代表人或授权代表签字或者加盖公章。由授权代表签字的，应当附法定代表人授权书。供应商为自然人的，应当由本人签字并附身份证明。</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28.3报价</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28.3.1响应报价超过项目预算控制数或不按规定格式进行报价的属于无效响应。报价表应按要求填写并装订入响应文件内。</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28.3.2如磋商过程中没有增加货物、工程数量或服务要求的，则二次报价时不得高于磋商响应书中的报价</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成交后其单价部分按最后报价总价下降幅度同比例下降。</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29、成交候选人</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29.1推荐成交候选人。在全部满足磋商文件实质性要求前提下，按照磋商文件中规定的各项因素进行综合评审，以总得分由高到低的顺序并经须知前附表中要求的信用信息查询后，提出成交候选供应商。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29.2评标过程的保密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开标后，直至授予成交供应商合同为止，凡属于对磋商响应文件的审查、澄清、评价和比较的有关资料以及成交候选人的推荐情况，与评标有关的其他任何情况均严格保密。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成交供应商确定后，采购人不对未成交供应商就评标过程以及未能成交原因作出任何解释。未成交供应商不得向磋商小组组成人员或其他有关人员询问评标过程的情况和索要材料。</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29.3异常情况处理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出现以下情况之一的，将重新组织磋商：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29.3.1经过磋商，供应商所提供的服务仍无法满足磋商文件实质性要求、影响工作的；</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29.3.2出现影响采购公正的违法、违规行为的。</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30、质疑和投诉</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供应商应在法定质疑期内一次性提出针对同一采购程序环节的质疑。提出质疑的供应商应当是参与所质疑项目采购活动的供应商。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提出质疑的供应商委托代理人进行质疑的。其授权委托书应当载明代理人的姓名或者名称、代理事项、具体权限、期限和相关事项。供应商为自然人的，应当由本人签字；供应商为法人或者其他组织的，应当由法定代表人、主要负责人签字或者盖章，并加盖公章。并在递交质疑函时一并递交授权委托书。</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供应商如对本采购文件有任何疑问或澄清要求，应在知其权益受到损害之日起七个工作日内提出。否则视同供应商对文件理解和接受。</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供应商对成交公告有质疑的，应在成交公告期限届满之日起七个工作日前提出。</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采购文件中非通用条款部分方面及评标结果的质疑向采购人提出，采购人在七个工作日内作出答复。关于采购文件通用条款部分以及采购程序方面的质疑向采购主管部门提出，由其作出答复。质疑人对答复内容不满意的或受理单位未在规定时间内作出答复的，可在答复期满后十五个工作日内向监督管理部门提出投诉。相关联系人及联系方式根据质疑提出阶段的不同分别见采购公告和成交公告。</w:t>
      </w: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八、废标</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31、在竞争性磋商采购中，出现下列情形之一的，本项目废标：</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31.1合格供应商不足规定家数的；</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31.2出现影响采购公正的违法、违规行为的；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31.3采购需求出现重大问题，导致磋商小组认为无法继续评审的；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31.4因重大变故，采购任务取消的。</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31.5法律法规规定的其他应该废标的情形。</w:t>
      </w: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九、评标办法</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着坚持“公开、公平、公正”的原则，为维护磋商响应双方的合法权益，增加评标工作透明度，保证评标、定标的科学性、公正性和可操作性，根据《中华人民共和国政府采购法》、《中华人民共和国政府采购法实施条例》、《政府采购货物和服务招标投标管理办法》等法律法规的精神，并结合本项目实际制定本办法。</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综合评分法，即在全部满足磋商文件实质性要求前提下，按照磋商文件中规定的各项因素进行综合评审，以总得分由高到低的顺序并经须知前附表中要求的信用信息查询后，提出成交候选供应商。得分相同时，按投标报价由低到高顺序排列。得分且投标报价相同的，由专家按服务方案优劣顺序进行排序。服务方案得分相同时，则由投标供应商在相关部门的监督下现场抽签决定排序，若有投标供应商不能及时参加现场抽签的，则由采购人或采购代理机构在监督下代为抽取，不论何种理由不能参加现场抽签的投标人应无条件认可抽签结果。</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本项目采取的评标办法见供应商须知前附表。</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32、评标程序</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磋商小组应认真研究磋商文件及采购需求，应了解和熟悉竞争性磋商项目的范围、性质、特征主要技术服务要求及标准、评审标准等相关内容：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32.1磋商小组首先根据已发布的磋商文件核对磋商响应文件，与磋商文件内容不符的，按磋商文件内容对磋商响应文件进行修改。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32.2磋商小组成员对响应文件有效性进行评审。</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32.3先进行有效性评审的，采用综合评分法的将技术与商务部分得分汇总后，最后再进行报价部分评审。磋商小组根据采购文件，推荐有排序的预成交候选人，并形成评标报告。</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32.3.1磋商小组发现供应商的磋商响应文件中对同类问题表述不一致、前后矛盾、有明显文字和计算错误的内容、有可能不符合磋商文件规定等情况需要澄清时，磋商小组将以询标的方式告知并要求供应商以书面方式进行必要的澄清、说明或补正。对否定的磋商响应文件，评委要提出充足的否定理由，并填写在评标记录上。对评审结果持有不同意见的，按照少数服从多数的原则由评委采取投票方式表决确定。磋商小组成员应当在评审报告上签字，对自己的评审意见承担法律责任。对评审报告有异议的，应当在评审报告上签署不同意见，并说明理由，否则视为同意评审报告。</w:t>
      </w:r>
    </w:p>
    <w:p>
      <w:pPr>
        <w:pStyle w:val="17"/>
        <w:wordWrap w:val="0"/>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询标函格式如下：</w:t>
      </w:r>
    </w:p>
    <w:tbl>
      <w:tblPr>
        <w:tblStyle w:val="12"/>
        <w:tblW w:w="86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2"/>
        <w:gridCol w:w="55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3032" w:type="dxa"/>
            <w:vAlign w:val="center"/>
          </w:tcPr>
          <w:p>
            <w:pPr>
              <w:pStyle w:val="17"/>
              <w:keepNext w:val="0"/>
              <w:keepLines w:val="0"/>
              <w:suppressLineNumbers w:val="0"/>
              <w:wordWrap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w:t>
            </w:r>
          </w:p>
        </w:tc>
        <w:tc>
          <w:tcPr>
            <w:tcW w:w="5573" w:type="dxa"/>
            <w:vAlign w:val="center"/>
          </w:tcPr>
          <w:p>
            <w:pPr>
              <w:pStyle w:val="17"/>
              <w:keepNext w:val="0"/>
              <w:keepLines w:val="0"/>
              <w:suppressLineNumbers w:val="0"/>
              <w:wordWrap w:val="0"/>
              <w:spacing w:before="0" w:beforeAutospacing="0" w:after="0" w:afterAutospacing="0"/>
              <w:ind w:left="0" w:right="0"/>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3032" w:type="dxa"/>
            <w:vAlign w:val="center"/>
          </w:tcPr>
          <w:p>
            <w:pPr>
              <w:pStyle w:val="17"/>
              <w:keepNext w:val="0"/>
              <w:keepLines w:val="0"/>
              <w:suppressLineNumbers w:val="0"/>
              <w:wordWrap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项目（标段）编号</w:t>
            </w:r>
          </w:p>
        </w:tc>
        <w:tc>
          <w:tcPr>
            <w:tcW w:w="5573" w:type="dxa"/>
            <w:vAlign w:val="center"/>
          </w:tcPr>
          <w:p>
            <w:pPr>
              <w:pStyle w:val="17"/>
              <w:keepNext w:val="0"/>
              <w:keepLines w:val="0"/>
              <w:suppressLineNumbers w:val="0"/>
              <w:wordWrap w:val="0"/>
              <w:spacing w:before="0" w:beforeAutospacing="0" w:after="0" w:afterAutospacing="0"/>
              <w:ind w:left="0" w:right="0"/>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3032" w:type="dxa"/>
            <w:vAlign w:val="center"/>
          </w:tcPr>
          <w:p>
            <w:pPr>
              <w:pStyle w:val="17"/>
              <w:keepNext w:val="0"/>
              <w:keepLines w:val="0"/>
              <w:suppressLineNumbers w:val="0"/>
              <w:wordWrap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评标委员会询标内容</w:t>
            </w:r>
          </w:p>
        </w:tc>
        <w:tc>
          <w:tcPr>
            <w:tcW w:w="5573" w:type="dxa"/>
            <w:vAlign w:val="center"/>
          </w:tcPr>
          <w:p>
            <w:pPr>
              <w:pStyle w:val="17"/>
              <w:keepNext w:val="0"/>
              <w:keepLines w:val="0"/>
              <w:suppressLineNumbers w:val="0"/>
              <w:wordWrap w:val="0"/>
              <w:spacing w:before="0" w:beforeAutospacing="0" w:after="0" w:afterAutospacing="0"/>
              <w:ind w:left="0" w:right="0"/>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3" w:hRule="atLeast"/>
        </w:trPr>
        <w:tc>
          <w:tcPr>
            <w:tcW w:w="3032" w:type="dxa"/>
            <w:vAlign w:val="center"/>
          </w:tcPr>
          <w:p>
            <w:pPr>
              <w:pStyle w:val="17"/>
              <w:keepNext w:val="0"/>
              <w:keepLines w:val="0"/>
              <w:suppressLineNumbers w:val="0"/>
              <w:wordWrap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投标供应商澄清说明</w:t>
            </w:r>
          </w:p>
        </w:tc>
        <w:tc>
          <w:tcPr>
            <w:tcW w:w="5573" w:type="dxa"/>
            <w:vAlign w:val="center"/>
          </w:tcPr>
          <w:p>
            <w:pPr>
              <w:pStyle w:val="17"/>
              <w:keepNext w:val="0"/>
              <w:keepLines w:val="0"/>
              <w:suppressLineNumbers w:val="0"/>
              <w:wordWrap w:val="0"/>
              <w:spacing w:before="0" w:beforeAutospacing="0" w:after="0" w:afterAutospacing="0"/>
              <w:ind w:left="0" w:right="0"/>
              <w:rPr>
                <w:rFonts w:hint="eastAsia" w:ascii="宋体" w:hAnsi="宋体" w:eastAsia="宋体" w:cs="宋体"/>
                <w:color w:val="auto"/>
                <w:sz w:val="24"/>
                <w:szCs w:val="24"/>
                <w:highlight w:val="none"/>
              </w:rPr>
            </w:pPr>
          </w:p>
          <w:p>
            <w:pPr>
              <w:pStyle w:val="17"/>
              <w:keepNext w:val="0"/>
              <w:keepLines w:val="0"/>
              <w:suppressLineNumbers w:val="0"/>
              <w:wordWrap w:val="0"/>
              <w:spacing w:before="0" w:beforeAutospacing="0" w:after="0" w:afterAutospacing="0"/>
              <w:ind w:left="0" w:right="0"/>
              <w:rPr>
                <w:rFonts w:hint="eastAsia" w:ascii="宋体" w:hAnsi="宋体" w:eastAsia="宋体" w:cs="宋体"/>
                <w:color w:val="auto"/>
                <w:sz w:val="24"/>
                <w:szCs w:val="24"/>
                <w:highlight w:val="none"/>
              </w:rPr>
            </w:pPr>
          </w:p>
          <w:p>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p>
            <w:pPr>
              <w:keepNext w:val="0"/>
              <w:keepLines w:val="0"/>
              <w:widowControl/>
              <w:suppressLineNumbers w:val="0"/>
              <w:spacing w:before="0" w:beforeAutospacing="0" w:after="0" w:afterAutospacing="0"/>
              <w:ind w:left="0" w:right="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 xml:space="preserve">投标人签章： </w:t>
            </w:r>
          </w:p>
          <w:p>
            <w:pPr>
              <w:pStyle w:val="17"/>
              <w:keepNext w:val="0"/>
              <w:keepLines w:val="0"/>
              <w:suppressLineNumbers w:val="0"/>
              <w:wordWrap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trPr>
        <w:tc>
          <w:tcPr>
            <w:tcW w:w="3032" w:type="dxa"/>
            <w:vAlign w:val="center"/>
          </w:tcPr>
          <w:p>
            <w:pPr>
              <w:pStyle w:val="17"/>
              <w:keepNext w:val="0"/>
              <w:keepLines w:val="0"/>
              <w:suppressLineNumbers w:val="0"/>
              <w:wordWrap w:val="0"/>
              <w:spacing w:before="0" w:beforeAutospacing="0" w:after="0" w:afterAutospacing="0"/>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审查结论</w:t>
            </w:r>
          </w:p>
          <w:p>
            <w:pPr>
              <w:pStyle w:val="17"/>
              <w:keepNext w:val="0"/>
              <w:keepLines w:val="0"/>
              <w:suppressLineNumbers w:val="0"/>
              <w:wordWrap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5573" w:type="dxa"/>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 xml:space="preserve">通过。 </w:t>
            </w:r>
          </w:p>
          <w:p>
            <w:pPr>
              <w:keepNext w:val="0"/>
              <w:keepLines w:val="0"/>
              <w:widowControl/>
              <w:suppressLineNumbers w:val="0"/>
              <w:spacing w:before="0" w:beforeAutospacing="0" w:after="0" w:afterAutospacing="0"/>
              <w:ind w:left="0" w:right="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不通过。</w:t>
            </w:r>
          </w:p>
          <w:p>
            <w:pPr>
              <w:pStyle w:val="17"/>
              <w:keepNext w:val="0"/>
              <w:keepLines w:val="0"/>
              <w:suppressLineNumbers w:val="0"/>
              <w:wordWrap w:val="0"/>
              <w:spacing w:before="0" w:beforeAutospacing="0" w:after="0" w:afterAutospacing="0"/>
              <w:ind w:left="0"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原因：</w:t>
            </w:r>
          </w:p>
        </w:tc>
      </w:tr>
    </w:tbl>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32.3.2评审报告是磋商小组根据全体评标成员签字的原始评标记录和评标结果编写的报告，磋商小组全体成员均须在评审报告上签字。评审报告应如实记录本次评标的主要过程，全面反映评标过程中的各种不同的意见，以及其他澄清、说明、补正事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32.3.3磋商小组在评标过程中发现的问题，应当区别情形及时作出处理。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32.3.4磋商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磋商小组应当将其作为无效投标处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32.3.5如采购文件中要求提供原件进行审查的，各供应商应按采购文件要求将相关原件材料等带到开标现场，在开标截止时间前一并递交，迟交将不接收。相关原件的扫描件应当加盖公章装订在磋商响应文件内，由评标专家进行评审。</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32.3.6磋商小组评审磋商响应文件依据为磋商响应文件以及按采购文件要求递交的其它资料。</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32.3.7磋商小组和评标工作人员应严格遵守国家的法律、法规和规章制度；严格按照本次磋商文件进行评标；公正廉洁、不徇私情，不得损害国家利益；保护采购人、供应商的合法权益。</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32.3.8磋商小组的分项评分偏离超过磋商小组全体成员的评分均值±20%，该成员的该项分值将被剔除，以其他未超出偏离范围的磋商小组的评分均值（称为“评分修正值”）替代；磋商小组成员的分项评分偏离均超过磋商小组全体成员的评分均值±20%，则以磋商小组全体成员的评分均值作为该供应商的分项得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32.4磋商小组发现采购文件内容违反国家有关强制性规定的，应当停止评审并向采购人说明情况。</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32.5投标人存在以下不良信用记录情形之一,不得推荐为中标候选人: </w:t>
      </w:r>
    </w:p>
    <w:p>
      <w:pPr>
        <w:pStyle w:val="17"/>
        <w:wordWrap w:val="0"/>
        <w:spacing w:line="360" w:lineRule="auto"/>
        <w:ind w:firstLine="480" w:firstLineChars="200"/>
        <w:jc w:val="left"/>
        <w:rPr>
          <w:rFonts w:hint="eastAsia"/>
          <w:color w:val="auto"/>
          <w:highlight w:val="none"/>
        </w:rPr>
      </w:pPr>
      <w:r>
        <w:rPr>
          <w:rFonts w:hint="eastAsia"/>
          <w:color w:val="auto"/>
          <w:highlight w:val="none"/>
          <w:lang w:eastAsia="zh-CN"/>
        </w:rPr>
        <w:t>（</w:t>
      </w:r>
      <w:r>
        <w:rPr>
          <w:rFonts w:hint="eastAsia"/>
          <w:color w:val="auto"/>
          <w:highlight w:val="none"/>
          <w:lang w:val="en-US" w:eastAsia="zh-CN"/>
        </w:rPr>
        <w:t>1</w:t>
      </w:r>
      <w:r>
        <w:rPr>
          <w:rFonts w:hint="eastAsia"/>
          <w:color w:val="auto"/>
          <w:highlight w:val="none"/>
          <w:lang w:eastAsia="zh-CN"/>
        </w:rPr>
        <w:t>）</w:t>
      </w:r>
      <w:r>
        <w:rPr>
          <w:rFonts w:hint="eastAsia"/>
          <w:color w:val="auto"/>
          <w:highlight w:val="none"/>
        </w:rPr>
        <w:t>供应商被人民法院列入失信被执行人的；</w:t>
      </w:r>
    </w:p>
    <w:p>
      <w:pPr>
        <w:pStyle w:val="17"/>
        <w:wordWrap w:val="0"/>
        <w:spacing w:line="360" w:lineRule="auto"/>
        <w:ind w:firstLine="480" w:firstLineChars="200"/>
        <w:jc w:val="left"/>
        <w:rPr>
          <w:rFonts w:hint="eastAsia"/>
          <w:color w:val="auto"/>
          <w:highlight w:val="none"/>
        </w:rPr>
      </w:pPr>
      <w:r>
        <w:rPr>
          <w:rFonts w:hint="eastAsia"/>
          <w:color w:val="auto"/>
          <w:highlight w:val="none"/>
          <w:lang w:eastAsia="zh-CN"/>
        </w:rPr>
        <w:t>（</w:t>
      </w:r>
      <w:r>
        <w:rPr>
          <w:rFonts w:hint="eastAsia"/>
          <w:color w:val="auto"/>
          <w:highlight w:val="none"/>
          <w:lang w:val="en-US" w:eastAsia="zh-CN"/>
        </w:rPr>
        <w:t>2</w:t>
      </w:r>
      <w:r>
        <w:rPr>
          <w:rFonts w:hint="eastAsia"/>
          <w:color w:val="auto"/>
          <w:highlight w:val="none"/>
          <w:lang w:eastAsia="zh-CN"/>
        </w:rPr>
        <w:t>）</w:t>
      </w:r>
      <w:r>
        <w:rPr>
          <w:rFonts w:hint="eastAsia"/>
          <w:color w:val="auto"/>
          <w:highlight w:val="none"/>
        </w:rPr>
        <w:t>供应商或其法定代表人近三年内被人民检察院列入行贿犯罪档案的；</w:t>
      </w:r>
    </w:p>
    <w:p>
      <w:pPr>
        <w:pStyle w:val="17"/>
        <w:wordWrap w:val="0"/>
        <w:spacing w:line="360" w:lineRule="auto"/>
        <w:ind w:firstLine="480" w:firstLineChars="200"/>
        <w:jc w:val="left"/>
        <w:rPr>
          <w:rFonts w:hint="eastAsia"/>
          <w:color w:val="auto"/>
          <w:highlight w:val="none"/>
        </w:rPr>
      </w:pPr>
      <w:r>
        <w:rPr>
          <w:rFonts w:hint="eastAsia"/>
          <w:color w:val="auto"/>
          <w:highlight w:val="none"/>
          <w:lang w:eastAsia="zh-CN"/>
        </w:rPr>
        <w:t>（</w:t>
      </w:r>
      <w:r>
        <w:rPr>
          <w:rFonts w:hint="eastAsia"/>
          <w:color w:val="auto"/>
          <w:highlight w:val="none"/>
          <w:lang w:val="en-US" w:eastAsia="zh-CN"/>
        </w:rPr>
        <w:t>3</w:t>
      </w:r>
      <w:r>
        <w:rPr>
          <w:rFonts w:hint="eastAsia"/>
          <w:color w:val="auto"/>
          <w:highlight w:val="none"/>
          <w:lang w:eastAsia="zh-CN"/>
        </w:rPr>
        <w:t>）</w:t>
      </w:r>
      <w:r>
        <w:rPr>
          <w:rFonts w:hint="eastAsia"/>
          <w:color w:val="auto"/>
          <w:highlight w:val="none"/>
        </w:rPr>
        <w:t>供应商被工商行政管理部门列入企业经营异常名录的；</w:t>
      </w:r>
    </w:p>
    <w:p>
      <w:pPr>
        <w:pStyle w:val="17"/>
        <w:wordWrap w:val="0"/>
        <w:spacing w:line="360" w:lineRule="auto"/>
        <w:ind w:firstLine="480" w:firstLineChars="200"/>
        <w:jc w:val="left"/>
        <w:rPr>
          <w:rFonts w:hint="eastAsia"/>
          <w:color w:val="auto"/>
          <w:highlight w:val="none"/>
        </w:rPr>
      </w:pPr>
      <w:r>
        <w:rPr>
          <w:rFonts w:hint="eastAsia"/>
          <w:color w:val="auto"/>
          <w:highlight w:val="none"/>
          <w:lang w:eastAsia="zh-CN"/>
        </w:rPr>
        <w:t>（</w:t>
      </w:r>
      <w:r>
        <w:rPr>
          <w:rFonts w:hint="eastAsia"/>
          <w:color w:val="auto"/>
          <w:highlight w:val="none"/>
          <w:lang w:val="en-US" w:eastAsia="zh-CN"/>
        </w:rPr>
        <w:t>4</w:t>
      </w:r>
      <w:r>
        <w:rPr>
          <w:rFonts w:hint="eastAsia"/>
          <w:color w:val="auto"/>
          <w:highlight w:val="none"/>
          <w:lang w:eastAsia="zh-CN"/>
        </w:rPr>
        <w:t>）</w:t>
      </w:r>
      <w:r>
        <w:rPr>
          <w:rFonts w:hint="eastAsia"/>
          <w:color w:val="auto"/>
          <w:highlight w:val="none"/>
        </w:rPr>
        <w:t>供应商被税务部门列入重大税收违法案件当事人名单的；</w:t>
      </w:r>
    </w:p>
    <w:p>
      <w:pPr>
        <w:pStyle w:val="17"/>
        <w:wordWrap w:val="0"/>
        <w:spacing w:line="360" w:lineRule="auto"/>
        <w:ind w:firstLine="480" w:firstLineChars="200"/>
        <w:jc w:val="left"/>
        <w:rPr>
          <w:rFonts w:hint="eastAsia"/>
          <w:color w:val="auto"/>
          <w:highlight w:val="none"/>
        </w:rPr>
      </w:pPr>
      <w:r>
        <w:rPr>
          <w:rFonts w:hint="eastAsia"/>
          <w:color w:val="auto"/>
          <w:highlight w:val="none"/>
          <w:lang w:eastAsia="zh-CN"/>
        </w:rPr>
        <w:t>（</w:t>
      </w:r>
      <w:r>
        <w:rPr>
          <w:rFonts w:hint="eastAsia"/>
          <w:color w:val="auto"/>
          <w:highlight w:val="none"/>
          <w:lang w:val="en-US" w:eastAsia="zh-CN"/>
        </w:rPr>
        <w:t>5</w:t>
      </w:r>
      <w:r>
        <w:rPr>
          <w:rFonts w:hint="eastAsia"/>
          <w:color w:val="auto"/>
          <w:highlight w:val="none"/>
          <w:lang w:eastAsia="zh-CN"/>
        </w:rPr>
        <w:t>）</w:t>
      </w:r>
      <w:r>
        <w:rPr>
          <w:rFonts w:hint="eastAsia"/>
          <w:color w:val="auto"/>
          <w:highlight w:val="none"/>
        </w:rPr>
        <w:t>供应商被政府采购监管部门列入政府采购严重违法失信行为记录名单的。</w:t>
      </w:r>
    </w:p>
    <w:p>
      <w:pPr>
        <w:pStyle w:val="17"/>
        <w:wordWrap w:val="0"/>
        <w:spacing w:line="360" w:lineRule="auto"/>
        <w:ind w:firstLine="480" w:firstLineChars="200"/>
        <w:jc w:val="left"/>
        <w:rPr>
          <w:rFonts w:hint="eastAsia"/>
          <w:color w:val="auto"/>
          <w:highlight w:val="none"/>
        </w:rPr>
      </w:pPr>
      <w:r>
        <w:rPr>
          <w:rFonts w:hint="eastAsia"/>
          <w:color w:val="auto"/>
          <w:highlight w:val="none"/>
          <w:lang w:eastAsia="zh-CN"/>
        </w:rPr>
        <w:t>（</w:t>
      </w:r>
      <w:r>
        <w:rPr>
          <w:rFonts w:hint="eastAsia"/>
          <w:color w:val="auto"/>
          <w:highlight w:val="none"/>
          <w:lang w:val="en-US" w:eastAsia="zh-CN"/>
        </w:rPr>
        <w:t>6</w:t>
      </w:r>
      <w:r>
        <w:rPr>
          <w:rFonts w:hint="eastAsia"/>
          <w:color w:val="auto"/>
          <w:highlight w:val="none"/>
          <w:lang w:eastAsia="zh-CN"/>
        </w:rPr>
        <w:t>）</w:t>
      </w:r>
      <w:r>
        <w:rPr>
          <w:rFonts w:hint="eastAsia"/>
          <w:color w:val="auto"/>
          <w:highlight w:val="none"/>
        </w:rPr>
        <w:t>被铜陵市公共资源交易监管部门记录的不良行为累计分值在 10 分（含）-15 分（不含），且最近一次不良行为记录公布日距开标日未超过 3 个月；</w:t>
      </w:r>
    </w:p>
    <w:p>
      <w:pPr>
        <w:pStyle w:val="17"/>
        <w:wordWrap w:val="0"/>
        <w:spacing w:line="360" w:lineRule="auto"/>
        <w:ind w:firstLine="480" w:firstLineChars="200"/>
        <w:jc w:val="left"/>
        <w:rPr>
          <w:rFonts w:hint="eastAsia"/>
          <w:color w:val="auto"/>
          <w:highlight w:val="none"/>
        </w:rPr>
      </w:pPr>
      <w:r>
        <w:rPr>
          <w:rFonts w:hint="eastAsia"/>
          <w:color w:val="auto"/>
          <w:highlight w:val="none"/>
          <w:lang w:eastAsia="zh-CN"/>
        </w:rPr>
        <w:t>（</w:t>
      </w:r>
      <w:r>
        <w:rPr>
          <w:rFonts w:hint="eastAsia"/>
          <w:color w:val="auto"/>
          <w:highlight w:val="none"/>
          <w:lang w:val="en-US" w:eastAsia="zh-CN"/>
        </w:rPr>
        <w:t>7</w:t>
      </w:r>
      <w:r>
        <w:rPr>
          <w:rFonts w:hint="eastAsia"/>
          <w:color w:val="auto"/>
          <w:highlight w:val="none"/>
          <w:lang w:eastAsia="zh-CN"/>
        </w:rPr>
        <w:t>）</w:t>
      </w:r>
      <w:r>
        <w:rPr>
          <w:rFonts w:hint="eastAsia"/>
          <w:color w:val="auto"/>
          <w:highlight w:val="none"/>
        </w:rPr>
        <w:t>被铜陵市公共资源交易监管部门记不良行为记录累计分值在 15 分（含）-20 分（不含），且最近一次不良行为记录公布日距开标日未超过 6 个月；</w:t>
      </w:r>
    </w:p>
    <w:p>
      <w:pPr>
        <w:pStyle w:val="17"/>
        <w:wordWrap w:val="0"/>
        <w:spacing w:line="360" w:lineRule="auto"/>
        <w:ind w:firstLine="480" w:firstLineChars="200"/>
        <w:jc w:val="left"/>
        <w:rPr>
          <w:rFonts w:hint="eastAsia"/>
          <w:color w:val="auto"/>
          <w:highlight w:val="none"/>
        </w:rPr>
      </w:pPr>
      <w:r>
        <w:rPr>
          <w:rFonts w:hint="eastAsia"/>
          <w:color w:val="auto"/>
          <w:highlight w:val="none"/>
          <w:lang w:eastAsia="zh-CN"/>
        </w:rPr>
        <w:t>（</w:t>
      </w:r>
      <w:r>
        <w:rPr>
          <w:rFonts w:hint="eastAsia"/>
          <w:color w:val="auto"/>
          <w:highlight w:val="none"/>
          <w:lang w:val="en-US" w:eastAsia="zh-CN"/>
        </w:rPr>
        <w:t>8</w:t>
      </w:r>
      <w:r>
        <w:rPr>
          <w:rFonts w:hint="eastAsia"/>
          <w:color w:val="auto"/>
          <w:highlight w:val="none"/>
          <w:lang w:eastAsia="zh-CN"/>
        </w:rPr>
        <w:t>）</w:t>
      </w:r>
      <w:r>
        <w:rPr>
          <w:rFonts w:hint="eastAsia"/>
          <w:color w:val="auto"/>
          <w:highlight w:val="none"/>
        </w:rPr>
        <w:t>被铜陵市公共资源交易监管部门记不良行为记录累计分值达 20</w:t>
      </w:r>
      <w:r>
        <w:rPr>
          <w:rFonts w:hint="eastAsia"/>
          <w:color w:val="auto"/>
          <w:highlight w:val="none"/>
          <w:lang w:val="en-US" w:eastAsia="zh-CN"/>
        </w:rPr>
        <w:t xml:space="preserve"> </w:t>
      </w:r>
      <w:r>
        <w:rPr>
          <w:rFonts w:hint="eastAsia"/>
          <w:color w:val="auto"/>
          <w:highlight w:val="none"/>
        </w:rPr>
        <w:t>分（含）以上，且最近一次不良行为记录公布日距开标日未超过 12 个月。</w:t>
      </w:r>
    </w:p>
    <w:p>
      <w:pPr>
        <w:pStyle w:val="17"/>
        <w:wordWrap w:val="0"/>
        <w:spacing w:line="360" w:lineRule="auto"/>
        <w:ind w:firstLine="480" w:firstLineChars="200"/>
        <w:jc w:val="left"/>
        <w:rPr>
          <w:rFonts w:hint="eastAsia"/>
          <w:color w:val="auto"/>
          <w:highlight w:val="none"/>
        </w:rPr>
      </w:pPr>
      <w:r>
        <w:rPr>
          <w:rFonts w:hint="eastAsia"/>
          <w:color w:val="auto"/>
          <w:highlight w:val="none"/>
        </w:rPr>
        <w:t>以 上 情 形 第 （ 1 ）（ 3 ）（ 4 ）（ 5 ） 条 以 “ 信 用 中 国 ”</w:t>
      </w:r>
    </w:p>
    <w:p>
      <w:pPr>
        <w:pStyle w:val="17"/>
        <w:wordWrap w:val="0"/>
        <w:spacing w:line="360" w:lineRule="auto"/>
        <w:ind w:firstLine="480" w:firstLineChars="200"/>
        <w:jc w:val="left"/>
        <w:rPr>
          <w:rFonts w:hint="eastAsia"/>
          <w:color w:val="auto"/>
          <w:highlight w:val="none"/>
        </w:rPr>
      </w:pPr>
      <w:r>
        <w:rPr>
          <w:rFonts w:hint="eastAsia"/>
          <w:color w:val="auto"/>
          <w:highlight w:val="none"/>
        </w:rPr>
        <w:t>（</w:t>
      </w:r>
      <w:r>
        <w:rPr>
          <w:rFonts w:hint="eastAsia"/>
          <w:color w:val="auto"/>
          <w:highlight w:val="none"/>
        </w:rPr>
        <w:fldChar w:fldCharType="begin"/>
      </w:r>
      <w:r>
        <w:rPr>
          <w:rFonts w:hint="eastAsia"/>
          <w:color w:val="auto"/>
          <w:highlight w:val="none"/>
        </w:rPr>
        <w:instrText xml:space="preserve"> HYPERLINK "http://www.creditchina.gov.cn/" \h </w:instrText>
      </w:r>
      <w:r>
        <w:rPr>
          <w:rFonts w:hint="eastAsia"/>
          <w:color w:val="auto"/>
          <w:highlight w:val="none"/>
        </w:rPr>
        <w:fldChar w:fldCharType="separate"/>
      </w:r>
      <w:r>
        <w:rPr>
          <w:rFonts w:hint="eastAsia"/>
          <w:color w:val="auto"/>
          <w:highlight w:val="none"/>
        </w:rPr>
        <w:t>http://www.creditchina.gov.cn</w:t>
      </w:r>
      <w:r>
        <w:rPr>
          <w:rFonts w:hint="eastAsia"/>
          <w:color w:val="auto"/>
          <w:highlight w:val="none"/>
        </w:rPr>
        <w:fldChar w:fldCharType="end"/>
      </w:r>
      <w:r>
        <w:rPr>
          <w:rFonts w:hint="eastAsia"/>
          <w:color w:val="auto"/>
          <w:highlight w:val="none"/>
        </w:rPr>
        <w:t>）或其他指定媒介[国家税务总局网站</w:t>
      </w:r>
    </w:p>
    <w:p>
      <w:pPr>
        <w:pStyle w:val="17"/>
        <w:wordWrap w:val="0"/>
        <w:spacing w:line="360" w:lineRule="auto"/>
        <w:ind w:firstLine="480" w:firstLineChars="200"/>
        <w:jc w:val="left"/>
        <w:rPr>
          <w:rFonts w:hint="eastAsia"/>
          <w:color w:val="auto"/>
          <w:highlight w:val="none"/>
        </w:rPr>
      </w:pPr>
      <w:r>
        <w:rPr>
          <w:rFonts w:hint="eastAsia"/>
          <w:color w:val="auto"/>
          <w:highlight w:val="none"/>
        </w:rPr>
        <w:t>（</w:t>
      </w:r>
      <w:r>
        <w:rPr>
          <w:rFonts w:hint="eastAsia"/>
          <w:color w:val="auto"/>
          <w:highlight w:val="none"/>
        </w:rPr>
        <w:fldChar w:fldCharType="begin"/>
      </w:r>
      <w:r>
        <w:rPr>
          <w:rFonts w:hint="eastAsia"/>
          <w:color w:val="auto"/>
          <w:highlight w:val="none"/>
        </w:rPr>
        <w:instrText xml:space="preserve"> HYPERLINK "http://www.chinatax.gov.cn/" \h </w:instrText>
      </w:r>
      <w:r>
        <w:rPr>
          <w:rFonts w:hint="eastAsia"/>
          <w:color w:val="auto"/>
          <w:highlight w:val="none"/>
        </w:rPr>
        <w:fldChar w:fldCharType="separate"/>
      </w:r>
      <w:r>
        <w:rPr>
          <w:rFonts w:hint="eastAsia"/>
          <w:color w:val="auto"/>
          <w:highlight w:val="none"/>
        </w:rPr>
        <w:t>www.chinatax.gov.cn</w:t>
      </w:r>
      <w:r>
        <w:rPr>
          <w:rFonts w:hint="eastAsia"/>
          <w:color w:val="auto"/>
          <w:highlight w:val="none"/>
        </w:rPr>
        <w:fldChar w:fldCharType="end"/>
      </w:r>
      <w:r>
        <w:rPr>
          <w:rFonts w:hint="eastAsia"/>
          <w:color w:val="auto"/>
          <w:highlight w:val="none"/>
        </w:rPr>
        <w:t>）、中国政府采购网（</w:t>
      </w:r>
      <w:r>
        <w:rPr>
          <w:rFonts w:hint="eastAsia"/>
          <w:color w:val="auto"/>
          <w:highlight w:val="none"/>
        </w:rPr>
        <w:fldChar w:fldCharType="begin"/>
      </w:r>
      <w:r>
        <w:rPr>
          <w:rFonts w:hint="eastAsia"/>
          <w:color w:val="auto"/>
          <w:highlight w:val="none"/>
        </w:rPr>
        <w:instrText xml:space="preserve"> HYPERLINK "http://www.ccgp.gov.cn/" \h </w:instrText>
      </w:r>
      <w:r>
        <w:rPr>
          <w:rFonts w:hint="eastAsia"/>
          <w:color w:val="auto"/>
          <w:highlight w:val="none"/>
        </w:rPr>
        <w:fldChar w:fldCharType="separate"/>
      </w:r>
      <w:r>
        <w:rPr>
          <w:rFonts w:hint="eastAsia"/>
          <w:color w:val="auto"/>
          <w:highlight w:val="none"/>
        </w:rPr>
        <w:t>www.ccgp.gov.cn</w:t>
      </w:r>
      <w:r>
        <w:rPr>
          <w:rFonts w:hint="eastAsia"/>
          <w:color w:val="auto"/>
          <w:highlight w:val="none"/>
        </w:rPr>
        <w:fldChar w:fldCharType="end"/>
      </w:r>
      <w:r>
        <w:rPr>
          <w:rFonts w:hint="eastAsia"/>
          <w:color w:val="auto"/>
          <w:highlight w:val="none"/>
        </w:rPr>
        <w:t>）、最高人民法院网站（</w:t>
      </w:r>
      <w:r>
        <w:rPr>
          <w:rFonts w:hint="eastAsia"/>
          <w:color w:val="auto"/>
          <w:highlight w:val="none"/>
        </w:rPr>
        <w:fldChar w:fldCharType="begin"/>
      </w:r>
      <w:r>
        <w:rPr>
          <w:rFonts w:hint="eastAsia"/>
          <w:color w:val="auto"/>
          <w:highlight w:val="none"/>
        </w:rPr>
        <w:instrText xml:space="preserve"> HYPERLINK "http://www.court.gov.cn/" \h </w:instrText>
      </w:r>
      <w:r>
        <w:rPr>
          <w:rFonts w:hint="eastAsia"/>
          <w:color w:val="auto"/>
          <w:highlight w:val="none"/>
        </w:rPr>
        <w:fldChar w:fldCharType="separate"/>
      </w:r>
      <w:r>
        <w:rPr>
          <w:rFonts w:hint="eastAsia"/>
          <w:color w:val="auto"/>
          <w:highlight w:val="none"/>
        </w:rPr>
        <w:t>www.court.gov.cn</w:t>
      </w:r>
      <w:r>
        <w:rPr>
          <w:rFonts w:hint="eastAsia"/>
          <w:color w:val="auto"/>
          <w:highlight w:val="none"/>
        </w:rPr>
        <w:fldChar w:fldCharType="end"/>
      </w:r>
      <w:r>
        <w:rPr>
          <w:rFonts w:hint="eastAsia"/>
          <w:color w:val="auto"/>
          <w:highlight w:val="none"/>
        </w:rPr>
        <w:t>）、国家企业信用信息公示系统网站</w:t>
      </w:r>
    </w:p>
    <w:p>
      <w:pPr>
        <w:pStyle w:val="17"/>
        <w:wordWrap w:val="0"/>
        <w:spacing w:line="360" w:lineRule="auto"/>
        <w:ind w:firstLine="480" w:firstLineChars="200"/>
        <w:jc w:val="left"/>
        <w:rPr>
          <w:rFonts w:hint="eastAsia"/>
          <w:color w:val="auto"/>
          <w:highlight w:val="none"/>
        </w:rPr>
      </w:pPr>
      <w:r>
        <w:rPr>
          <w:rFonts w:hint="eastAsia"/>
          <w:color w:val="auto"/>
          <w:highlight w:val="none"/>
        </w:rPr>
        <w:t>（</w:t>
      </w:r>
      <w:r>
        <w:rPr>
          <w:rFonts w:hint="eastAsia"/>
          <w:color w:val="auto"/>
          <w:highlight w:val="none"/>
        </w:rPr>
        <w:fldChar w:fldCharType="begin"/>
      </w:r>
      <w:r>
        <w:rPr>
          <w:rFonts w:hint="eastAsia"/>
          <w:color w:val="auto"/>
          <w:highlight w:val="none"/>
        </w:rPr>
        <w:instrText xml:space="preserve"> HYPERLINK "http://www.gsxt.gov.cn/" \h </w:instrText>
      </w:r>
      <w:r>
        <w:rPr>
          <w:rFonts w:hint="eastAsia"/>
          <w:color w:val="auto"/>
          <w:highlight w:val="none"/>
        </w:rPr>
        <w:fldChar w:fldCharType="separate"/>
      </w:r>
      <w:r>
        <w:rPr>
          <w:rFonts w:hint="eastAsia"/>
          <w:color w:val="auto"/>
          <w:highlight w:val="none"/>
        </w:rPr>
        <w:t>www.gsxt.gov.cn</w:t>
      </w:r>
      <w:r>
        <w:rPr>
          <w:rFonts w:hint="eastAsia"/>
          <w:color w:val="auto"/>
          <w:highlight w:val="none"/>
        </w:rPr>
        <w:fldChar w:fldCharType="end"/>
      </w:r>
      <w:r>
        <w:rPr>
          <w:rFonts w:hint="eastAsia"/>
          <w:color w:val="auto"/>
          <w:highlight w:val="none"/>
        </w:rPr>
        <w:t>）、中国裁判文书网（wenshu.court.gov.cn）。]发布的为准。由采购人代表或委托磋商小组在推荐成交候选人前对拟推荐的成交候选人进行查询并将查询结果截图反馈至磋商小组，由磋商小组记录在评标报告中。如在上述网站查询结果均显示没有相关记录，视为没有上述不良信用记录。如评标过程中因网络、网站的问题无法查询时，在成交公告期间由采购人代表查询并直接采用。</w:t>
      </w:r>
    </w:p>
    <w:p>
      <w:pPr>
        <w:pStyle w:val="17"/>
        <w:wordWrap w:val="0"/>
        <w:spacing w:line="360" w:lineRule="auto"/>
        <w:ind w:firstLine="480" w:firstLineChars="200"/>
        <w:jc w:val="left"/>
        <w:rPr>
          <w:rFonts w:hint="eastAsia"/>
          <w:color w:val="auto"/>
          <w:highlight w:val="none"/>
        </w:rPr>
      </w:pPr>
      <w:r>
        <w:rPr>
          <w:rFonts w:hint="eastAsia"/>
          <w:color w:val="auto"/>
          <w:highlight w:val="none"/>
        </w:rPr>
        <w:t>以上情形（6）、（7）、（8）由采购人代表或委托磋商小组在推荐成交候选人前对拟推荐的成交候选人进行现场查询，以铜陵市公共资源交易监管网信用信息栏开标当日“铜陵市（含县）市场竞争主体不良行为记录分值汇总表”为准，不良行为记录符合前述规定情形之一的，信用评审不合格。</w:t>
      </w:r>
    </w:p>
    <w:p>
      <w:pPr>
        <w:pStyle w:val="17"/>
        <w:wordWrap w:val="0"/>
        <w:spacing w:line="360" w:lineRule="auto"/>
        <w:ind w:firstLine="482" w:firstLineChars="200"/>
        <w:jc w:val="left"/>
        <w:rPr>
          <w:color w:val="auto"/>
          <w:highlight w:val="none"/>
        </w:rPr>
      </w:pPr>
      <w:r>
        <w:rPr>
          <w:rFonts w:hint="eastAsia"/>
          <w:b/>
          <w:bCs/>
          <w:color w:val="auto"/>
          <w:highlight w:val="none"/>
        </w:rPr>
        <w:t>以上情形由</w:t>
      </w:r>
      <w:r>
        <w:rPr>
          <w:rFonts w:hint="eastAsia"/>
          <w:b/>
          <w:bCs/>
          <w:color w:val="auto"/>
          <w:highlight w:val="none"/>
          <w:lang w:eastAsia="zh-CN"/>
        </w:rPr>
        <w:t>投标供应商</w:t>
      </w:r>
      <w:r>
        <w:rPr>
          <w:rFonts w:hint="eastAsia"/>
          <w:b/>
          <w:bCs/>
          <w:color w:val="auto"/>
          <w:highlight w:val="none"/>
        </w:rPr>
        <w:t>按投标函格式填写相关承诺。</w:t>
      </w:r>
    </w:p>
    <w:p>
      <w:pPr>
        <w:pStyle w:val="17"/>
        <w:wordWrap w:val="0"/>
        <w:spacing w:line="360" w:lineRule="auto"/>
        <w:ind w:firstLine="480" w:firstLineChars="200"/>
        <w:jc w:val="left"/>
        <w:rPr>
          <w:rFonts w:hint="eastAsia"/>
          <w:color w:val="auto"/>
          <w:highlight w:val="none"/>
        </w:rPr>
      </w:pPr>
      <w:r>
        <w:rPr>
          <w:rFonts w:hint="eastAsia"/>
          <w:color w:val="auto"/>
          <w:highlight w:val="none"/>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33、有效性审查</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若有一项不通过，作无效标处理。</w:t>
      </w:r>
    </w:p>
    <w:tbl>
      <w:tblPr>
        <w:tblStyle w:val="12"/>
        <w:tblW w:w="961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84"/>
        <w:gridCol w:w="1199"/>
        <w:gridCol w:w="4526"/>
        <w:gridCol w:w="320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6" w:hRule="exact"/>
          <w:jc w:val="center"/>
        </w:trPr>
        <w:tc>
          <w:tcPr>
            <w:tcW w:w="68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1199"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合格条件</w:t>
            </w:r>
          </w:p>
        </w:tc>
        <w:tc>
          <w:tcPr>
            <w:tcW w:w="4526"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投标资格合格条件标准</w:t>
            </w:r>
          </w:p>
        </w:tc>
        <w:tc>
          <w:tcPr>
            <w:tcW w:w="3207"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有效证明材料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692" w:hRule="exact"/>
          <w:jc w:val="center"/>
        </w:trPr>
        <w:tc>
          <w:tcPr>
            <w:tcW w:w="68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w:t>
            </w:r>
          </w:p>
        </w:tc>
        <w:tc>
          <w:tcPr>
            <w:tcW w:w="1199"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keepNext w:val="0"/>
              <w:keepLines w:val="0"/>
              <w:widowControl/>
              <w:suppressLineNumbers w:val="0"/>
              <w:spacing w:before="0" w:beforeAutospacing="0" w:after="0" w:afterAutospacing="0"/>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授权委托书</w:t>
            </w:r>
          </w:p>
        </w:tc>
        <w:tc>
          <w:tcPr>
            <w:tcW w:w="4526"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keepNext w:val="0"/>
              <w:keepLines w:val="0"/>
              <w:widowControl/>
              <w:suppressLineNumbers w:val="0"/>
              <w:spacing w:before="0" w:beforeAutospacing="0" w:after="0" w:afterAutospacing="0"/>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磋商响应</w:t>
            </w:r>
            <w:r>
              <w:rPr>
                <w:rFonts w:hint="eastAsia" w:ascii="宋体" w:hAnsi="宋体" w:eastAsia="宋体" w:cs="宋体"/>
                <w:color w:val="auto"/>
                <w:kern w:val="0"/>
                <w:sz w:val="21"/>
                <w:szCs w:val="21"/>
              </w:rPr>
              <w:t>人授权的委托代理人有合法、有效的委托书，委托书按相应要求签字或盖章</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同时委托人符合文件相关要求。</w:t>
            </w:r>
          </w:p>
        </w:tc>
        <w:tc>
          <w:tcPr>
            <w:tcW w:w="3207"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keepNext w:val="0"/>
              <w:keepLines w:val="0"/>
              <w:widowControl/>
              <w:suppressLineNumbers w:val="0"/>
              <w:spacing w:before="0" w:beforeAutospacing="0" w:after="0" w:afterAutospacing="0"/>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rPr>
              <w:t>提供授权委托书</w:t>
            </w:r>
            <w:r>
              <w:rPr>
                <w:rFonts w:hint="eastAsia" w:ascii="宋体" w:hAnsi="宋体" w:eastAsia="宋体" w:cs="宋体"/>
                <w:color w:val="auto"/>
                <w:kern w:val="0"/>
                <w:sz w:val="21"/>
                <w:szCs w:val="21"/>
                <w:lang w:val="en-US" w:eastAsia="zh-CN"/>
              </w:rPr>
              <w:t>并</w:t>
            </w:r>
            <w:r>
              <w:rPr>
                <w:rFonts w:hint="eastAsia" w:ascii="宋体" w:hAnsi="宋体" w:eastAsia="宋体" w:cs="宋体"/>
                <w:color w:val="auto"/>
                <w:kern w:val="0"/>
                <w:sz w:val="21"/>
                <w:szCs w:val="21"/>
              </w:rPr>
              <w:t>加盖投标单位公章装订在投标文件内（法定代表人参加投标的无需投标授权书，提供身份证明复印件或影印件）</w:t>
            </w:r>
            <w:r>
              <w:rPr>
                <w:rFonts w:hint="eastAsia" w:ascii="宋体" w:hAnsi="宋体" w:eastAsia="宋体" w:cs="宋体"/>
                <w:color w:val="auto"/>
                <w:kern w:val="0"/>
                <w:sz w:val="21"/>
                <w:szCs w:val="21"/>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07" w:hRule="exact"/>
          <w:jc w:val="center"/>
        </w:trPr>
        <w:tc>
          <w:tcPr>
            <w:tcW w:w="684" w:type="dxa"/>
            <w:vMerge w:val="restart"/>
            <w:tcBorders>
              <w:top w:val="single" w:color="000000" w:sz="4" w:space="0"/>
              <w:left w:val="single" w:color="000000" w:sz="4" w:space="0"/>
              <w:right w:val="single" w:color="000000" w:sz="4" w:space="0"/>
            </w:tcBorders>
            <w:tcMar>
              <w:top w:w="0" w:type="dxa"/>
              <w:left w:w="113" w:type="dxa"/>
              <w:bottom w:w="0" w:type="dxa"/>
              <w:right w:w="113" w:type="dxa"/>
            </w:tcMar>
            <w:vAlign w:val="center"/>
          </w:tcPr>
          <w:p>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1199" w:type="dxa"/>
            <w:vMerge w:val="restart"/>
            <w:tcBorders>
              <w:top w:val="single" w:color="000000" w:sz="4" w:space="0"/>
              <w:left w:val="single" w:color="000000" w:sz="4" w:space="0"/>
              <w:right w:val="single" w:color="000000" w:sz="4" w:space="0"/>
            </w:tcBorders>
            <w:tcMar>
              <w:top w:w="0" w:type="dxa"/>
              <w:left w:w="113" w:type="dxa"/>
              <w:bottom w:w="0" w:type="dxa"/>
              <w:right w:w="113" w:type="dxa"/>
            </w:tcMar>
            <w:vAlign w:val="center"/>
          </w:tcPr>
          <w:p>
            <w:pPr>
              <w:keepNext w:val="0"/>
              <w:keepLines w:val="0"/>
              <w:widowControl/>
              <w:suppressLineNumbers w:val="0"/>
              <w:spacing w:before="0" w:beforeAutospacing="0" w:after="0" w:afterAutospacing="0"/>
              <w:ind w:left="53" w:leftChars="25" w:right="53" w:rightChars="25"/>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需要提供的投标资格证明资料</w:t>
            </w:r>
          </w:p>
        </w:tc>
        <w:tc>
          <w:tcPr>
            <w:tcW w:w="4526" w:type="dxa"/>
            <w:tcBorders>
              <w:top w:val="single" w:color="000000" w:sz="4" w:space="0"/>
              <w:left w:val="single" w:color="000000" w:sz="4" w:space="0"/>
              <w:bottom w:val="single" w:color="auto" w:sz="4" w:space="0"/>
              <w:right w:val="single" w:color="000000" w:sz="4" w:space="0"/>
            </w:tcBorders>
            <w:tcMar>
              <w:top w:w="0" w:type="dxa"/>
              <w:left w:w="113" w:type="dxa"/>
              <w:bottom w:w="0" w:type="dxa"/>
              <w:right w:w="113" w:type="dxa"/>
            </w:tcMar>
            <w:vAlign w:val="center"/>
          </w:tcPr>
          <w:p>
            <w:pPr>
              <w:keepNext w:val="0"/>
              <w:keepLines w:val="0"/>
              <w:widowControl/>
              <w:suppressLineNumbers w:val="0"/>
              <w:spacing w:before="0" w:beforeAutospacing="0" w:after="0" w:afterAutospacing="0"/>
              <w:ind w:left="53" w:leftChars="25" w:right="53" w:rightChars="25"/>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符合《中华人民共和国政府采购法》第二十二条的全部要求。</w:t>
            </w:r>
          </w:p>
        </w:tc>
        <w:tc>
          <w:tcPr>
            <w:tcW w:w="3207" w:type="dxa"/>
            <w:tcBorders>
              <w:top w:val="single" w:color="000000" w:sz="4" w:space="0"/>
              <w:left w:val="single" w:color="000000" w:sz="4" w:space="0"/>
              <w:bottom w:val="single" w:color="auto" w:sz="4" w:space="0"/>
              <w:right w:val="single" w:color="auto" w:sz="4" w:space="0"/>
            </w:tcBorders>
            <w:tcMar>
              <w:top w:w="0" w:type="dxa"/>
              <w:left w:w="113" w:type="dxa"/>
              <w:bottom w:w="0" w:type="dxa"/>
              <w:right w:w="113" w:type="dxa"/>
            </w:tcMar>
            <w:vAlign w:val="center"/>
          </w:tcPr>
          <w:p>
            <w:pPr>
              <w:keepNext w:val="0"/>
              <w:keepLines w:val="0"/>
              <w:widowControl/>
              <w:suppressLineNumbers w:val="0"/>
              <w:spacing w:before="0" w:beforeAutospacing="0" w:after="0" w:afterAutospacing="0"/>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提供营业执照或事业单位法人证书副本或其它相应证件扫描件（包含复印件或影印件）和投标函，并加盖投标单位公章装订在磋商响应</w:t>
            </w:r>
            <w:r>
              <w:rPr>
                <w:rFonts w:hint="eastAsia" w:ascii="宋体" w:hAnsi="宋体" w:eastAsia="宋体" w:cs="宋体"/>
                <w:color w:val="auto"/>
                <w:kern w:val="0"/>
                <w:sz w:val="21"/>
                <w:szCs w:val="21"/>
              </w:rPr>
              <w:t>文件内</w:t>
            </w:r>
            <w:r>
              <w:rPr>
                <w:rFonts w:hint="eastAsia" w:ascii="宋体" w:hAnsi="宋体" w:eastAsia="宋体" w:cs="宋体"/>
                <w:color w:val="auto"/>
                <w:kern w:val="0"/>
                <w:sz w:val="21"/>
                <w:szCs w:val="21"/>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0" w:hRule="exact"/>
          <w:jc w:val="center"/>
        </w:trPr>
        <w:tc>
          <w:tcPr>
            <w:tcW w:w="684" w:type="dxa"/>
            <w:vMerge w:val="continue"/>
            <w:tcBorders>
              <w:left w:val="single" w:color="000000" w:sz="4" w:space="0"/>
              <w:right w:val="single" w:color="000000" w:sz="4" w:space="0"/>
            </w:tcBorders>
            <w:tcMar>
              <w:top w:w="0" w:type="dxa"/>
              <w:left w:w="113" w:type="dxa"/>
              <w:bottom w:w="0" w:type="dxa"/>
              <w:right w:w="113" w:type="dxa"/>
            </w:tcMar>
            <w:vAlign w:val="center"/>
          </w:tcPr>
          <w:p>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1"/>
                <w:szCs w:val="21"/>
                <w:highlight w:val="none"/>
                <w:lang w:val="en-US" w:eastAsia="zh-CN"/>
              </w:rPr>
            </w:pPr>
          </w:p>
        </w:tc>
        <w:tc>
          <w:tcPr>
            <w:tcW w:w="1199" w:type="dxa"/>
            <w:vMerge w:val="continue"/>
            <w:tcBorders>
              <w:left w:val="single" w:color="000000" w:sz="4" w:space="0"/>
              <w:right w:val="single" w:color="000000" w:sz="4" w:space="0"/>
            </w:tcBorders>
            <w:tcMar>
              <w:top w:w="0" w:type="dxa"/>
              <w:left w:w="113" w:type="dxa"/>
              <w:bottom w:w="0" w:type="dxa"/>
              <w:right w:w="113" w:type="dxa"/>
            </w:tcMar>
            <w:vAlign w:val="center"/>
          </w:tcPr>
          <w:p>
            <w:pPr>
              <w:keepNext w:val="0"/>
              <w:keepLines w:val="0"/>
              <w:widowControl/>
              <w:suppressLineNumbers w:val="0"/>
              <w:spacing w:before="0" w:beforeAutospacing="0" w:after="0" w:afterAutospacing="0"/>
              <w:ind w:left="53" w:leftChars="25" w:right="53" w:rightChars="25"/>
              <w:jc w:val="left"/>
              <w:rPr>
                <w:rFonts w:hint="eastAsia" w:ascii="宋体" w:hAnsi="宋体" w:eastAsia="宋体" w:cs="宋体"/>
                <w:color w:val="auto"/>
                <w:kern w:val="0"/>
                <w:sz w:val="21"/>
                <w:szCs w:val="21"/>
              </w:rPr>
            </w:pPr>
          </w:p>
        </w:tc>
        <w:tc>
          <w:tcPr>
            <w:tcW w:w="4526" w:type="dxa"/>
            <w:tcBorders>
              <w:top w:val="single" w:color="auto" w:sz="4" w:space="0"/>
              <w:left w:val="single" w:color="000000" w:sz="4" w:space="0"/>
              <w:bottom w:val="single" w:color="auto" w:sz="4" w:space="0"/>
              <w:right w:val="single" w:color="000000" w:sz="4" w:space="0"/>
            </w:tcBorders>
            <w:tcMar>
              <w:top w:w="0" w:type="dxa"/>
              <w:left w:w="113" w:type="dxa"/>
              <w:bottom w:w="0" w:type="dxa"/>
              <w:right w:w="113" w:type="dxa"/>
            </w:tcMar>
            <w:vAlign w:val="center"/>
          </w:tcPr>
          <w:p>
            <w:pPr>
              <w:keepNext w:val="0"/>
              <w:keepLines w:val="0"/>
              <w:widowControl/>
              <w:suppressLineNumbers w:val="0"/>
              <w:spacing w:before="0" w:beforeAutospacing="0" w:after="0" w:afterAutospacing="0"/>
              <w:ind w:left="53" w:leftChars="25" w:right="53" w:rightChars="25"/>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至投标截止日，投标人及法定代表人三年内均未被人民检察院列入行贿犯罪档案。</w:t>
            </w:r>
          </w:p>
        </w:tc>
        <w:tc>
          <w:tcPr>
            <w:tcW w:w="3207" w:type="dxa"/>
            <w:tcBorders>
              <w:top w:val="single" w:color="auto" w:sz="4" w:space="0"/>
              <w:left w:val="single" w:color="000000" w:sz="4" w:space="0"/>
              <w:bottom w:val="single" w:color="auto" w:sz="4" w:space="0"/>
              <w:right w:val="single" w:color="auto" w:sz="4" w:space="0"/>
            </w:tcBorders>
            <w:tcMar>
              <w:top w:w="0" w:type="dxa"/>
              <w:left w:w="113" w:type="dxa"/>
              <w:bottom w:w="0" w:type="dxa"/>
              <w:right w:w="113" w:type="dxa"/>
            </w:tcMar>
            <w:vAlign w:val="center"/>
          </w:tcPr>
          <w:p>
            <w:pPr>
              <w:keepNext w:val="0"/>
              <w:keepLines w:val="0"/>
              <w:widowControl/>
              <w:suppressLineNumbers w:val="0"/>
              <w:spacing w:before="0" w:beforeAutospacing="0" w:after="0" w:afterAutospacing="0"/>
              <w:ind w:left="53" w:leftChars="25" w:right="53" w:rightChars="25"/>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按投标函格式填写相关承诺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05" w:hRule="exact"/>
          <w:jc w:val="center"/>
        </w:trPr>
        <w:tc>
          <w:tcPr>
            <w:tcW w:w="684" w:type="dxa"/>
            <w:vMerge w:val="continue"/>
            <w:tcBorders>
              <w:left w:val="single" w:color="000000" w:sz="4" w:space="0"/>
              <w:right w:val="single" w:color="000000" w:sz="4" w:space="0"/>
            </w:tcBorders>
            <w:tcMar>
              <w:top w:w="0" w:type="dxa"/>
              <w:left w:w="113" w:type="dxa"/>
              <w:bottom w:w="0" w:type="dxa"/>
              <w:right w:w="113" w:type="dxa"/>
            </w:tcMar>
            <w:vAlign w:val="center"/>
          </w:tcPr>
          <w:p>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1"/>
                <w:szCs w:val="21"/>
                <w:highlight w:val="none"/>
                <w:lang w:val="en-US" w:eastAsia="zh-CN"/>
              </w:rPr>
            </w:pPr>
          </w:p>
        </w:tc>
        <w:tc>
          <w:tcPr>
            <w:tcW w:w="1199" w:type="dxa"/>
            <w:vMerge w:val="continue"/>
            <w:tcBorders>
              <w:left w:val="single" w:color="000000" w:sz="4" w:space="0"/>
              <w:right w:val="single" w:color="000000" w:sz="4" w:space="0"/>
            </w:tcBorders>
            <w:tcMar>
              <w:top w:w="0" w:type="dxa"/>
              <w:left w:w="113" w:type="dxa"/>
              <w:bottom w:w="0" w:type="dxa"/>
              <w:right w:w="113" w:type="dxa"/>
            </w:tcMar>
            <w:vAlign w:val="center"/>
          </w:tcPr>
          <w:p>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1"/>
                <w:szCs w:val="21"/>
                <w:highlight w:val="none"/>
              </w:rPr>
            </w:pPr>
          </w:p>
        </w:tc>
        <w:tc>
          <w:tcPr>
            <w:tcW w:w="4526" w:type="dxa"/>
            <w:tcBorders>
              <w:top w:val="single" w:color="auto" w:sz="4" w:space="0"/>
              <w:left w:val="single" w:color="000000" w:sz="4" w:space="0"/>
              <w:bottom w:val="single" w:color="auto" w:sz="4" w:space="0"/>
              <w:right w:val="single" w:color="000000" w:sz="4" w:space="0"/>
            </w:tcBorders>
            <w:tcMar>
              <w:top w:w="0" w:type="dxa"/>
              <w:left w:w="113" w:type="dxa"/>
              <w:bottom w:w="0" w:type="dxa"/>
              <w:right w:w="113" w:type="dxa"/>
            </w:tcMar>
            <w:vAlign w:val="center"/>
          </w:tcPr>
          <w:p>
            <w:pPr>
              <w:keepNext w:val="0"/>
              <w:keepLines w:val="0"/>
              <w:widowControl/>
              <w:suppressLineNumbers w:val="0"/>
              <w:spacing w:before="0" w:beforeAutospacing="0" w:after="0" w:afterAutospacing="0"/>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至投标截止日，我单位未被人民法院列入失信被执行人、未被工商行政管理部门列入企业经营异常名录、未被税务部门列入重大税收违法案件当事人名单、未被政府采购监管部门列入政府采购严重违法失信行为记录名单。</w:t>
            </w:r>
          </w:p>
        </w:tc>
        <w:tc>
          <w:tcPr>
            <w:tcW w:w="3207" w:type="dxa"/>
            <w:tcBorders>
              <w:top w:val="single" w:color="auto" w:sz="4" w:space="0"/>
              <w:left w:val="single" w:color="000000" w:sz="4" w:space="0"/>
              <w:bottom w:val="single" w:color="auto" w:sz="4" w:space="0"/>
              <w:right w:val="single" w:color="auto" w:sz="4" w:space="0"/>
            </w:tcBorders>
            <w:tcMar>
              <w:top w:w="0" w:type="dxa"/>
              <w:left w:w="113" w:type="dxa"/>
              <w:bottom w:w="0" w:type="dxa"/>
              <w:right w:w="113" w:type="dxa"/>
            </w:tcMar>
            <w:vAlign w:val="center"/>
          </w:tcPr>
          <w:p>
            <w:pPr>
              <w:keepNext w:val="0"/>
              <w:keepLines w:val="0"/>
              <w:widowControl/>
              <w:suppressLineNumbers w:val="0"/>
              <w:spacing w:before="0" w:beforeAutospacing="0" w:after="0" w:afterAutospacing="0"/>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按投标函格式填写相关承诺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93" w:hRule="exact"/>
          <w:jc w:val="center"/>
        </w:trPr>
        <w:tc>
          <w:tcPr>
            <w:tcW w:w="684" w:type="dxa"/>
            <w:vMerge w:val="continue"/>
            <w:tcBorders>
              <w:left w:val="single" w:color="000000" w:sz="4" w:space="0"/>
              <w:right w:val="single" w:color="000000" w:sz="4" w:space="0"/>
            </w:tcBorders>
            <w:tcMar>
              <w:top w:w="0" w:type="dxa"/>
              <w:left w:w="113" w:type="dxa"/>
              <w:bottom w:w="0" w:type="dxa"/>
              <w:right w:w="113" w:type="dxa"/>
            </w:tcMar>
            <w:vAlign w:val="center"/>
          </w:tcPr>
          <w:p>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1"/>
                <w:szCs w:val="21"/>
                <w:highlight w:val="none"/>
                <w:lang w:val="en-US" w:eastAsia="zh-CN"/>
              </w:rPr>
            </w:pPr>
          </w:p>
        </w:tc>
        <w:tc>
          <w:tcPr>
            <w:tcW w:w="1199" w:type="dxa"/>
            <w:vMerge w:val="continue"/>
            <w:tcBorders>
              <w:left w:val="single" w:color="000000" w:sz="4" w:space="0"/>
              <w:right w:val="single" w:color="000000" w:sz="4" w:space="0"/>
            </w:tcBorders>
            <w:tcMar>
              <w:top w:w="0" w:type="dxa"/>
              <w:left w:w="113" w:type="dxa"/>
              <w:bottom w:w="0" w:type="dxa"/>
              <w:right w:w="113" w:type="dxa"/>
            </w:tcMar>
            <w:vAlign w:val="center"/>
          </w:tcPr>
          <w:p>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1"/>
                <w:szCs w:val="21"/>
                <w:highlight w:val="none"/>
              </w:rPr>
            </w:pPr>
          </w:p>
        </w:tc>
        <w:tc>
          <w:tcPr>
            <w:tcW w:w="4526" w:type="dxa"/>
            <w:tcBorders>
              <w:top w:val="single" w:color="auto" w:sz="4" w:space="0"/>
              <w:left w:val="single" w:color="000000" w:sz="4" w:space="0"/>
              <w:bottom w:val="single" w:color="auto" w:sz="4" w:space="0"/>
              <w:right w:val="single" w:color="000000" w:sz="4" w:space="0"/>
            </w:tcBorders>
            <w:tcMar>
              <w:top w:w="0" w:type="dxa"/>
              <w:left w:w="113" w:type="dxa"/>
              <w:bottom w:w="0" w:type="dxa"/>
              <w:right w:w="113" w:type="dxa"/>
            </w:tcMar>
            <w:vAlign w:val="center"/>
          </w:tcPr>
          <w:p>
            <w:pPr>
              <w:pStyle w:val="21"/>
              <w:keepNext w:val="0"/>
              <w:keepLines w:val="0"/>
              <w:suppressLineNumbers w:val="0"/>
              <w:spacing w:before="132" w:beforeAutospacing="0" w:after="0" w:afterAutospacing="0" w:line="240" w:lineRule="auto"/>
              <w:ind w:left="0" w:right="0"/>
              <w:jc w:val="both"/>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至投标截止日，未被铜陵市公共资源交易监管部门记录的不良行为累计分值在 10 分（含）-15 分（不含），且最近一次不良行为记录公布日距开标日未超过 3 个月；</w:t>
            </w:r>
          </w:p>
          <w:p>
            <w:pPr>
              <w:pStyle w:val="21"/>
              <w:keepNext w:val="0"/>
              <w:keepLines w:val="0"/>
              <w:suppressLineNumbers w:val="0"/>
              <w:spacing w:before="132" w:beforeAutospacing="0" w:after="0" w:afterAutospacing="0" w:line="240" w:lineRule="auto"/>
              <w:ind w:left="0" w:right="0"/>
              <w:jc w:val="both"/>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至投标截止日，未被铜陵市公共资源交易监管部门记不良行为记录累计分值在 15 分（含）-20 分（不含），且最近一次不良行为记录公布日距开标日未超过 6 个月；</w:t>
            </w:r>
          </w:p>
          <w:p>
            <w:pPr>
              <w:pStyle w:val="21"/>
              <w:keepNext w:val="0"/>
              <w:keepLines w:val="0"/>
              <w:suppressLineNumbers w:val="0"/>
              <w:spacing w:before="132" w:beforeAutospacing="0" w:after="0" w:afterAutospacing="0" w:line="240" w:lineRule="auto"/>
              <w:ind w:left="0" w:right="0"/>
              <w:jc w:val="both"/>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至投标截止日，未被铜陵市公共资源交易监管部门记不良行为记录累计分值达 20 分（含）以上，且最近一次不良行为记录公布日距开标日未超过 12 个月。</w:t>
            </w:r>
          </w:p>
        </w:tc>
        <w:tc>
          <w:tcPr>
            <w:tcW w:w="3207" w:type="dxa"/>
            <w:tcBorders>
              <w:left w:val="single" w:color="000000" w:sz="4" w:space="0"/>
              <w:bottom w:val="single" w:color="auto" w:sz="4" w:space="0"/>
              <w:right w:val="single" w:color="auto" w:sz="4" w:space="0"/>
            </w:tcBorders>
            <w:tcMar>
              <w:top w:w="0" w:type="dxa"/>
              <w:left w:w="113" w:type="dxa"/>
              <w:bottom w:w="0" w:type="dxa"/>
              <w:right w:w="113" w:type="dxa"/>
            </w:tcMar>
            <w:vAlign w:val="center"/>
          </w:tcPr>
          <w:p>
            <w:pPr>
              <w:keepNext w:val="0"/>
              <w:keepLines w:val="0"/>
              <w:suppressLineNumbers w:val="0"/>
              <w:spacing w:before="0" w:beforeAutospacing="0" w:after="0" w:afterAutospacing="0" w:line="240" w:lineRule="auto"/>
              <w:ind w:left="0" w:right="0"/>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按投标函格式填写相关承诺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70" w:hRule="exact"/>
          <w:jc w:val="center"/>
        </w:trPr>
        <w:tc>
          <w:tcPr>
            <w:tcW w:w="68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w:t>
            </w:r>
          </w:p>
        </w:tc>
        <w:tc>
          <w:tcPr>
            <w:tcW w:w="1199"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keepNext w:val="0"/>
              <w:keepLines w:val="0"/>
              <w:widowControl/>
              <w:suppressLineNumbers w:val="0"/>
              <w:spacing w:before="0" w:beforeAutospacing="0" w:after="0" w:afterAutospacing="0"/>
              <w:ind w:left="53" w:leftChars="25" w:right="53" w:rightChars="25"/>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承诺函</w:t>
            </w:r>
          </w:p>
        </w:tc>
        <w:tc>
          <w:tcPr>
            <w:tcW w:w="4526"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keepNext w:val="0"/>
              <w:keepLines w:val="0"/>
              <w:widowControl/>
              <w:suppressLineNumbers w:val="0"/>
              <w:spacing w:before="0" w:beforeAutospacing="0" w:after="0" w:afterAutospacing="0"/>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投标人需承诺从未与服务用户发生任何法律纠纷承诺函</w:t>
            </w:r>
          </w:p>
        </w:tc>
        <w:tc>
          <w:tcPr>
            <w:tcW w:w="3207"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keepNext w:val="0"/>
              <w:keepLines w:val="0"/>
              <w:widowControl/>
              <w:suppressLineNumbers w:val="0"/>
              <w:spacing w:before="0" w:beforeAutospacing="0" w:after="0" w:afterAutospacing="0"/>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提供承诺书加盖单公章装订在响应文件中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36" w:hRule="exact"/>
          <w:jc w:val="center"/>
        </w:trPr>
        <w:tc>
          <w:tcPr>
            <w:tcW w:w="68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4</w:t>
            </w:r>
          </w:p>
        </w:tc>
        <w:tc>
          <w:tcPr>
            <w:tcW w:w="1199"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keepNext w:val="0"/>
              <w:keepLines w:val="0"/>
              <w:widowControl/>
              <w:suppressLineNumbers w:val="0"/>
              <w:spacing w:before="0" w:beforeAutospacing="0" w:after="0" w:afterAutospacing="0"/>
              <w:ind w:left="53" w:leftChars="25" w:right="53" w:rightChars="25"/>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标书规范性</w:t>
            </w:r>
          </w:p>
        </w:tc>
        <w:tc>
          <w:tcPr>
            <w:tcW w:w="4526"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pStyle w:val="17"/>
              <w:keepNext w:val="0"/>
              <w:keepLines w:val="0"/>
              <w:suppressLineNumbers w:val="0"/>
              <w:wordWrap w:val="0"/>
              <w:spacing w:before="0" w:beforeAutospacing="0" w:after="0" w:afterAutospacing="0" w:line="300" w:lineRule="exact"/>
              <w:ind w:left="0" w:right="0"/>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（1）在招标文件规定的投标时间截止前未有效提交投标文件的；</w:t>
            </w:r>
          </w:p>
          <w:p>
            <w:pPr>
              <w:pStyle w:val="17"/>
              <w:keepNext w:val="0"/>
              <w:keepLines w:val="0"/>
              <w:suppressLineNumbers w:val="0"/>
              <w:wordWrap w:val="0"/>
              <w:spacing w:before="0" w:beforeAutospacing="0" w:after="0" w:afterAutospacing="0" w:line="300" w:lineRule="exact"/>
              <w:ind w:left="0" w:right="0"/>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（2）投标文件符合招标文件密封、标记、递交等的相应要求；</w:t>
            </w:r>
          </w:p>
          <w:p>
            <w:pPr>
              <w:keepNext w:val="0"/>
              <w:keepLines w:val="0"/>
              <w:suppressLineNumbers w:val="0"/>
              <w:spacing w:before="0" w:beforeAutospacing="0" w:after="0" w:afterAutospacing="0" w:line="240" w:lineRule="auto"/>
              <w:ind w:left="0" w:right="0"/>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（3）应当随成交公告一并向社会公布的表单内容（如主要业绩一览表等）与投标文件中其它内容不一致的。</w:t>
            </w:r>
          </w:p>
        </w:tc>
        <w:tc>
          <w:tcPr>
            <w:tcW w:w="3207"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执行磋商文件要求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7" w:hRule="exact"/>
          <w:jc w:val="center"/>
        </w:trPr>
        <w:tc>
          <w:tcPr>
            <w:tcW w:w="68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5</w:t>
            </w:r>
          </w:p>
        </w:tc>
        <w:tc>
          <w:tcPr>
            <w:tcW w:w="1199"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keepNext w:val="0"/>
              <w:keepLines w:val="0"/>
              <w:widowControl/>
              <w:suppressLineNumbers w:val="0"/>
              <w:spacing w:before="0" w:beforeAutospacing="0" w:after="0" w:afterAutospacing="0"/>
              <w:ind w:left="53" w:leftChars="25" w:right="53" w:rightChars="25"/>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标书盖章</w:t>
            </w:r>
          </w:p>
        </w:tc>
        <w:tc>
          <w:tcPr>
            <w:tcW w:w="4526"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keepNext w:val="0"/>
              <w:keepLines w:val="0"/>
              <w:widowControl/>
              <w:suppressLineNumbers w:val="0"/>
              <w:spacing w:before="0" w:beforeAutospacing="0" w:after="0" w:afterAutospacing="0"/>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投标文件盖章是否符合招标文件的要求。</w:t>
            </w:r>
          </w:p>
        </w:tc>
        <w:tc>
          <w:tcPr>
            <w:tcW w:w="3207"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keepNext w:val="0"/>
              <w:keepLines w:val="0"/>
              <w:widowControl/>
              <w:suppressLineNumbers w:val="0"/>
              <w:spacing w:before="0" w:beforeAutospacing="0" w:after="0" w:afterAutospacing="0"/>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执行磋商文件要求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8" w:hRule="exact"/>
          <w:jc w:val="center"/>
        </w:trPr>
        <w:tc>
          <w:tcPr>
            <w:tcW w:w="68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6</w:t>
            </w:r>
          </w:p>
        </w:tc>
        <w:tc>
          <w:tcPr>
            <w:tcW w:w="1199"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keepNext w:val="0"/>
              <w:keepLines w:val="0"/>
              <w:widowControl/>
              <w:suppressLineNumbers w:val="0"/>
              <w:spacing w:before="0" w:beforeAutospacing="0" w:after="0" w:afterAutospacing="0"/>
              <w:ind w:left="53" w:leftChars="25" w:right="53" w:rightChars="25"/>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标书响应情况</w:t>
            </w:r>
          </w:p>
        </w:tc>
        <w:tc>
          <w:tcPr>
            <w:tcW w:w="4526"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keepNext w:val="0"/>
              <w:keepLines w:val="0"/>
              <w:widowControl/>
              <w:suppressLineNumbers w:val="0"/>
              <w:spacing w:before="0" w:beforeAutospacing="0" w:after="0" w:afterAutospacing="0"/>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质量标准要求、服务期响应、售后服务体系与维保等内容满足磋商文件的实质性要求。</w:t>
            </w:r>
          </w:p>
        </w:tc>
        <w:tc>
          <w:tcPr>
            <w:tcW w:w="3207"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keepNext w:val="0"/>
              <w:keepLines w:val="0"/>
              <w:widowControl/>
              <w:suppressLineNumbers w:val="0"/>
              <w:spacing w:before="0" w:beforeAutospacing="0" w:after="0" w:afterAutospacing="0"/>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执行磋商文件要求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6" w:hRule="exact"/>
          <w:jc w:val="center"/>
        </w:trPr>
        <w:tc>
          <w:tcPr>
            <w:tcW w:w="68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7</w:t>
            </w:r>
          </w:p>
        </w:tc>
        <w:tc>
          <w:tcPr>
            <w:tcW w:w="1199"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keepNext w:val="0"/>
              <w:keepLines w:val="0"/>
              <w:widowControl/>
              <w:suppressLineNumbers w:val="0"/>
              <w:spacing w:before="0" w:beforeAutospacing="0" w:after="0" w:afterAutospacing="0"/>
              <w:ind w:left="53" w:leftChars="25" w:right="53" w:rightChars="25"/>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服务要求</w:t>
            </w:r>
          </w:p>
        </w:tc>
        <w:tc>
          <w:tcPr>
            <w:tcW w:w="4526"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keepNext w:val="0"/>
              <w:keepLines w:val="0"/>
              <w:widowControl/>
              <w:suppressLineNumbers w:val="0"/>
              <w:spacing w:before="0" w:beforeAutospacing="0" w:after="0" w:afterAutospacing="0"/>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关键性服务要求真正满足。</w:t>
            </w:r>
          </w:p>
        </w:tc>
        <w:tc>
          <w:tcPr>
            <w:tcW w:w="3207"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keepNext w:val="0"/>
              <w:keepLines w:val="0"/>
              <w:widowControl/>
              <w:suppressLineNumbers w:val="0"/>
              <w:spacing w:before="0" w:beforeAutospacing="0" w:after="0" w:afterAutospacing="0"/>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执行磋商文件要求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37" w:hRule="exact"/>
          <w:jc w:val="center"/>
        </w:trPr>
        <w:tc>
          <w:tcPr>
            <w:tcW w:w="68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8</w:t>
            </w:r>
          </w:p>
        </w:tc>
        <w:tc>
          <w:tcPr>
            <w:tcW w:w="1199"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keepNext w:val="0"/>
              <w:keepLines w:val="0"/>
              <w:widowControl/>
              <w:suppressLineNumbers w:val="0"/>
              <w:spacing w:before="0" w:beforeAutospacing="0" w:after="0" w:afterAutospacing="0"/>
              <w:ind w:left="53" w:leftChars="25" w:right="53" w:rightChars="25"/>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其他要求</w:t>
            </w:r>
          </w:p>
        </w:tc>
        <w:tc>
          <w:tcPr>
            <w:tcW w:w="4526"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keepNext w:val="0"/>
              <w:keepLines w:val="0"/>
              <w:widowControl/>
              <w:suppressLineNumbers w:val="0"/>
              <w:spacing w:before="0" w:beforeAutospacing="0" w:after="0" w:afterAutospacing="0"/>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（1）无论招标文件是否列明，投标人所提供的服务均须符合国家现行法律法规的规定，否则投标无效。</w:t>
            </w:r>
          </w:p>
          <w:p>
            <w:pPr>
              <w:keepNext w:val="0"/>
              <w:keepLines w:val="0"/>
              <w:widowControl/>
              <w:suppressLineNumbers w:val="0"/>
              <w:spacing w:before="0" w:beforeAutospacing="0" w:after="0" w:afterAutospacing="0"/>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（2）不满足招标文件第8.2、11.3、21.3条以及其它招标公告、招标文件列明的必须满足的要求的。</w:t>
            </w:r>
          </w:p>
          <w:p>
            <w:pPr>
              <w:keepNext w:val="0"/>
              <w:keepLines w:val="0"/>
              <w:widowControl/>
              <w:suppressLineNumbers w:val="0"/>
              <w:spacing w:before="0" w:beforeAutospacing="0" w:after="0" w:afterAutospacing="0"/>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（3）不符合法律、行政法规规定的其他条件。法律、行政法规规定的其他条件或邀请函、招标文件列明的其他要求。</w:t>
            </w:r>
          </w:p>
        </w:tc>
        <w:tc>
          <w:tcPr>
            <w:tcW w:w="3207"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keepNext w:val="0"/>
              <w:keepLines w:val="0"/>
              <w:widowControl/>
              <w:suppressLineNumbers w:val="0"/>
              <w:spacing w:before="0" w:beforeAutospacing="0" w:after="0" w:afterAutospacing="0"/>
              <w:ind w:left="53" w:leftChars="25" w:right="53" w:rightChars="25"/>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执行磋商文件要求</w:t>
            </w:r>
          </w:p>
        </w:tc>
      </w:tr>
    </w:tbl>
    <w:p>
      <w:pPr>
        <w:pStyle w:val="11"/>
        <w:shd w:val="clear" w:color="auto" w:fill="FFFFFF"/>
        <w:spacing w:beforeAutospacing="0" w:afterAutospacing="0"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注：</w:t>
      </w:r>
      <w:r>
        <w:rPr>
          <w:rFonts w:hint="eastAsia" w:ascii="宋体" w:hAnsi="宋体" w:eastAsia="宋体" w:cs="宋体"/>
          <w:color w:val="auto"/>
          <w:sz w:val="24"/>
          <w:szCs w:val="24"/>
          <w:highlight w:val="none"/>
          <w:lang w:val="en-US" w:eastAsia="zh-CN"/>
        </w:rPr>
        <w:t>以上各项中有一项不符合即为不合格。</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34、报价部分评审</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34.1如采用综合评分法的，应当在技术与商务部分评审结束后，评审其报价部分。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34.2磋商小组将对进入报价部分评审的各供应商的报价部分有效性进行审查，经评审有效后，磋商小组将对报价部分进行校核，看其是否有计算或表达上的错误，修正错误的原则如下：</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34.2.1如果数字表示的金额和用文字表示的金额不一致时，应以文字表示的金额为准；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34.2.2如果单价与数量的乘积和总价不一致，以单价为准；当单位小数点有明显的错误时，评委会将以总价为准，并修正其单价。</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34.2.3如果磋商响应报价同时出现上述1、2两种情况，按第2种修正原则调整或修正磋商响应文件的磋商响应报价。</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上述修正错误的原则及方法调整或修正磋商响应文件的磋商响应报价，供应商同意后，调整后的磋商响应报价对供应商起约束作用。如果供应商不接受修正后的报价，则其磋商响应将被拒绝并且其磋商响应保证金也将被没收，并不影响评标工作。</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34.3磋商响应报价无效的几种情形：</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34.3.1磋商响应报价高于预算控制</w:t>
      </w:r>
      <w:r>
        <w:rPr>
          <w:rFonts w:hint="eastAsia" w:ascii="宋体" w:hAnsi="宋体" w:eastAsia="宋体" w:cs="宋体"/>
          <w:color w:val="auto"/>
          <w:sz w:val="24"/>
          <w:szCs w:val="24"/>
          <w:highlight w:val="none"/>
          <w:lang w:val="en-US" w:eastAsia="zh-CN"/>
        </w:rPr>
        <w:t>价</w:t>
      </w:r>
      <w:r>
        <w:rPr>
          <w:rFonts w:hint="eastAsia" w:ascii="宋体" w:hAnsi="宋体" w:eastAsia="宋体" w:cs="宋体"/>
          <w:color w:val="auto"/>
          <w:sz w:val="24"/>
          <w:szCs w:val="24"/>
          <w:highlight w:val="none"/>
        </w:rPr>
        <w:t>；</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34.3.2经磋商小组认定低于成本的；</w:t>
      </w:r>
    </w:p>
    <w:p>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34.3.3经磋商小组认定报价出现异常导致不能保证政府采购资金的使用效益的</w:t>
      </w:r>
      <w:r>
        <w:rPr>
          <w:rFonts w:hint="eastAsia" w:ascii="宋体" w:hAnsi="宋体" w:cs="宋体"/>
          <w:color w:val="auto"/>
          <w:sz w:val="24"/>
          <w:szCs w:val="24"/>
          <w:highlight w:val="none"/>
          <w:lang w:eastAsia="zh-CN"/>
        </w:rPr>
        <w:t>；</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34.3.4不符合法律法规及采购文件中其它合格性评审要求。</w:t>
      </w:r>
    </w:p>
    <w:p>
      <w:pPr>
        <w:numPr>
          <w:ilvl w:val="0"/>
          <w:numId w:val="3"/>
        </w:num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评标办法</w:t>
      </w:r>
    </w:p>
    <w:tbl>
      <w:tblPr>
        <w:tblStyle w:val="12"/>
        <w:tblW w:w="98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74"/>
        <w:gridCol w:w="1368"/>
        <w:gridCol w:w="6420"/>
        <w:gridCol w:w="11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blHeader/>
          <w:jc w:val="center"/>
        </w:trPr>
        <w:tc>
          <w:tcPr>
            <w:tcW w:w="874" w:type="dxa"/>
            <w:tcBorders>
              <w:top w:val="single" w:color="auto" w:sz="4" w:space="0"/>
              <w:left w:val="single" w:color="auto" w:sz="4" w:space="0"/>
              <w:bottom w:val="single" w:color="auto" w:sz="4" w:space="0"/>
              <w:right w:val="single" w:color="auto" w:sz="4" w:space="0"/>
            </w:tcBorders>
            <w:shd w:val="clear" w:color="auto" w:fill="F2F2F2"/>
            <w:vAlign w:val="center"/>
          </w:tcPr>
          <w:p>
            <w:pPr>
              <w:keepNext w:val="0"/>
              <w:keepLines w:val="0"/>
              <w:widowControl w:val="0"/>
              <w:suppressLineNumbers w:val="0"/>
              <w:spacing w:before="120" w:beforeAutospacing="0" w:after="0" w:afterAutospacing="0" w:line="240" w:lineRule="auto"/>
              <w:ind w:left="0" w:right="0"/>
              <w:jc w:val="center"/>
              <w:rPr>
                <w:rFonts w:hint="eastAsia" w:ascii="宋体" w:hAnsi="宋体" w:eastAsia="宋体" w:cs="宋体"/>
                <w:b/>
                <w:bCs w:val="0"/>
                <w:sz w:val="21"/>
                <w:szCs w:val="21"/>
                <w:lang w:val="en-US"/>
              </w:rPr>
            </w:pPr>
            <w:bookmarkStart w:id="9" w:name="_Hlk83395767"/>
            <w:r>
              <w:rPr>
                <w:rFonts w:hint="eastAsia" w:ascii="宋体" w:hAnsi="宋体" w:eastAsia="宋体" w:cs="宋体"/>
                <w:b/>
                <w:bCs w:val="0"/>
                <w:sz w:val="21"/>
                <w:szCs w:val="21"/>
              </w:rPr>
              <w:t>类别</w:t>
            </w:r>
          </w:p>
        </w:tc>
        <w:tc>
          <w:tcPr>
            <w:tcW w:w="1368" w:type="dxa"/>
            <w:tcBorders>
              <w:top w:val="single" w:color="auto" w:sz="4" w:space="0"/>
              <w:left w:val="single" w:color="auto" w:sz="4" w:space="0"/>
              <w:bottom w:val="single" w:color="auto" w:sz="4" w:space="0"/>
              <w:right w:val="single" w:color="auto" w:sz="4" w:space="0"/>
            </w:tcBorders>
            <w:shd w:val="clear" w:color="auto" w:fill="F2F2F2"/>
            <w:vAlign w:val="center"/>
          </w:tcPr>
          <w:p>
            <w:pPr>
              <w:keepNext w:val="0"/>
              <w:keepLines w:val="0"/>
              <w:widowControl w:val="0"/>
              <w:suppressLineNumbers w:val="0"/>
              <w:spacing w:before="120" w:beforeAutospacing="0" w:after="0" w:afterAutospacing="0" w:line="240" w:lineRule="auto"/>
              <w:ind w:left="0" w:right="0"/>
              <w:jc w:val="center"/>
              <w:rPr>
                <w:rFonts w:hint="eastAsia" w:ascii="宋体" w:hAnsi="宋体" w:eastAsia="宋体" w:cs="宋体"/>
                <w:b/>
                <w:bCs w:val="0"/>
                <w:sz w:val="21"/>
                <w:szCs w:val="21"/>
                <w:lang w:val="en-US"/>
              </w:rPr>
            </w:pPr>
            <w:r>
              <w:rPr>
                <w:rFonts w:hint="eastAsia" w:ascii="宋体" w:hAnsi="宋体" w:eastAsia="宋体" w:cs="宋体"/>
                <w:b/>
                <w:bCs w:val="0"/>
                <w:sz w:val="21"/>
                <w:szCs w:val="21"/>
              </w:rPr>
              <w:t>评分内容</w:t>
            </w:r>
          </w:p>
        </w:tc>
        <w:tc>
          <w:tcPr>
            <w:tcW w:w="6420" w:type="dxa"/>
            <w:tcBorders>
              <w:top w:val="single" w:color="auto" w:sz="4" w:space="0"/>
              <w:left w:val="single" w:color="auto" w:sz="4" w:space="0"/>
              <w:bottom w:val="single" w:color="auto" w:sz="4" w:space="0"/>
              <w:right w:val="single" w:color="auto" w:sz="4" w:space="0"/>
            </w:tcBorders>
            <w:shd w:val="clear" w:color="auto" w:fill="F2F2F2"/>
            <w:vAlign w:val="center"/>
          </w:tcPr>
          <w:p>
            <w:pPr>
              <w:keepNext w:val="0"/>
              <w:keepLines w:val="0"/>
              <w:widowControl w:val="0"/>
              <w:suppressLineNumbers w:val="0"/>
              <w:spacing w:before="120" w:beforeAutospacing="0" w:after="0" w:afterAutospacing="0" w:line="240" w:lineRule="auto"/>
              <w:ind w:left="0" w:right="0"/>
              <w:jc w:val="center"/>
              <w:rPr>
                <w:rFonts w:hint="eastAsia" w:ascii="宋体" w:hAnsi="宋体" w:eastAsia="宋体" w:cs="宋体"/>
                <w:b/>
                <w:bCs w:val="0"/>
                <w:sz w:val="21"/>
                <w:szCs w:val="21"/>
                <w:lang w:val="en-US"/>
              </w:rPr>
            </w:pPr>
            <w:r>
              <w:rPr>
                <w:rFonts w:hint="eastAsia" w:ascii="宋体" w:hAnsi="宋体" w:eastAsia="宋体" w:cs="宋体"/>
                <w:b/>
                <w:bCs w:val="0"/>
                <w:sz w:val="21"/>
                <w:szCs w:val="21"/>
              </w:rPr>
              <w:t>评分标准</w:t>
            </w:r>
          </w:p>
        </w:tc>
        <w:tc>
          <w:tcPr>
            <w:tcW w:w="1176" w:type="dxa"/>
            <w:tcBorders>
              <w:top w:val="single" w:color="auto" w:sz="4" w:space="0"/>
              <w:left w:val="single" w:color="auto" w:sz="4" w:space="0"/>
              <w:bottom w:val="single" w:color="auto" w:sz="4" w:space="0"/>
              <w:right w:val="single" w:color="auto" w:sz="4" w:space="0"/>
            </w:tcBorders>
            <w:shd w:val="clear" w:color="auto" w:fill="F2F2F2"/>
            <w:vAlign w:val="center"/>
          </w:tcPr>
          <w:p>
            <w:pPr>
              <w:keepNext w:val="0"/>
              <w:keepLines w:val="0"/>
              <w:widowControl w:val="0"/>
              <w:suppressLineNumbers w:val="0"/>
              <w:spacing w:before="120" w:beforeAutospacing="0" w:after="0" w:afterAutospacing="0" w:line="240" w:lineRule="auto"/>
              <w:ind w:left="0" w:right="0"/>
              <w:jc w:val="center"/>
              <w:rPr>
                <w:rFonts w:hint="eastAsia" w:ascii="宋体" w:hAnsi="宋体" w:eastAsia="宋体" w:cs="宋体"/>
                <w:b/>
                <w:bCs w:val="0"/>
                <w:sz w:val="21"/>
                <w:szCs w:val="21"/>
                <w:lang w:val="en-US"/>
              </w:rPr>
            </w:pPr>
            <w:r>
              <w:rPr>
                <w:rFonts w:hint="eastAsia" w:ascii="宋体" w:hAnsi="宋体" w:eastAsia="宋体" w:cs="宋体"/>
                <w:b/>
                <w:bCs w:val="0"/>
                <w:sz w:val="21"/>
                <w:szCs w:val="21"/>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87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120" w:beforeAutospacing="0" w:after="0" w:afterAutospacing="0" w:line="240" w:lineRule="auto"/>
              <w:ind w:left="0" w:right="0"/>
              <w:jc w:val="center"/>
              <w:rPr>
                <w:rFonts w:hint="eastAsia" w:ascii="宋体" w:hAnsi="宋体" w:eastAsia="宋体" w:cs="宋体"/>
                <w:sz w:val="21"/>
                <w:szCs w:val="21"/>
                <w:lang w:val="en-US"/>
              </w:rPr>
            </w:pPr>
            <w:r>
              <w:rPr>
                <w:rFonts w:hint="eastAsia" w:ascii="宋体" w:hAnsi="宋体" w:eastAsia="宋体" w:cs="宋体"/>
                <w:sz w:val="21"/>
                <w:szCs w:val="21"/>
              </w:rPr>
              <w:t>技术分（</w:t>
            </w:r>
            <w:r>
              <w:rPr>
                <w:rFonts w:hint="eastAsia" w:ascii="宋体" w:hAnsi="宋体" w:eastAsia="宋体" w:cs="宋体"/>
                <w:sz w:val="21"/>
                <w:szCs w:val="21"/>
                <w:lang w:val="en-US"/>
              </w:rPr>
              <w:t>35</w:t>
            </w:r>
            <w:r>
              <w:rPr>
                <w:rFonts w:hint="eastAsia" w:ascii="宋体" w:hAnsi="宋体" w:eastAsia="宋体" w:cs="宋体"/>
                <w:sz w:val="21"/>
                <w:szCs w:val="21"/>
              </w:rPr>
              <w:t>分）</w:t>
            </w:r>
          </w:p>
        </w:tc>
        <w:tc>
          <w:tcPr>
            <w:tcW w:w="13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120" w:beforeAutospacing="0" w:after="0" w:afterAutospacing="0" w:line="240" w:lineRule="auto"/>
              <w:ind w:left="0" w:right="0"/>
              <w:jc w:val="center"/>
              <w:rPr>
                <w:rFonts w:hint="eastAsia" w:ascii="宋体" w:hAnsi="宋体" w:eastAsia="宋体" w:cs="宋体"/>
                <w:sz w:val="21"/>
                <w:szCs w:val="21"/>
                <w:lang w:val="en-US"/>
              </w:rPr>
            </w:pPr>
            <w:r>
              <w:rPr>
                <w:rFonts w:hint="eastAsia" w:ascii="宋体" w:hAnsi="宋体" w:eastAsia="宋体" w:cs="宋体"/>
                <w:sz w:val="21"/>
                <w:szCs w:val="21"/>
              </w:rPr>
              <w:t>服务方案</w:t>
            </w:r>
          </w:p>
        </w:tc>
        <w:tc>
          <w:tcPr>
            <w:tcW w:w="64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120" w:beforeAutospacing="0" w:after="0" w:afterAutospacing="0" w:line="240" w:lineRule="auto"/>
              <w:ind w:left="0" w:right="0"/>
              <w:jc w:val="both"/>
              <w:rPr>
                <w:rFonts w:hint="eastAsia" w:ascii="宋体" w:hAnsi="宋体" w:eastAsia="宋体" w:cs="宋体"/>
                <w:sz w:val="21"/>
                <w:szCs w:val="21"/>
                <w:lang w:val="en-US"/>
              </w:rPr>
            </w:pPr>
            <w:r>
              <w:rPr>
                <w:rFonts w:hint="eastAsia" w:ascii="宋体" w:hAnsi="宋体" w:eastAsia="宋体" w:cs="宋体"/>
                <w:kern w:val="2"/>
                <w:sz w:val="21"/>
                <w:szCs w:val="21"/>
                <w:lang w:val="en-US" w:eastAsia="zh-CN" w:bidi="ar"/>
              </w:rPr>
              <w:t>1、服务方案工作范围清晰，具有完整的测评服务方案、项目实施计划、测评方法、风险说明及风险规避处置措施，测评内容可行性合理。评委对各家服务方案进行横向比较：</w:t>
            </w:r>
          </w:p>
          <w:p>
            <w:pPr>
              <w:keepNext w:val="0"/>
              <w:keepLines w:val="0"/>
              <w:widowControl w:val="0"/>
              <w:suppressLineNumbers w:val="0"/>
              <w:spacing w:before="120" w:beforeAutospacing="0" w:after="0" w:afterAutospacing="0" w:line="240" w:lineRule="auto"/>
              <w:ind w:left="0" w:right="0"/>
              <w:jc w:val="both"/>
              <w:rPr>
                <w:rFonts w:hint="eastAsia" w:ascii="宋体" w:hAnsi="宋体" w:eastAsia="宋体" w:cs="宋体"/>
                <w:sz w:val="21"/>
                <w:szCs w:val="21"/>
                <w:lang w:val="en-US"/>
              </w:rPr>
            </w:pPr>
            <w:r>
              <w:rPr>
                <w:rFonts w:hint="eastAsia" w:ascii="宋体" w:hAnsi="宋体" w:eastAsia="宋体" w:cs="宋体"/>
                <w:kern w:val="2"/>
                <w:sz w:val="21"/>
                <w:szCs w:val="21"/>
                <w:lang w:val="en-US" w:eastAsia="zh-CN" w:bidi="ar"/>
              </w:rPr>
              <w:t>方案全面、合理、准确，完全符合招标文件要求，得11-15分；较合理、准确，基本符合招标文件要求，得6-10分；基本合理、准确，部分符合招标文件要求，得1-5分；差或未提供不得分。</w:t>
            </w:r>
          </w:p>
          <w:p>
            <w:pPr>
              <w:keepNext w:val="0"/>
              <w:keepLines w:val="0"/>
              <w:widowControl w:val="0"/>
              <w:suppressLineNumbers w:val="0"/>
              <w:spacing w:before="120" w:beforeAutospacing="0" w:after="0" w:afterAutospacing="0" w:line="240" w:lineRule="auto"/>
              <w:ind w:left="0" w:right="0"/>
              <w:jc w:val="both"/>
              <w:rPr>
                <w:rFonts w:hint="eastAsia" w:ascii="宋体" w:hAnsi="宋体" w:eastAsia="宋体" w:cs="宋体"/>
                <w:sz w:val="21"/>
                <w:szCs w:val="21"/>
                <w:lang w:val="en-US"/>
              </w:rPr>
            </w:pPr>
            <w:r>
              <w:rPr>
                <w:rFonts w:hint="eastAsia" w:ascii="宋体" w:hAnsi="宋体" w:eastAsia="宋体" w:cs="宋体"/>
                <w:kern w:val="2"/>
                <w:sz w:val="21"/>
                <w:szCs w:val="21"/>
                <w:lang w:val="en-US" w:eastAsia="zh-CN" w:bidi="ar"/>
              </w:rPr>
              <w:t>2、项目管理方案：工作范围清晰，具有完整的项目管理方法论和内容。评委对各家项目管理方案进行横向比较：</w:t>
            </w:r>
          </w:p>
          <w:p>
            <w:pPr>
              <w:keepNext w:val="0"/>
              <w:keepLines w:val="0"/>
              <w:widowControl w:val="0"/>
              <w:suppressLineNumbers w:val="0"/>
              <w:spacing w:before="120" w:beforeAutospacing="0" w:after="0" w:afterAutospacing="0" w:line="240" w:lineRule="auto"/>
              <w:ind w:left="0" w:right="0"/>
              <w:jc w:val="both"/>
              <w:rPr>
                <w:rFonts w:hint="eastAsia" w:ascii="宋体" w:hAnsi="宋体" w:eastAsia="宋体" w:cs="宋体"/>
                <w:sz w:val="21"/>
                <w:szCs w:val="21"/>
                <w:lang w:val="en-US"/>
              </w:rPr>
            </w:pPr>
            <w:r>
              <w:rPr>
                <w:rFonts w:hint="eastAsia" w:ascii="宋体" w:hAnsi="宋体" w:eastAsia="宋体" w:cs="宋体"/>
                <w:sz w:val="21"/>
                <w:szCs w:val="21"/>
              </w:rPr>
              <w:t>方案全面、合理、准确，完全符合招标文件要求，得</w:t>
            </w:r>
            <w:r>
              <w:rPr>
                <w:rFonts w:hint="eastAsia" w:ascii="宋体" w:hAnsi="宋体" w:eastAsia="宋体" w:cs="宋体"/>
                <w:sz w:val="21"/>
                <w:szCs w:val="21"/>
                <w:lang w:val="en-US"/>
              </w:rPr>
              <w:t>4-5</w:t>
            </w:r>
            <w:r>
              <w:rPr>
                <w:rFonts w:hint="eastAsia" w:ascii="宋体" w:hAnsi="宋体" w:eastAsia="宋体" w:cs="宋体"/>
                <w:sz w:val="21"/>
                <w:szCs w:val="21"/>
              </w:rPr>
              <w:t>分；较合理、准确，基本符合招标文件要求，得</w:t>
            </w:r>
            <w:r>
              <w:rPr>
                <w:rFonts w:hint="eastAsia" w:ascii="宋体" w:hAnsi="宋体" w:eastAsia="宋体" w:cs="宋体"/>
                <w:sz w:val="21"/>
                <w:szCs w:val="21"/>
                <w:lang w:val="en-US"/>
              </w:rPr>
              <w:t>2-3</w:t>
            </w:r>
            <w:r>
              <w:rPr>
                <w:rFonts w:hint="eastAsia" w:ascii="宋体" w:hAnsi="宋体" w:eastAsia="宋体" w:cs="宋体"/>
                <w:sz w:val="21"/>
                <w:szCs w:val="21"/>
              </w:rPr>
              <w:t>分；基本合理、准确，部分符合招标文件要求，得</w:t>
            </w:r>
            <w:r>
              <w:rPr>
                <w:rFonts w:hint="eastAsia" w:ascii="宋体" w:hAnsi="宋体" w:eastAsia="宋体" w:cs="宋体"/>
                <w:sz w:val="21"/>
                <w:szCs w:val="21"/>
                <w:lang w:val="en-US"/>
              </w:rPr>
              <w:t>0-1</w:t>
            </w:r>
            <w:r>
              <w:rPr>
                <w:rFonts w:hint="eastAsia" w:ascii="宋体" w:hAnsi="宋体" w:eastAsia="宋体" w:cs="宋体"/>
                <w:sz w:val="21"/>
                <w:szCs w:val="21"/>
              </w:rPr>
              <w:t>分；差或未提供不得分。</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120" w:beforeAutospacing="0" w:after="0" w:afterAutospacing="0" w:line="240" w:lineRule="auto"/>
              <w:ind w:left="0" w:right="0"/>
              <w:jc w:val="center"/>
              <w:rPr>
                <w:rFonts w:hint="eastAsia" w:ascii="宋体" w:hAnsi="宋体" w:eastAsia="宋体" w:cs="宋体"/>
                <w:sz w:val="21"/>
                <w:szCs w:val="21"/>
                <w:lang w:val="en-US"/>
              </w:rPr>
            </w:pPr>
            <w:r>
              <w:rPr>
                <w:rFonts w:hint="eastAsia" w:ascii="宋体" w:hAnsi="宋体" w:eastAsia="宋体" w:cs="宋体"/>
                <w:sz w:val="21"/>
                <w:szCs w:val="21"/>
                <w:lang w:val="en-US"/>
              </w:rPr>
              <w:t>0-20</w:t>
            </w:r>
            <w:r>
              <w:rPr>
                <w:rFonts w:hint="eastAsia" w:ascii="宋体" w:hAnsi="宋体" w:eastAsia="宋体" w:cs="宋体"/>
                <w:sz w:val="21"/>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87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line="240" w:lineRule="auto"/>
              <w:ind w:left="0" w:right="0"/>
              <w:rPr>
                <w:rFonts w:hint="default" w:ascii="Times New Roman" w:hAnsi="Times New Roman" w:cs="Times New Roman"/>
                <w:sz w:val="21"/>
                <w:szCs w:val="21"/>
              </w:rPr>
            </w:pPr>
          </w:p>
        </w:tc>
        <w:tc>
          <w:tcPr>
            <w:tcW w:w="13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120" w:beforeAutospacing="0" w:after="0" w:afterAutospacing="0" w:line="240" w:lineRule="auto"/>
              <w:ind w:left="0" w:right="0"/>
              <w:jc w:val="center"/>
              <w:rPr>
                <w:rFonts w:hint="eastAsia" w:ascii="宋体" w:hAnsi="宋体" w:eastAsia="宋体" w:cs="宋体"/>
                <w:sz w:val="21"/>
                <w:szCs w:val="21"/>
                <w:lang w:val="en-US"/>
              </w:rPr>
            </w:pPr>
            <w:r>
              <w:rPr>
                <w:rFonts w:hint="eastAsia" w:ascii="宋体" w:hAnsi="宋体" w:eastAsia="宋体" w:cs="宋体"/>
                <w:sz w:val="21"/>
                <w:szCs w:val="21"/>
              </w:rPr>
              <w:t>项目人员</w:t>
            </w:r>
          </w:p>
        </w:tc>
        <w:tc>
          <w:tcPr>
            <w:tcW w:w="64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jc w:val="both"/>
              <w:rPr>
                <w:rFonts w:hint="eastAsia" w:ascii="宋体" w:hAnsi="宋体" w:eastAsia="宋体" w:cs="宋体"/>
                <w:sz w:val="21"/>
                <w:szCs w:val="21"/>
                <w:lang w:val="en-US"/>
              </w:rPr>
            </w:pPr>
            <w:r>
              <w:rPr>
                <w:rFonts w:hint="eastAsia" w:ascii="宋体" w:hAnsi="宋体" w:eastAsia="宋体" w:cs="宋体"/>
                <w:kern w:val="2"/>
                <w:sz w:val="21"/>
                <w:szCs w:val="21"/>
                <w:lang w:val="en-US" w:eastAsia="zh-CN" w:bidi="ar"/>
              </w:rPr>
              <w:t>投标人针对本项目需求拟配备的项目团队应设置质量经理、项目经理等，具体评审指标如下：</w:t>
            </w:r>
          </w:p>
          <w:p>
            <w:pPr>
              <w:keepNext w:val="0"/>
              <w:keepLines w:val="0"/>
              <w:widowControl w:val="0"/>
              <w:suppressLineNumbers w:val="0"/>
              <w:spacing w:before="0" w:beforeAutospacing="0" w:after="0" w:afterAutospacing="0" w:line="240" w:lineRule="auto"/>
              <w:ind w:left="0" w:right="0"/>
              <w:jc w:val="both"/>
              <w:rPr>
                <w:rFonts w:hint="eastAsia" w:ascii="宋体" w:hAnsi="宋体" w:eastAsia="宋体" w:cs="宋体"/>
                <w:b/>
                <w:bCs w:val="0"/>
                <w:sz w:val="21"/>
                <w:szCs w:val="21"/>
                <w:lang w:val="en-US"/>
              </w:rPr>
            </w:pPr>
            <w:r>
              <w:rPr>
                <w:rFonts w:hint="eastAsia" w:ascii="宋体" w:hAnsi="宋体" w:eastAsia="宋体" w:cs="宋体"/>
                <w:kern w:val="2"/>
                <w:sz w:val="21"/>
                <w:szCs w:val="21"/>
                <w:lang w:val="en-US" w:eastAsia="zh-CN" w:bidi="ar"/>
              </w:rPr>
              <w:t>1、</w:t>
            </w:r>
            <w:r>
              <w:rPr>
                <w:rFonts w:hint="eastAsia" w:ascii="宋体" w:hAnsi="宋体" w:eastAsia="宋体" w:cs="宋体"/>
                <w:b/>
                <w:bCs w:val="0"/>
                <w:kern w:val="2"/>
                <w:sz w:val="21"/>
                <w:szCs w:val="21"/>
                <w:lang w:val="en-US" w:eastAsia="zh-CN" w:bidi="ar"/>
              </w:rPr>
              <w:t>质量经理（1人，本小项满分5分）：</w:t>
            </w:r>
          </w:p>
          <w:p>
            <w:pPr>
              <w:keepNext w:val="0"/>
              <w:keepLines w:val="0"/>
              <w:widowControl w:val="0"/>
              <w:numPr>
                <w:ilvl w:val="0"/>
                <w:numId w:val="4"/>
              </w:numPr>
              <w:suppressLineNumbers w:val="0"/>
              <w:autoSpaceDE w:val="0"/>
              <w:autoSpaceDN w:val="0"/>
              <w:spacing w:before="0" w:beforeAutospacing="0" w:after="120" w:afterAutospacing="0" w:line="240" w:lineRule="auto"/>
              <w:ind w:left="420" w:right="0" w:hanging="420"/>
              <w:jc w:val="left"/>
              <w:rPr>
                <w:rFonts w:hint="eastAsia" w:ascii="宋体" w:hAnsi="宋体" w:eastAsia="宋体" w:cs="宋体"/>
                <w:sz w:val="21"/>
                <w:szCs w:val="21"/>
                <w:lang w:val="en-US"/>
              </w:rPr>
            </w:pPr>
            <w:r>
              <w:rPr>
                <w:rFonts w:hint="eastAsia" w:ascii="宋体" w:hAnsi="宋体" w:eastAsia="宋体" w:cs="宋体"/>
                <w:kern w:val="2"/>
                <w:sz w:val="21"/>
                <w:szCs w:val="21"/>
                <w:lang w:val="en-US" w:eastAsia="zh-CN" w:bidi="ar"/>
              </w:rPr>
              <w:t>具有中级（含）以上等级测评师证书，得1分；</w:t>
            </w:r>
          </w:p>
          <w:p>
            <w:pPr>
              <w:keepNext w:val="0"/>
              <w:keepLines w:val="0"/>
              <w:widowControl w:val="0"/>
              <w:numPr>
                <w:ilvl w:val="0"/>
                <w:numId w:val="4"/>
              </w:numPr>
              <w:suppressLineNumbers w:val="0"/>
              <w:autoSpaceDE w:val="0"/>
              <w:autoSpaceDN w:val="0"/>
              <w:spacing w:before="0" w:beforeAutospacing="0" w:after="120" w:afterAutospacing="0" w:line="240" w:lineRule="auto"/>
              <w:ind w:left="420" w:right="0" w:hanging="420"/>
              <w:jc w:val="left"/>
              <w:rPr>
                <w:rFonts w:hint="eastAsia" w:ascii="宋体" w:hAnsi="宋体" w:eastAsia="宋体" w:cs="宋体"/>
                <w:sz w:val="21"/>
                <w:szCs w:val="21"/>
                <w:lang w:val="en-US"/>
              </w:rPr>
            </w:pPr>
            <w:r>
              <w:rPr>
                <w:rFonts w:hint="eastAsia" w:ascii="宋体" w:hAnsi="宋体" w:eastAsia="宋体" w:cs="宋体"/>
                <w:kern w:val="2"/>
                <w:sz w:val="21"/>
                <w:szCs w:val="21"/>
                <w:lang w:val="en-US" w:eastAsia="zh-CN" w:bidi="ar"/>
              </w:rPr>
              <w:t>具有注册信息安全专业人员（CISP）证书，得2分；</w:t>
            </w:r>
          </w:p>
          <w:p>
            <w:pPr>
              <w:keepNext w:val="0"/>
              <w:keepLines w:val="0"/>
              <w:widowControl w:val="0"/>
              <w:numPr>
                <w:ilvl w:val="0"/>
                <w:numId w:val="4"/>
              </w:numPr>
              <w:suppressLineNumbers w:val="0"/>
              <w:autoSpaceDE w:val="0"/>
              <w:autoSpaceDN w:val="0"/>
              <w:spacing w:before="0" w:beforeAutospacing="0" w:after="120" w:afterAutospacing="0" w:line="240" w:lineRule="auto"/>
              <w:ind w:left="420" w:right="0" w:hanging="420"/>
              <w:jc w:val="left"/>
              <w:rPr>
                <w:rFonts w:hint="eastAsia" w:ascii="宋体" w:hAnsi="宋体" w:eastAsia="宋体" w:cs="宋体"/>
                <w:sz w:val="21"/>
                <w:szCs w:val="21"/>
                <w:lang w:val="en-US"/>
              </w:rPr>
            </w:pPr>
            <w:r>
              <w:rPr>
                <w:rFonts w:hint="eastAsia" w:ascii="宋体" w:hAnsi="宋体" w:eastAsia="宋体" w:cs="宋体"/>
                <w:kern w:val="2"/>
                <w:sz w:val="21"/>
                <w:szCs w:val="21"/>
                <w:lang w:val="en-US" w:eastAsia="zh-CN" w:bidi="ar"/>
              </w:rPr>
              <w:t>具有重要信息系统保护人员（证书类别：CIIP-T）证书，得2分。</w:t>
            </w:r>
          </w:p>
          <w:p>
            <w:pPr>
              <w:keepNext w:val="0"/>
              <w:keepLines w:val="0"/>
              <w:widowControl w:val="0"/>
              <w:suppressLineNumbers w:val="0"/>
              <w:spacing w:before="0" w:beforeAutospacing="0" w:after="0" w:afterAutospacing="0" w:line="240" w:lineRule="auto"/>
              <w:ind w:left="0" w:right="0"/>
              <w:jc w:val="both"/>
              <w:rPr>
                <w:rFonts w:hint="eastAsia" w:ascii="宋体" w:hAnsi="宋体" w:eastAsia="宋体" w:cs="宋体"/>
                <w:b/>
                <w:bCs w:val="0"/>
                <w:sz w:val="21"/>
                <w:szCs w:val="21"/>
                <w:lang w:val="en-US"/>
              </w:rPr>
            </w:pPr>
            <w:r>
              <w:rPr>
                <w:rFonts w:hint="eastAsia" w:ascii="宋体" w:hAnsi="宋体" w:eastAsia="宋体" w:cs="宋体"/>
                <w:kern w:val="2"/>
                <w:sz w:val="21"/>
                <w:szCs w:val="21"/>
                <w:lang w:val="en-US" w:eastAsia="zh-CN" w:bidi="ar"/>
              </w:rPr>
              <w:t>2、</w:t>
            </w:r>
            <w:r>
              <w:rPr>
                <w:rFonts w:hint="eastAsia" w:ascii="宋体" w:hAnsi="宋体" w:eastAsia="宋体" w:cs="宋体"/>
                <w:b/>
                <w:bCs w:val="0"/>
                <w:kern w:val="2"/>
                <w:sz w:val="21"/>
                <w:szCs w:val="21"/>
                <w:lang w:val="en-US" w:eastAsia="zh-CN" w:bidi="ar"/>
              </w:rPr>
              <w:t>项目经理（1人，本小项满分5分）：</w:t>
            </w:r>
          </w:p>
          <w:p>
            <w:pPr>
              <w:keepNext w:val="0"/>
              <w:keepLines w:val="0"/>
              <w:widowControl w:val="0"/>
              <w:numPr>
                <w:ilvl w:val="0"/>
                <w:numId w:val="5"/>
              </w:numPr>
              <w:suppressLineNumbers w:val="0"/>
              <w:autoSpaceDE w:val="0"/>
              <w:autoSpaceDN w:val="0"/>
              <w:spacing w:before="0" w:beforeAutospacing="0" w:after="120" w:afterAutospacing="0" w:line="240" w:lineRule="auto"/>
              <w:ind w:left="420" w:right="0" w:hanging="420"/>
              <w:jc w:val="left"/>
              <w:rPr>
                <w:rFonts w:hint="eastAsia" w:ascii="宋体" w:hAnsi="宋体" w:eastAsia="宋体" w:cs="宋体"/>
                <w:sz w:val="21"/>
                <w:szCs w:val="21"/>
                <w:lang w:val="en-US"/>
              </w:rPr>
            </w:pPr>
            <w:r>
              <w:rPr>
                <w:rFonts w:hint="eastAsia" w:ascii="宋体" w:hAnsi="宋体" w:eastAsia="宋体" w:cs="宋体"/>
                <w:kern w:val="2"/>
                <w:sz w:val="21"/>
                <w:szCs w:val="21"/>
                <w:lang w:val="en-US" w:eastAsia="zh-CN" w:bidi="ar"/>
              </w:rPr>
              <w:t>具有高级测评师证书，得1分；</w:t>
            </w:r>
          </w:p>
          <w:p>
            <w:pPr>
              <w:keepNext w:val="0"/>
              <w:keepLines w:val="0"/>
              <w:widowControl w:val="0"/>
              <w:numPr>
                <w:ilvl w:val="0"/>
                <w:numId w:val="5"/>
              </w:numPr>
              <w:suppressLineNumbers w:val="0"/>
              <w:autoSpaceDE w:val="0"/>
              <w:autoSpaceDN w:val="0"/>
              <w:spacing w:before="0" w:beforeAutospacing="0" w:after="120" w:afterAutospacing="0" w:line="240" w:lineRule="auto"/>
              <w:ind w:left="420" w:right="0" w:hanging="420"/>
              <w:jc w:val="left"/>
              <w:rPr>
                <w:rFonts w:hint="eastAsia" w:ascii="宋体" w:hAnsi="宋体" w:eastAsia="宋体" w:cs="宋体"/>
                <w:sz w:val="21"/>
                <w:szCs w:val="21"/>
                <w:lang w:val="en-US"/>
              </w:rPr>
            </w:pPr>
            <w:r>
              <w:rPr>
                <w:rFonts w:hint="eastAsia" w:ascii="宋体" w:hAnsi="宋体" w:eastAsia="宋体" w:cs="宋体"/>
                <w:kern w:val="2"/>
                <w:sz w:val="21"/>
                <w:szCs w:val="21"/>
                <w:lang w:val="en-US" w:eastAsia="zh-CN" w:bidi="ar"/>
              </w:rPr>
              <w:t>具有注册信息安全认证讲师（CISI）证书，得2分；</w:t>
            </w:r>
          </w:p>
          <w:p>
            <w:pPr>
              <w:keepNext w:val="0"/>
              <w:keepLines w:val="0"/>
              <w:widowControl w:val="0"/>
              <w:numPr>
                <w:ilvl w:val="0"/>
                <w:numId w:val="5"/>
              </w:numPr>
              <w:suppressLineNumbers w:val="0"/>
              <w:autoSpaceDE w:val="0"/>
              <w:autoSpaceDN w:val="0"/>
              <w:spacing w:before="0" w:beforeAutospacing="0" w:after="120" w:afterAutospacing="0" w:line="240" w:lineRule="auto"/>
              <w:ind w:left="420" w:right="0" w:hanging="420"/>
              <w:jc w:val="left"/>
              <w:rPr>
                <w:rFonts w:hint="eastAsia" w:ascii="宋体" w:hAnsi="宋体" w:eastAsia="宋体" w:cs="宋体"/>
                <w:sz w:val="21"/>
                <w:szCs w:val="21"/>
                <w:lang w:val="en-US"/>
              </w:rPr>
            </w:pPr>
            <w:r>
              <w:rPr>
                <w:rFonts w:hint="eastAsia" w:ascii="宋体" w:hAnsi="宋体" w:eastAsia="宋体" w:cs="宋体"/>
                <w:kern w:val="2"/>
                <w:sz w:val="21"/>
                <w:szCs w:val="21"/>
                <w:lang w:val="en-US" w:eastAsia="zh-CN" w:bidi="ar"/>
              </w:rPr>
              <w:t>具有信息安全保障人员认证（CISAW）证书，且认证方向为风险管理和安全运维方向的，得2分。</w:t>
            </w:r>
          </w:p>
          <w:p>
            <w:pPr>
              <w:keepNext w:val="0"/>
              <w:keepLines w:val="0"/>
              <w:widowControl w:val="0"/>
              <w:suppressLineNumbers w:val="0"/>
              <w:spacing w:before="0" w:beforeAutospacing="0" w:after="0" w:afterAutospacing="0" w:line="240" w:lineRule="auto"/>
              <w:ind w:left="0" w:right="0"/>
              <w:jc w:val="both"/>
              <w:rPr>
                <w:rFonts w:hint="eastAsia" w:ascii="宋体" w:hAnsi="宋体" w:eastAsia="宋体" w:cs="宋体"/>
                <w:b/>
                <w:bCs/>
                <w:sz w:val="21"/>
                <w:szCs w:val="21"/>
                <w:lang w:val="en-US"/>
              </w:rPr>
            </w:pPr>
            <w:r>
              <w:rPr>
                <w:rFonts w:hint="eastAsia" w:ascii="宋体" w:hAnsi="宋体" w:eastAsia="宋体" w:cs="宋体"/>
                <w:kern w:val="2"/>
                <w:sz w:val="21"/>
                <w:szCs w:val="21"/>
                <w:lang w:val="en-US" w:eastAsia="zh-CN" w:bidi="ar"/>
              </w:rPr>
              <w:t>3、</w:t>
            </w:r>
            <w:r>
              <w:rPr>
                <w:rFonts w:hint="eastAsia" w:ascii="宋体" w:hAnsi="宋体" w:eastAsia="宋体" w:cs="宋体"/>
                <w:b/>
                <w:bCs/>
                <w:kern w:val="2"/>
                <w:sz w:val="21"/>
                <w:szCs w:val="21"/>
                <w:lang w:val="en-US" w:eastAsia="zh-CN" w:bidi="ar"/>
              </w:rPr>
              <w:t>团队成员</w:t>
            </w:r>
            <w:r>
              <w:rPr>
                <w:rFonts w:hint="eastAsia" w:ascii="宋体" w:hAnsi="宋体" w:eastAsia="宋体" w:cs="宋体"/>
                <w:b/>
                <w:bCs w:val="0"/>
                <w:kern w:val="2"/>
                <w:sz w:val="21"/>
                <w:szCs w:val="21"/>
                <w:lang w:val="en-US" w:eastAsia="zh-CN" w:bidi="ar"/>
              </w:rPr>
              <w:t>（最少2人，本小项满分5分）</w:t>
            </w:r>
            <w:r>
              <w:rPr>
                <w:rFonts w:hint="eastAsia" w:ascii="宋体" w:hAnsi="宋体" w:eastAsia="宋体" w:cs="宋体"/>
                <w:b/>
                <w:bCs/>
                <w:kern w:val="2"/>
                <w:sz w:val="21"/>
                <w:szCs w:val="21"/>
                <w:lang w:val="en-US" w:eastAsia="zh-CN" w:bidi="ar"/>
              </w:rPr>
              <w:t>：</w:t>
            </w:r>
          </w:p>
          <w:p>
            <w:pPr>
              <w:keepNext w:val="0"/>
              <w:keepLines w:val="0"/>
              <w:widowControl w:val="0"/>
              <w:suppressLineNumbers w:val="0"/>
              <w:spacing w:before="0" w:beforeAutospacing="0" w:after="0" w:afterAutospacing="0" w:line="240" w:lineRule="auto"/>
              <w:ind w:left="0" w:right="0"/>
              <w:jc w:val="both"/>
              <w:rPr>
                <w:rFonts w:hint="eastAsia" w:ascii="宋体" w:hAnsi="宋体" w:eastAsia="宋体" w:cs="宋体"/>
                <w:sz w:val="21"/>
                <w:szCs w:val="21"/>
                <w:lang w:val="en-US"/>
              </w:rPr>
            </w:pPr>
            <w:r>
              <w:rPr>
                <w:rFonts w:hint="eastAsia" w:ascii="宋体" w:hAnsi="宋体" w:eastAsia="宋体" w:cs="宋体"/>
                <w:kern w:val="2"/>
                <w:sz w:val="21"/>
                <w:szCs w:val="21"/>
                <w:lang w:val="en-US" w:eastAsia="zh-CN" w:bidi="ar"/>
              </w:rPr>
              <w:t>项目组其他成员（不包括质量经理、项目经理）全部具有初级（含）以上等级测评师证书，满足得3分，否则本小项不得分；在满足上述条件基础上，每提供1名具有CISP证书或CCSC证书或CISAW证书，得1分。</w:t>
            </w:r>
          </w:p>
          <w:p>
            <w:pPr>
              <w:keepNext w:val="0"/>
              <w:keepLines w:val="0"/>
              <w:widowControl w:val="0"/>
              <w:suppressLineNumbers w:val="0"/>
              <w:spacing w:before="0" w:beforeAutospacing="0" w:after="0" w:afterAutospacing="0" w:line="240" w:lineRule="auto"/>
              <w:ind w:left="0" w:right="0"/>
              <w:jc w:val="both"/>
              <w:rPr>
                <w:rFonts w:hint="eastAsia" w:ascii="宋体" w:hAnsi="宋体" w:eastAsia="宋体" w:cs="宋体"/>
                <w:sz w:val="21"/>
                <w:szCs w:val="21"/>
                <w:lang w:val="en-US"/>
              </w:rPr>
            </w:pPr>
            <w:r>
              <w:rPr>
                <w:rFonts w:hint="eastAsia" w:ascii="宋体" w:hAnsi="宋体" w:eastAsia="宋体" w:cs="宋体"/>
                <w:sz w:val="21"/>
                <w:szCs w:val="21"/>
              </w:rPr>
              <w:t>注：以上证书须提供证书扫描件或复印件，且提供持证人员近三个月在投标单位的社保证明。</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120" w:beforeAutospacing="0" w:after="0" w:afterAutospacing="0" w:line="240" w:lineRule="auto"/>
              <w:ind w:left="0" w:right="0"/>
              <w:jc w:val="center"/>
              <w:rPr>
                <w:rFonts w:hint="eastAsia" w:ascii="宋体" w:hAnsi="宋体" w:eastAsia="宋体" w:cs="宋体"/>
                <w:sz w:val="21"/>
                <w:szCs w:val="21"/>
                <w:lang w:val="en-US"/>
              </w:rPr>
            </w:pPr>
            <w:r>
              <w:rPr>
                <w:rFonts w:hint="eastAsia" w:ascii="宋体" w:hAnsi="宋体" w:eastAsia="宋体" w:cs="宋体"/>
                <w:sz w:val="21"/>
                <w:szCs w:val="21"/>
                <w:lang w:val="en-US"/>
              </w:rPr>
              <w:t>0-15</w:t>
            </w:r>
            <w:r>
              <w:rPr>
                <w:rFonts w:hint="eastAsia" w:ascii="宋体" w:hAnsi="宋体" w:eastAsia="宋体" w:cs="宋体"/>
                <w:sz w:val="21"/>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87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120" w:beforeAutospacing="0" w:after="0" w:afterAutospacing="0" w:line="240" w:lineRule="auto"/>
              <w:ind w:left="0" w:right="0"/>
              <w:jc w:val="center"/>
              <w:rPr>
                <w:rFonts w:hint="eastAsia" w:ascii="宋体" w:hAnsi="宋体" w:eastAsia="宋体" w:cs="宋体"/>
                <w:sz w:val="21"/>
                <w:szCs w:val="21"/>
                <w:lang w:val="en-US"/>
              </w:rPr>
            </w:pPr>
            <w:r>
              <w:rPr>
                <w:rFonts w:hint="eastAsia" w:ascii="宋体" w:hAnsi="宋体" w:eastAsia="宋体" w:cs="宋体"/>
                <w:sz w:val="21"/>
                <w:szCs w:val="21"/>
              </w:rPr>
              <w:t>资信分（</w:t>
            </w:r>
            <w:r>
              <w:rPr>
                <w:rFonts w:hint="eastAsia" w:ascii="宋体" w:hAnsi="宋体" w:eastAsia="宋体" w:cs="宋体"/>
                <w:sz w:val="21"/>
                <w:szCs w:val="21"/>
                <w:lang w:val="en-US"/>
              </w:rPr>
              <w:t>55</w:t>
            </w:r>
            <w:r>
              <w:rPr>
                <w:rFonts w:hint="eastAsia" w:ascii="宋体" w:hAnsi="宋体" w:eastAsia="宋体" w:cs="宋体"/>
                <w:sz w:val="21"/>
                <w:szCs w:val="21"/>
              </w:rPr>
              <w:t>分）</w:t>
            </w:r>
          </w:p>
        </w:tc>
        <w:tc>
          <w:tcPr>
            <w:tcW w:w="13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120" w:beforeAutospacing="0" w:after="0" w:afterAutospacing="0" w:line="240" w:lineRule="auto"/>
              <w:ind w:left="0" w:right="0"/>
              <w:jc w:val="center"/>
              <w:rPr>
                <w:rFonts w:hint="eastAsia" w:ascii="宋体" w:hAnsi="宋体" w:eastAsia="宋体" w:cs="宋体"/>
                <w:sz w:val="21"/>
                <w:szCs w:val="21"/>
                <w:lang w:val="en-US"/>
              </w:rPr>
            </w:pPr>
            <w:r>
              <w:rPr>
                <w:rFonts w:hint="eastAsia" w:ascii="宋体" w:hAnsi="宋体" w:eastAsia="宋体" w:cs="宋体"/>
                <w:sz w:val="21"/>
                <w:szCs w:val="21"/>
              </w:rPr>
              <w:t>投标人业绩</w:t>
            </w:r>
          </w:p>
        </w:tc>
        <w:tc>
          <w:tcPr>
            <w:tcW w:w="64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120" w:beforeAutospacing="0" w:after="0" w:afterAutospacing="0" w:line="240" w:lineRule="auto"/>
              <w:ind w:left="0" w:right="0"/>
              <w:jc w:val="both"/>
              <w:rPr>
                <w:rFonts w:hint="eastAsia" w:ascii="宋体" w:hAnsi="宋体" w:eastAsia="宋体" w:cs="宋体"/>
                <w:sz w:val="21"/>
                <w:szCs w:val="21"/>
                <w:lang w:val="en-US"/>
              </w:rPr>
            </w:pPr>
            <w:r>
              <w:rPr>
                <w:rFonts w:hint="eastAsia" w:ascii="宋体" w:hAnsi="宋体" w:eastAsia="宋体" w:cs="宋体"/>
                <w:kern w:val="2"/>
                <w:sz w:val="21"/>
                <w:szCs w:val="21"/>
                <w:lang w:val="en-US" w:eastAsia="zh-CN" w:bidi="ar"/>
              </w:rPr>
              <w:t>投标人提供自2018年01月01日以来等保测评服务业绩合同（以合同签订日期为准）：每提供一个得3分；最高得15分。</w:t>
            </w:r>
          </w:p>
          <w:p>
            <w:pPr>
              <w:keepNext w:val="0"/>
              <w:keepLines w:val="0"/>
              <w:widowControl w:val="0"/>
              <w:suppressLineNumbers w:val="0"/>
              <w:spacing w:before="120" w:beforeAutospacing="0" w:after="0" w:afterAutospacing="0" w:line="240" w:lineRule="auto"/>
              <w:ind w:left="0" w:right="0"/>
              <w:jc w:val="both"/>
              <w:rPr>
                <w:rFonts w:hint="eastAsia" w:ascii="宋体" w:hAnsi="宋体" w:eastAsia="宋体" w:cs="宋体"/>
                <w:sz w:val="21"/>
                <w:szCs w:val="21"/>
                <w:lang w:val="en-US"/>
              </w:rPr>
            </w:pPr>
            <w:r>
              <w:rPr>
                <w:rFonts w:hint="eastAsia" w:ascii="宋体" w:hAnsi="宋体" w:eastAsia="宋体" w:cs="宋体"/>
                <w:sz w:val="21"/>
                <w:szCs w:val="21"/>
              </w:rPr>
              <w:t>注：投标文件中须提供业绩合同的扫描件</w:t>
            </w:r>
            <w:r>
              <w:rPr>
                <w:rFonts w:hint="eastAsia" w:ascii="宋体" w:hAnsi="宋体" w:eastAsia="宋体" w:cs="宋体"/>
                <w:sz w:val="21"/>
                <w:szCs w:val="21"/>
                <w:lang w:val="en-US"/>
              </w:rPr>
              <w:t>/</w:t>
            </w:r>
            <w:r>
              <w:rPr>
                <w:rFonts w:hint="eastAsia" w:ascii="宋体" w:hAnsi="宋体" w:eastAsia="宋体" w:cs="宋体"/>
                <w:sz w:val="21"/>
                <w:szCs w:val="21"/>
              </w:rPr>
              <w:t>复印件</w:t>
            </w:r>
            <w:r>
              <w:rPr>
                <w:rFonts w:hint="eastAsia" w:ascii="宋体" w:hAnsi="宋体" w:eastAsia="宋体" w:cs="宋体"/>
                <w:sz w:val="21"/>
                <w:szCs w:val="21"/>
                <w:lang w:val="en-US"/>
              </w:rPr>
              <w:t>,</w:t>
            </w:r>
            <w:r>
              <w:rPr>
                <w:rFonts w:hint="eastAsia" w:ascii="宋体" w:hAnsi="宋体" w:eastAsia="宋体" w:cs="宋体"/>
                <w:sz w:val="21"/>
                <w:szCs w:val="21"/>
              </w:rPr>
              <w:t>合同扫描件至少提供封面、服务内容和签字盖章页。</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120" w:beforeAutospacing="0" w:after="0" w:afterAutospacing="0" w:line="240" w:lineRule="auto"/>
              <w:ind w:left="0" w:right="0"/>
              <w:jc w:val="center"/>
              <w:rPr>
                <w:rFonts w:hint="eastAsia" w:ascii="宋体" w:hAnsi="宋体" w:eastAsia="宋体" w:cs="宋体"/>
                <w:sz w:val="21"/>
                <w:szCs w:val="21"/>
                <w:lang w:val="en-US"/>
              </w:rPr>
            </w:pPr>
            <w:r>
              <w:rPr>
                <w:rFonts w:hint="eastAsia" w:ascii="宋体" w:hAnsi="宋体" w:eastAsia="宋体" w:cs="宋体"/>
                <w:sz w:val="21"/>
                <w:szCs w:val="21"/>
                <w:lang w:val="en-US"/>
              </w:rPr>
              <w:t>0-15</w:t>
            </w:r>
            <w:r>
              <w:rPr>
                <w:rFonts w:hint="eastAsia" w:ascii="宋体" w:hAnsi="宋体" w:eastAsia="宋体" w:cs="宋体"/>
                <w:sz w:val="21"/>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87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line="240" w:lineRule="auto"/>
              <w:ind w:left="0" w:right="0"/>
              <w:rPr>
                <w:rFonts w:hint="default" w:ascii="Times New Roman" w:hAnsi="Times New Roman" w:cs="Times New Roman"/>
                <w:sz w:val="21"/>
                <w:szCs w:val="21"/>
              </w:rPr>
            </w:pPr>
          </w:p>
        </w:tc>
        <w:tc>
          <w:tcPr>
            <w:tcW w:w="13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120" w:beforeAutospacing="0" w:after="0" w:afterAutospacing="0" w:line="240" w:lineRule="auto"/>
              <w:ind w:left="0" w:right="0"/>
              <w:jc w:val="center"/>
              <w:rPr>
                <w:rFonts w:hint="eastAsia" w:ascii="宋体" w:hAnsi="宋体" w:eastAsia="宋体" w:cs="宋体"/>
                <w:sz w:val="21"/>
                <w:szCs w:val="21"/>
                <w:lang w:val="en-US"/>
              </w:rPr>
            </w:pPr>
            <w:r>
              <w:rPr>
                <w:rFonts w:hint="eastAsia" w:ascii="宋体" w:hAnsi="宋体" w:eastAsia="宋体" w:cs="宋体"/>
                <w:sz w:val="21"/>
                <w:szCs w:val="21"/>
              </w:rPr>
              <w:t>投标人实力</w:t>
            </w:r>
          </w:p>
        </w:tc>
        <w:tc>
          <w:tcPr>
            <w:tcW w:w="64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120" w:beforeAutospacing="0" w:after="0" w:afterAutospacing="0" w:line="240" w:lineRule="auto"/>
              <w:ind w:left="0" w:right="0"/>
              <w:jc w:val="both"/>
              <w:rPr>
                <w:rFonts w:hint="eastAsia" w:ascii="宋体" w:hAnsi="宋体" w:eastAsia="宋体" w:cs="宋体"/>
                <w:sz w:val="21"/>
                <w:szCs w:val="21"/>
                <w:lang w:val="en-US"/>
              </w:rPr>
            </w:pPr>
            <w:r>
              <w:rPr>
                <w:rFonts w:hint="eastAsia" w:ascii="宋体" w:hAnsi="宋体" w:eastAsia="宋体" w:cs="宋体"/>
                <w:kern w:val="2"/>
                <w:sz w:val="21"/>
                <w:szCs w:val="21"/>
                <w:lang w:val="en-US" w:eastAsia="zh-CN" w:bidi="ar"/>
              </w:rPr>
              <w:t>1、投标人具有ISO9001质量管理体系认证证书、ISO/IEC 27001信息安全管理体系认证证书、ISO/IEC20000信息技术服务管理体系认证证书、ISO14001环境管理体系认证证书和ISO45001职业健康安全管理体系认证证书且认证覆盖业务范围包括网络安全等级保护测评的，每提供一个证书得1分，本小项最多得5分。</w:t>
            </w:r>
          </w:p>
          <w:p>
            <w:pPr>
              <w:keepNext w:val="0"/>
              <w:keepLines w:val="0"/>
              <w:widowControl w:val="0"/>
              <w:suppressLineNumbers w:val="0"/>
              <w:spacing w:before="120" w:beforeAutospacing="0" w:after="0" w:afterAutospacing="0" w:line="240" w:lineRule="auto"/>
              <w:ind w:left="0" w:right="0"/>
              <w:jc w:val="both"/>
              <w:rPr>
                <w:rFonts w:hint="eastAsia" w:ascii="宋体" w:hAnsi="宋体" w:eastAsia="宋体" w:cs="宋体"/>
                <w:sz w:val="21"/>
                <w:szCs w:val="21"/>
                <w:lang w:val="en-US"/>
              </w:rPr>
            </w:pPr>
            <w:r>
              <w:rPr>
                <w:rFonts w:hint="eastAsia" w:ascii="宋体" w:hAnsi="宋体" w:eastAsia="宋体" w:cs="宋体"/>
                <w:kern w:val="2"/>
                <w:sz w:val="21"/>
                <w:szCs w:val="21"/>
                <w:lang w:val="en-US" w:eastAsia="zh-CN" w:bidi="ar"/>
              </w:rPr>
              <w:t>2、投标人具有ISO 22301业务连续性管理体系认证证书且认证覆盖的业务范围包括网络安全等级保护测评的，</w:t>
            </w:r>
            <w:r>
              <w:rPr>
                <w:rFonts w:hint="eastAsia" w:ascii="宋体" w:hAnsi="宋体" w:eastAsia="宋体" w:cs="宋体"/>
                <w:bCs/>
                <w:kern w:val="2"/>
                <w:sz w:val="21"/>
                <w:szCs w:val="21"/>
                <w:lang w:val="zh-CN" w:eastAsia="zh-CN" w:bidi="ar"/>
              </w:rPr>
              <w:t>得5分，</w:t>
            </w:r>
            <w:r>
              <w:rPr>
                <w:rFonts w:hint="eastAsia" w:ascii="宋体" w:hAnsi="宋体" w:eastAsia="宋体" w:cs="宋体"/>
                <w:kern w:val="2"/>
                <w:sz w:val="21"/>
                <w:szCs w:val="21"/>
                <w:lang w:val="en-US" w:eastAsia="zh-CN" w:bidi="ar"/>
              </w:rPr>
              <w:t>否则不得分。</w:t>
            </w:r>
          </w:p>
          <w:p>
            <w:pPr>
              <w:keepNext w:val="0"/>
              <w:keepLines w:val="0"/>
              <w:widowControl w:val="0"/>
              <w:suppressLineNumbers w:val="0"/>
              <w:spacing w:before="120" w:beforeAutospacing="0" w:after="0" w:afterAutospacing="0" w:line="240" w:lineRule="auto"/>
              <w:ind w:left="0" w:right="0"/>
              <w:jc w:val="both"/>
              <w:rPr>
                <w:rFonts w:hint="eastAsia" w:ascii="宋体" w:hAnsi="宋体" w:eastAsia="宋体" w:cs="宋体"/>
                <w:sz w:val="21"/>
                <w:szCs w:val="21"/>
                <w:lang w:val="en-US"/>
              </w:rPr>
            </w:pPr>
            <w:r>
              <w:rPr>
                <w:rFonts w:hint="eastAsia" w:ascii="宋体" w:hAnsi="宋体" w:eastAsia="宋体" w:cs="宋体"/>
                <w:kern w:val="2"/>
                <w:sz w:val="21"/>
                <w:szCs w:val="21"/>
                <w:lang w:val="en-US" w:eastAsia="zh-CN" w:bidi="ar"/>
              </w:rPr>
              <w:t>3、投标人具有检验检测机构资质认定证书（CMA）证书且检验检测的能力范围包括网络安全等级保护测评的，得5分，否则不得分。</w:t>
            </w:r>
          </w:p>
          <w:p>
            <w:pPr>
              <w:keepNext w:val="0"/>
              <w:keepLines w:val="0"/>
              <w:widowControl w:val="0"/>
              <w:suppressLineNumbers w:val="0"/>
              <w:spacing w:before="120" w:beforeAutospacing="0" w:after="0" w:afterAutospacing="0" w:line="240" w:lineRule="auto"/>
              <w:ind w:left="0" w:right="0"/>
              <w:jc w:val="both"/>
              <w:rPr>
                <w:rFonts w:hint="eastAsia" w:ascii="宋体" w:hAnsi="宋体" w:eastAsia="宋体" w:cs="宋体"/>
                <w:sz w:val="21"/>
                <w:szCs w:val="21"/>
                <w:lang w:val="en-US"/>
              </w:rPr>
            </w:pPr>
            <w:r>
              <w:rPr>
                <w:rFonts w:hint="eastAsia" w:ascii="宋体" w:hAnsi="宋体" w:eastAsia="宋体" w:cs="宋体"/>
                <w:kern w:val="2"/>
                <w:sz w:val="21"/>
                <w:szCs w:val="21"/>
                <w:lang w:val="en-US" w:eastAsia="zh-CN" w:bidi="ar"/>
              </w:rPr>
              <w:t>4、投标人具有信息技术服务标准符合性证书（ITSS）的，得5分，否则不得分。</w:t>
            </w:r>
          </w:p>
          <w:p>
            <w:pPr>
              <w:keepNext w:val="0"/>
              <w:keepLines w:val="0"/>
              <w:widowControl w:val="0"/>
              <w:suppressLineNumbers w:val="0"/>
              <w:spacing w:before="120" w:beforeAutospacing="0" w:after="0" w:afterAutospacing="0" w:line="240" w:lineRule="auto"/>
              <w:ind w:left="0" w:right="0"/>
              <w:jc w:val="both"/>
              <w:rPr>
                <w:rFonts w:hint="eastAsia" w:ascii="宋体" w:hAnsi="宋体" w:eastAsia="宋体" w:cs="宋体"/>
                <w:bCs/>
                <w:color w:val="000000"/>
                <w:sz w:val="21"/>
                <w:szCs w:val="21"/>
                <w:lang w:val="zh-CN"/>
              </w:rPr>
            </w:pPr>
            <w:r>
              <w:rPr>
                <w:rFonts w:hint="eastAsia" w:ascii="宋体" w:hAnsi="宋体" w:eastAsia="宋体" w:cs="宋体"/>
                <w:kern w:val="2"/>
                <w:sz w:val="21"/>
                <w:szCs w:val="21"/>
                <w:lang w:val="en-US" w:eastAsia="zh-CN" w:bidi="ar"/>
              </w:rPr>
              <w:t>5、自2018年1月1日以来，投标人获得过国家网络安全等级保护协调小组办公室颁发的“全国网络安全等级保护测评机构先进单位”荣誉证书的，得5分</w:t>
            </w:r>
            <w:r>
              <w:rPr>
                <w:rFonts w:hint="eastAsia" w:ascii="宋体" w:hAnsi="宋体" w:eastAsia="宋体" w:cs="宋体"/>
                <w:bCs/>
                <w:color w:val="000000"/>
                <w:kern w:val="2"/>
                <w:sz w:val="21"/>
                <w:szCs w:val="21"/>
                <w:lang w:val="zh-CN" w:eastAsia="zh-CN" w:bidi="ar"/>
              </w:rPr>
              <w:t>，</w:t>
            </w:r>
            <w:r>
              <w:rPr>
                <w:rFonts w:hint="eastAsia" w:ascii="宋体" w:hAnsi="宋体" w:eastAsia="宋体" w:cs="宋体"/>
                <w:kern w:val="2"/>
                <w:sz w:val="21"/>
                <w:szCs w:val="21"/>
                <w:lang w:val="en-US" w:eastAsia="zh-CN" w:bidi="ar"/>
              </w:rPr>
              <w:t>否则不得分。</w:t>
            </w:r>
          </w:p>
          <w:p>
            <w:pPr>
              <w:keepNext w:val="0"/>
              <w:keepLines w:val="0"/>
              <w:widowControl w:val="0"/>
              <w:suppressLineNumbers w:val="0"/>
              <w:spacing w:before="120" w:beforeAutospacing="0" w:after="0" w:afterAutospacing="0" w:line="240" w:lineRule="auto"/>
              <w:ind w:left="0" w:right="0"/>
              <w:jc w:val="both"/>
              <w:rPr>
                <w:rFonts w:hint="eastAsia" w:ascii="宋体" w:hAnsi="宋体" w:eastAsia="宋体" w:cs="宋体"/>
                <w:sz w:val="21"/>
                <w:szCs w:val="21"/>
                <w:lang w:val="en-US"/>
              </w:rPr>
            </w:pPr>
            <w:r>
              <w:rPr>
                <w:rFonts w:hint="eastAsia" w:ascii="宋体" w:hAnsi="宋体" w:eastAsia="宋体" w:cs="宋体"/>
                <w:kern w:val="2"/>
                <w:sz w:val="21"/>
                <w:szCs w:val="21"/>
                <w:lang w:val="en-US" w:eastAsia="zh-CN" w:bidi="ar"/>
              </w:rPr>
              <w:t>6、投标人</w:t>
            </w:r>
            <w:r>
              <w:rPr>
                <w:rFonts w:hint="eastAsia" w:ascii="宋体" w:hAnsi="宋体" w:eastAsia="宋体" w:cs="宋体"/>
                <w:spacing w:val="-4"/>
                <w:kern w:val="2"/>
                <w:sz w:val="21"/>
                <w:szCs w:val="21"/>
                <w:lang w:val="en-US" w:eastAsia="zh-CN" w:bidi="ar"/>
              </w:rPr>
              <w:t>具有自主研发的网络安全等级保护助手软件、智能测评服务软件、网络流量分析工具、网络安全漏洞扫描工具和关键信息基础设施安全检查工具的，得5分</w:t>
            </w:r>
            <w:r>
              <w:rPr>
                <w:rFonts w:hint="eastAsia" w:ascii="宋体" w:hAnsi="宋体" w:eastAsia="宋体" w:cs="宋体"/>
                <w:kern w:val="2"/>
                <w:sz w:val="21"/>
                <w:szCs w:val="21"/>
                <w:lang w:val="en-US" w:eastAsia="zh-CN" w:bidi="ar"/>
              </w:rPr>
              <w:t>，否则不得分。</w:t>
            </w:r>
          </w:p>
          <w:p>
            <w:pPr>
              <w:keepNext w:val="0"/>
              <w:keepLines w:val="0"/>
              <w:widowControl w:val="0"/>
              <w:suppressLineNumbers w:val="0"/>
              <w:spacing w:before="120" w:beforeAutospacing="0" w:after="0" w:afterAutospacing="0" w:line="240" w:lineRule="auto"/>
              <w:ind w:left="0" w:right="0"/>
              <w:jc w:val="both"/>
              <w:rPr>
                <w:rFonts w:hint="eastAsia" w:ascii="宋体" w:hAnsi="宋体" w:eastAsia="宋体" w:cs="宋体"/>
                <w:sz w:val="21"/>
                <w:szCs w:val="21"/>
                <w:lang w:val="en-US"/>
              </w:rPr>
            </w:pPr>
            <w:r>
              <w:rPr>
                <w:rFonts w:hint="eastAsia" w:ascii="宋体" w:hAnsi="宋体" w:eastAsia="宋体" w:cs="宋体"/>
                <w:kern w:val="2"/>
                <w:sz w:val="21"/>
                <w:szCs w:val="21"/>
                <w:lang w:val="en-US" w:eastAsia="zh-CN" w:bidi="ar"/>
              </w:rPr>
              <w:t>注： （1）第1、2两项须提供证书扫描件或复印件及全国认证认可信息公共服务平台（http://cx.cnca.cn/）查询结果截图。</w:t>
            </w:r>
          </w:p>
          <w:p>
            <w:pPr>
              <w:keepNext w:val="0"/>
              <w:keepLines w:val="0"/>
              <w:widowControl w:val="0"/>
              <w:suppressLineNumbers w:val="0"/>
              <w:spacing w:before="120" w:beforeAutospacing="0" w:after="0" w:afterAutospacing="0" w:line="240" w:lineRule="auto"/>
              <w:ind w:left="0" w:right="0"/>
              <w:jc w:val="both"/>
              <w:rPr>
                <w:rFonts w:hint="eastAsia" w:ascii="宋体" w:hAnsi="宋体" w:eastAsia="宋体" w:cs="宋体"/>
                <w:sz w:val="21"/>
                <w:szCs w:val="21"/>
                <w:lang w:val="en-US"/>
              </w:rPr>
            </w:pPr>
            <w:r>
              <w:rPr>
                <w:rFonts w:hint="eastAsia" w:ascii="宋体" w:hAnsi="宋体" w:eastAsia="宋体" w:cs="宋体"/>
                <w:kern w:val="2"/>
                <w:sz w:val="21"/>
                <w:szCs w:val="21"/>
                <w:lang w:val="en-US" w:eastAsia="zh-CN" w:bidi="ar"/>
              </w:rPr>
              <w:t>（2）第3项须提供证书扫描件或复印件及市场监督管理部门证书公示查询系统查询结果截图。</w:t>
            </w:r>
          </w:p>
          <w:p>
            <w:pPr>
              <w:keepNext w:val="0"/>
              <w:keepLines w:val="0"/>
              <w:widowControl w:val="0"/>
              <w:suppressLineNumbers w:val="0"/>
              <w:spacing w:before="120" w:beforeAutospacing="0" w:after="0" w:afterAutospacing="0" w:line="240" w:lineRule="auto"/>
              <w:ind w:left="0" w:right="0"/>
              <w:jc w:val="both"/>
              <w:rPr>
                <w:rFonts w:hint="eastAsia" w:ascii="宋体" w:hAnsi="宋体" w:eastAsia="宋体" w:cs="宋体"/>
                <w:sz w:val="21"/>
                <w:szCs w:val="21"/>
                <w:lang w:val="en-US"/>
              </w:rPr>
            </w:pPr>
            <w:r>
              <w:rPr>
                <w:rFonts w:hint="eastAsia" w:ascii="宋体" w:hAnsi="宋体" w:eastAsia="宋体" w:cs="宋体"/>
                <w:kern w:val="2"/>
                <w:sz w:val="21"/>
                <w:szCs w:val="21"/>
                <w:lang w:val="en-US" w:eastAsia="zh-CN" w:bidi="ar"/>
              </w:rPr>
              <w:t>（3）第4项须提供证书扫描件或复印件及中国电子工业标准化技术协会信息技术服务分会工作网站（www.itss.cn）查询结果。</w:t>
            </w:r>
          </w:p>
          <w:p>
            <w:pPr>
              <w:keepNext w:val="0"/>
              <w:keepLines w:val="0"/>
              <w:widowControl w:val="0"/>
              <w:suppressLineNumbers w:val="0"/>
              <w:spacing w:before="120" w:beforeAutospacing="0" w:after="0" w:afterAutospacing="0" w:line="240" w:lineRule="auto"/>
              <w:ind w:left="0" w:right="0"/>
              <w:jc w:val="both"/>
              <w:rPr>
                <w:rFonts w:hint="eastAsia" w:ascii="宋体" w:hAnsi="宋体" w:eastAsia="宋体" w:cs="宋体"/>
                <w:sz w:val="21"/>
                <w:szCs w:val="21"/>
                <w:lang w:val="en-US"/>
              </w:rPr>
            </w:pPr>
            <w:r>
              <w:rPr>
                <w:rFonts w:hint="eastAsia" w:ascii="宋体" w:hAnsi="宋体" w:eastAsia="宋体" w:cs="宋体"/>
                <w:kern w:val="2"/>
                <w:sz w:val="21"/>
                <w:szCs w:val="21"/>
                <w:lang w:val="en-US" w:eastAsia="zh-CN" w:bidi="ar"/>
              </w:rPr>
              <w:t>（4）第5项须提供荣誉证书扫描件或复印件及省级（含）以上等保办出具的证明文件。</w:t>
            </w:r>
          </w:p>
          <w:p>
            <w:pPr>
              <w:keepNext w:val="0"/>
              <w:keepLines w:val="0"/>
              <w:widowControl w:val="0"/>
              <w:suppressLineNumbers w:val="0"/>
              <w:spacing w:before="120" w:beforeAutospacing="0" w:after="0" w:afterAutospacing="0" w:line="240" w:lineRule="auto"/>
              <w:ind w:left="0" w:right="0"/>
              <w:jc w:val="both"/>
              <w:rPr>
                <w:rFonts w:hint="eastAsia" w:ascii="宋体" w:hAnsi="宋体" w:eastAsia="宋体" w:cs="宋体"/>
                <w:sz w:val="21"/>
                <w:szCs w:val="21"/>
                <w:lang w:val="en-US"/>
              </w:rPr>
            </w:pPr>
            <w:r>
              <w:rPr>
                <w:rFonts w:hint="eastAsia" w:ascii="宋体" w:hAnsi="宋体" w:eastAsia="宋体" w:cs="宋体"/>
                <w:sz w:val="21"/>
                <w:szCs w:val="21"/>
              </w:rPr>
              <w:t>（</w:t>
            </w:r>
            <w:r>
              <w:rPr>
                <w:rFonts w:hint="eastAsia" w:ascii="宋体" w:hAnsi="宋体" w:eastAsia="宋体" w:cs="宋体"/>
                <w:sz w:val="21"/>
                <w:szCs w:val="21"/>
                <w:lang w:val="en-US"/>
              </w:rPr>
              <w:t>5</w:t>
            </w:r>
            <w:r>
              <w:rPr>
                <w:rFonts w:hint="eastAsia" w:ascii="宋体" w:hAnsi="宋体" w:eastAsia="宋体" w:cs="宋体"/>
                <w:sz w:val="21"/>
                <w:szCs w:val="21"/>
              </w:rPr>
              <w:t>）第</w:t>
            </w:r>
            <w:r>
              <w:rPr>
                <w:rFonts w:hint="eastAsia" w:ascii="宋体" w:hAnsi="宋体" w:eastAsia="宋体" w:cs="宋体"/>
                <w:sz w:val="21"/>
                <w:szCs w:val="21"/>
                <w:lang w:val="en-US"/>
              </w:rPr>
              <w:t>6</w:t>
            </w:r>
            <w:r>
              <w:rPr>
                <w:rFonts w:hint="eastAsia" w:ascii="宋体" w:hAnsi="宋体" w:eastAsia="宋体" w:cs="宋体"/>
                <w:sz w:val="21"/>
                <w:szCs w:val="21"/>
              </w:rPr>
              <w:t>项须提供自主研发工具的软著登记证书扫描件或复印件。</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120" w:beforeAutospacing="0" w:after="0" w:afterAutospacing="0" w:line="240" w:lineRule="auto"/>
              <w:ind w:left="0" w:right="0"/>
              <w:jc w:val="center"/>
              <w:rPr>
                <w:rFonts w:hint="eastAsia" w:ascii="宋体" w:hAnsi="宋体" w:eastAsia="宋体" w:cs="宋体"/>
                <w:sz w:val="21"/>
                <w:szCs w:val="21"/>
                <w:lang w:val="en-US"/>
              </w:rPr>
            </w:pPr>
            <w:r>
              <w:rPr>
                <w:rFonts w:hint="eastAsia" w:ascii="宋体" w:hAnsi="宋体" w:eastAsia="宋体" w:cs="宋体"/>
                <w:sz w:val="21"/>
                <w:szCs w:val="21"/>
                <w:lang w:val="en-US"/>
              </w:rPr>
              <w:t>0-30</w:t>
            </w:r>
            <w:r>
              <w:rPr>
                <w:rFonts w:hint="eastAsia" w:ascii="宋体" w:hAnsi="宋体" w:eastAsia="宋体" w:cs="宋体"/>
                <w:sz w:val="21"/>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87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line="240" w:lineRule="auto"/>
              <w:ind w:left="0" w:right="0"/>
              <w:rPr>
                <w:rFonts w:hint="default" w:ascii="Times New Roman" w:hAnsi="Times New Roman" w:cs="Times New Roman"/>
                <w:sz w:val="21"/>
                <w:szCs w:val="21"/>
              </w:rPr>
            </w:pPr>
          </w:p>
        </w:tc>
        <w:tc>
          <w:tcPr>
            <w:tcW w:w="13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120" w:beforeAutospacing="0" w:after="0" w:afterAutospacing="0" w:line="240" w:lineRule="auto"/>
              <w:ind w:left="0" w:right="0"/>
              <w:jc w:val="center"/>
              <w:rPr>
                <w:rFonts w:hint="eastAsia" w:ascii="宋体" w:hAnsi="宋体" w:eastAsia="宋体" w:cs="宋体"/>
                <w:sz w:val="21"/>
                <w:szCs w:val="21"/>
                <w:lang w:val="en-US"/>
              </w:rPr>
            </w:pPr>
            <w:r>
              <w:rPr>
                <w:rFonts w:hint="eastAsia" w:ascii="宋体" w:hAnsi="宋体" w:eastAsia="宋体" w:cs="宋体"/>
                <w:sz w:val="21"/>
                <w:szCs w:val="21"/>
              </w:rPr>
              <w:t>售后服务能力</w:t>
            </w:r>
          </w:p>
        </w:tc>
        <w:tc>
          <w:tcPr>
            <w:tcW w:w="64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jc w:val="both"/>
              <w:rPr>
                <w:rFonts w:hint="eastAsia" w:ascii="宋体" w:hAnsi="宋体" w:eastAsia="宋体" w:cs="宋体"/>
                <w:sz w:val="21"/>
                <w:szCs w:val="21"/>
                <w:lang w:val="en-US"/>
              </w:rPr>
            </w:pPr>
            <w:r>
              <w:rPr>
                <w:rFonts w:hint="eastAsia" w:ascii="宋体" w:hAnsi="宋体" w:eastAsia="宋体" w:cs="宋体"/>
                <w:kern w:val="2"/>
                <w:sz w:val="21"/>
                <w:szCs w:val="21"/>
                <w:lang w:val="en-US" w:eastAsia="zh-CN" w:bidi="ar"/>
              </w:rPr>
              <w:t>1、投标人在完成测评工作后应为甲方提供常态化的安全技术支撑、网络与信息安全培训、宣贯服务，提供售后服务承诺书，评委对各家售后服务内容进行横向比较：详实得5分、良好得3分、一般得1分、较差得0分。</w:t>
            </w:r>
          </w:p>
          <w:p>
            <w:pPr>
              <w:keepNext w:val="0"/>
              <w:keepLines w:val="0"/>
              <w:widowControl w:val="0"/>
              <w:suppressLineNumbers w:val="0"/>
              <w:spacing w:before="0" w:beforeAutospacing="0" w:after="0" w:afterAutospacing="0" w:line="240" w:lineRule="auto"/>
              <w:ind w:left="0" w:right="0"/>
              <w:jc w:val="both"/>
              <w:rPr>
                <w:rFonts w:hint="eastAsia" w:ascii="宋体" w:hAnsi="宋体" w:eastAsia="宋体" w:cs="宋体"/>
                <w:b/>
                <w:bCs/>
                <w:sz w:val="21"/>
                <w:szCs w:val="21"/>
                <w:lang w:val="en-US"/>
              </w:rPr>
            </w:pPr>
            <w:r>
              <w:rPr>
                <w:rFonts w:hint="eastAsia" w:ascii="宋体" w:hAnsi="宋体" w:eastAsia="宋体" w:cs="宋体"/>
                <w:b/>
                <w:bCs/>
                <w:kern w:val="2"/>
                <w:sz w:val="21"/>
                <w:szCs w:val="21"/>
                <w:lang w:val="en-US" w:eastAsia="zh-CN" w:bidi="ar"/>
              </w:rPr>
              <w:t>注：投标文件中须提供售后服务承诺书。</w:t>
            </w:r>
          </w:p>
          <w:p>
            <w:pPr>
              <w:keepNext w:val="0"/>
              <w:keepLines w:val="0"/>
              <w:widowControl w:val="0"/>
              <w:suppressLineNumbers w:val="0"/>
              <w:spacing w:before="0" w:beforeAutospacing="0" w:after="0" w:afterAutospacing="0" w:line="240" w:lineRule="auto"/>
              <w:ind w:left="0" w:right="0"/>
              <w:jc w:val="both"/>
              <w:rPr>
                <w:rFonts w:hint="eastAsia" w:ascii="宋体" w:hAnsi="宋体" w:eastAsia="宋体" w:cs="宋体"/>
                <w:color w:val="000000"/>
                <w:sz w:val="21"/>
                <w:szCs w:val="21"/>
                <w:lang w:val="en-US"/>
              </w:rPr>
            </w:pPr>
            <w:r>
              <w:rPr>
                <w:rFonts w:hint="eastAsia" w:ascii="宋体" w:hAnsi="宋体" w:eastAsia="宋体" w:cs="宋体"/>
                <w:color w:val="000000"/>
                <w:kern w:val="2"/>
                <w:sz w:val="21"/>
                <w:szCs w:val="21"/>
                <w:lang w:val="en-US" w:eastAsia="zh-CN" w:bidi="ar"/>
              </w:rPr>
              <w:t>2、投标人具有国家互联网应急中心颁发的“网络安全能力认证”培训机构（CCSC）证书的，得5分。</w:t>
            </w:r>
          </w:p>
          <w:p>
            <w:pPr>
              <w:keepNext w:val="0"/>
              <w:keepLines w:val="0"/>
              <w:widowControl w:val="0"/>
              <w:suppressLineNumbers w:val="0"/>
              <w:spacing w:before="0" w:beforeAutospacing="0" w:after="0" w:afterAutospacing="0" w:line="240" w:lineRule="auto"/>
              <w:ind w:left="0" w:right="0"/>
              <w:jc w:val="both"/>
              <w:rPr>
                <w:rFonts w:hint="eastAsia" w:ascii="宋体" w:hAnsi="宋体" w:eastAsia="宋体" w:cs="宋体"/>
                <w:sz w:val="21"/>
                <w:szCs w:val="21"/>
                <w:lang w:val="en-US"/>
              </w:rPr>
            </w:pPr>
            <w:r>
              <w:rPr>
                <w:rFonts w:hint="eastAsia" w:ascii="宋体" w:hAnsi="宋体" w:eastAsia="宋体" w:cs="宋体"/>
                <w:b/>
                <w:bCs/>
                <w:sz w:val="21"/>
                <w:szCs w:val="21"/>
              </w:rPr>
              <w:t>注：投标文件中须提供证书扫描件</w:t>
            </w:r>
            <w:r>
              <w:rPr>
                <w:rFonts w:hint="eastAsia" w:ascii="宋体" w:hAnsi="宋体" w:eastAsia="宋体" w:cs="宋体"/>
                <w:b/>
                <w:bCs/>
                <w:sz w:val="21"/>
                <w:szCs w:val="21"/>
                <w:lang w:val="en-US"/>
              </w:rPr>
              <w:t>/</w:t>
            </w:r>
            <w:r>
              <w:rPr>
                <w:rFonts w:hint="eastAsia" w:ascii="宋体" w:hAnsi="宋体" w:eastAsia="宋体" w:cs="宋体"/>
                <w:b/>
                <w:bCs/>
                <w:sz w:val="21"/>
                <w:szCs w:val="21"/>
              </w:rPr>
              <w:t>复印件。</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120" w:beforeAutospacing="0" w:after="0" w:afterAutospacing="0" w:line="240" w:lineRule="auto"/>
              <w:ind w:left="0" w:right="0"/>
              <w:jc w:val="center"/>
              <w:rPr>
                <w:rFonts w:hint="eastAsia" w:ascii="宋体" w:hAnsi="宋体" w:eastAsia="宋体" w:cs="宋体"/>
                <w:sz w:val="21"/>
                <w:szCs w:val="21"/>
                <w:lang w:val="en-US"/>
              </w:rPr>
            </w:pPr>
            <w:r>
              <w:rPr>
                <w:rFonts w:hint="eastAsia" w:ascii="宋体" w:hAnsi="宋体" w:eastAsia="宋体" w:cs="宋体"/>
                <w:sz w:val="21"/>
                <w:szCs w:val="21"/>
                <w:lang w:val="en-US"/>
              </w:rPr>
              <w:t>0-10</w:t>
            </w:r>
            <w:r>
              <w:rPr>
                <w:rFonts w:hint="eastAsia" w:ascii="宋体" w:hAnsi="宋体" w:eastAsia="宋体" w:cs="宋体"/>
                <w:sz w:val="21"/>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120" w:beforeAutospacing="0" w:after="0" w:afterAutospacing="0" w:line="240" w:lineRule="auto"/>
              <w:ind w:left="0" w:right="0"/>
              <w:jc w:val="center"/>
              <w:rPr>
                <w:rFonts w:hint="eastAsia" w:ascii="宋体" w:hAnsi="宋体" w:eastAsia="宋体" w:cs="宋体"/>
                <w:sz w:val="21"/>
                <w:szCs w:val="21"/>
                <w:lang w:val="en-US"/>
              </w:rPr>
            </w:pPr>
            <w:r>
              <w:rPr>
                <w:rFonts w:hint="eastAsia" w:ascii="宋体" w:hAnsi="宋体" w:eastAsia="宋体" w:cs="宋体"/>
                <w:sz w:val="21"/>
                <w:szCs w:val="21"/>
              </w:rPr>
              <w:t>价格分（</w:t>
            </w:r>
            <w:r>
              <w:rPr>
                <w:rFonts w:hint="eastAsia" w:ascii="宋体" w:hAnsi="宋体" w:eastAsia="宋体" w:cs="宋体"/>
                <w:sz w:val="21"/>
                <w:szCs w:val="21"/>
                <w:lang w:val="en-US"/>
              </w:rPr>
              <w:t>10</w:t>
            </w:r>
            <w:r>
              <w:rPr>
                <w:rFonts w:hint="eastAsia" w:ascii="宋体" w:hAnsi="宋体" w:eastAsia="宋体" w:cs="宋体"/>
                <w:sz w:val="21"/>
                <w:szCs w:val="21"/>
              </w:rPr>
              <w:t>分）</w:t>
            </w:r>
          </w:p>
        </w:tc>
        <w:tc>
          <w:tcPr>
            <w:tcW w:w="13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120" w:beforeAutospacing="0" w:after="0" w:afterAutospacing="0" w:line="240" w:lineRule="auto"/>
              <w:ind w:left="0" w:right="0"/>
              <w:jc w:val="center"/>
              <w:rPr>
                <w:rFonts w:hint="eastAsia" w:ascii="宋体" w:hAnsi="宋体" w:eastAsia="宋体" w:cs="宋体"/>
                <w:sz w:val="21"/>
                <w:szCs w:val="21"/>
                <w:lang w:val="en-US"/>
              </w:rPr>
            </w:pPr>
            <w:r>
              <w:rPr>
                <w:rFonts w:hint="eastAsia" w:ascii="宋体" w:hAnsi="宋体" w:eastAsia="宋体" w:cs="宋体"/>
                <w:sz w:val="21"/>
                <w:szCs w:val="21"/>
              </w:rPr>
              <w:t>投标报价</w:t>
            </w:r>
          </w:p>
        </w:tc>
        <w:tc>
          <w:tcPr>
            <w:tcW w:w="64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240" w:lineRule="auto"/>
              <w:ind w:left="0" w:right="0"/>
              <w:jc w:val="both"/>
              <w:rPr>
                <w:rFonts w:hint="eastAsia" w:ascii="宋体" w:hAnsi="宋体" w:eastAsia="宋体" w:cs="宋体"/>
                <w:sz w:val="21"/>
                <w:szCs w:val="21"/>
                <w:lang w:val="en-US"/>
              </w:rPr>
            </w:pPr>
            <w:r>
              <w:rPr>
                <w:rFonts w:hint="eastAsia" w:ascii="宋体" w:hAnsi="宋体" w:eastAsia="宋体" w:cs="宋体"/>
                <w:kern w:val="2"/>
                <w:sz w:val="21"/>
                <w:szCs w:val="21"/>
                <w:lang w:val="en-US" w:eastAsia="zh-CN" w:bidi="ar"/>
              </w:rPr>
              <w:t>以满足比选文件要求的且投标价格最低的投标报价为评标基准价，其价格分为满分，其余投标人报价得分按下列公式计算：</w:t>
            </w:r>
          </w:p>
          <w:p>
            <w:pPr>
              <w:keepNext w:val="0"/>
              <w:keepLines w:val="0"/>
              <w:widowControl w:val="0"/>
              <w:suppressLineNumbers w:val="0"/>
              <w:spacing w:before="120" w:beforeAutospacing="0" w:after="0" w:afterAutospacing="0" w:line="240" w:lineRule="auto"/>
              <w:ind w:left="0" w:right="0"/>
              <w:jc w:val="both"/>
              <w:rPr>
                <w:rFonts w:hint="eastAsia" w:ascii="宋体" w:hAnsi="宋体" w:eastAsia="宋体" w:cs="宋体"/>
                <w:sz w:val="21"/>
                <w:szCs w:val="21"/>
                <w:lang w:val="en-US"/>
              </w:rPr>
            </w:pPr>
            <w:r>
              <w:rPr>
                <w:rFonts w:hint="eastAsia" w:ascii="宋体" w:hAnsi="宋体" w:eastAsia="宋体" w:cs="宋体"/>
                <w:sz w:val="21"/>
                <w:szCs w:val="21"/>
              </w:rPr>
              <w:t>投标报价得分</w:t>
            </w:r>
            <w:r>
              <w:rPr>
                <w:rFonts w:hint="eastAsia" w:ascii="宋体" w:hAnsi="宋体" w:eastAsia="宋体" w:cs="宋体"/>
                <w:sz w:val="21"/>
                <w:szCs w:val="21"/>
                <w:lang w:val="en-US"/>
              </w:rPr>
              <w:t>=</w:t>
            </w:r>
            <w:r>
              <w:rPr>
                <w:rFonts w:hint="eastAsia" w:ascii="宋体" w:hAnsi="宋体" w:eastAsia="宋体" w:cs="宋体"/>
                <w:sz w:val="21"/>
                <w:szCs w:val="21"/>
              </w:rPr>
              <w:t>（评价基准价</w:t>
            </w:r>
            <w:r>
              <w:rPr>
                <w:rFonts w:hint="eastAsia" w:ascii="宋体" w:hAnsi="宋体" w:eastAsia="宋体" w:cs="宋体"/>
                <w:sz w:val="21"/>
                <w:szCs w:val="21"/>
                <w:lang w:val="en-US"/>
              </w:rPr>
              <w:t>/</w:t>
            </w:r>
            <w:r>
              <w:rPr>
                <w:rFonts w:hint="eastAsia" w:ascii="宋体" w:hAnsi="宋体" w:eastAsia="宋体" w:cs="宋体"/>
                <w:sz w:val="21"/>
                <w:szCs w:val="21"/>
              </w:rPr>
              <w:t>投标报价）×</w:t>
            </w:r>
            <w:r>
              <w:rPr>
                <w:rFonts w:hint="eastAsia" w:ascii="宋体" w:hAnsi="宋体" w:eastAsia="宋体" w:cs="宋体"/>
                <w:sz w:val="21"/>
                <w:szCs w:val="21"/>
                <w:lang w:val="en-US"/>
              </w:rPr>
              <w:t>10%</w:t>
            </w:r>
            <w:r>
              <w:rPr>
                <w:rFonts w:hint="eastAsia" w:ascii="宋体" w:hAnsi="宋体" w:eastAsia="宋体" w:cs="宋体"/>
                <w:sz w:val="21"/>
                <w:szCs w:val="21"/>
              </w:rPr>
              <w:t>×</w:t>
            </w:r>
            <w:r>
              <w:rPr>
                <w:rFonts w:hint="eastAsia" w:ascii="宋体" w:hAnsi="宋体" w:eastAsia="宋体" w:cs="宋体"/>
                <w:sz w:val="21"/>
                <w:szCs w:val="21"/>
                <w:lang w:val="en-US"/>
              </w:rPr>
              <w:t>100</w:t>
            </w:r>
            <w:r>
              <w:rPr>
                <w:rFonts w:hint="eastAsia" w:ascii="宋体" w:hAnsi="宋体" w:eastAsia="宋体" w:cs="宋体"/>
                <w:sz w:val="21"/>
                <w:szCs w:val="21"/>
              </w:rPr>
              <w:t>（采取四舍五入法处理，小数点后保留两位小数）</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120" w:beforeAutospacing="0" w:after="0" w:afterAutospacing="0" w:line="240" w:lineRule="auto"/>
              <w:ind w:left="0" w:right="0"/>
              <w:jc w:val="center"/>
              <w:rPr>
                <w:rFonts w:hint="eastAsia" w:ascii="宋体" w:hAnsi="宋体" w:eastAsia="宋体" w:cs="宋体"/>
                <w:sz w:val="21"/>
                <w:szCs w:val="21"/>
                <w:lang w:val="en-US"/>
              </w:rPr>
            </w:pPr>
            <w:r>
              <w:rPr>
                <w:rFonts w:hint="eastAsia" w:ascii="宋体" w:hAnsi="宋体" w:eastAsia="宋体" w:cs="宋体"/>
                <w:sz w:val="21"/>
                <w:szCs w:val="21"/>
                <w:lang w:val="en-US"/>
              </w:rPr>
              <w:t>0-10</w:t>
            </w:r>
            <w:r>
              <w:rPr>
                <w:rFonts w:hint="eastAsia" w:ascii="宋体" w:hAnsi="宋体" w:eastAsia="宋体" w:cs="宋体"/>
                <w:sz w:val="21"/>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224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120" w:beforeAutospacing="0" w:after="0" w:afterAutospacing="0" w:line="240" w:lineRule="auto"/>
              <w:ind w:left="0" w:right="0"/>
              <w:jc w:val="center"/>
              <w:rPr>
                <w:rFonts w:hint="eastAsia" w:ascii="宋体" w:hAnsi="宋体" w:eastAsia="宋体" w:cs="宋体"/>
                <w:sz w:val="21"/>
                <w:szCs w:val="21"/>
                <w:lang w:val="en-US"/>
              </w:rPr>
            </w:pPr>
            <w:r>
              <w:rPr>
                <w:rFonts w:hint="eastAsia" w:ascii="宋体" w:hAnsi="宋体" w:eastAsia="宋体" w:cs="宋体"/>
                <w:sz w:val="21"/>
                <w:szCs w:val="21"/>
              </w:rPr>
              <w:t>投标人得分计算方法</w:t>
            </w:r>
          </w:p>
        </w:tc>
        <w:tc>
          <w:tcPr>
            <w:tcW w:w="759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120" w:beforeAutospacing="0" w:after="0" w:afterAutospacing="0" w:line="240" w:lineRule="auto"/>
              <w:ind w:left="0" w:right="0"/>
              <w:jc w:val="both"/>
              <w:rPr>
                <w:rFonts w:hint="eastAsia" w:ascii="宋体" w:hAnsi="宋体" w:eastAsia="宋体" w:cs="宋体"/>
                <w:sz w:val="21"/>
                <w:szCs w:val="21"/>
                <w:lang w:val="en-US"/>
              </w:rPr>
            </w:pPr>
            <w:r>
              <w:rPr>
                <w:rFonts w:hint="eastAsia" w:ascii="宋体" w:hAnsi="宋体" w:eastAsia="宋体" w:cs="宋体"/>
                <w:kern w:val="2"/>
                <w:sz w:val="21"/>
                <w:szCs w:val="21"/>
                <w:lang w:val="en-US" w:eastAsia="zh-CN" w:bidi="ar"/>
              </w:rPr>
              <w:t>各投标人的技术标得分为各评委所评技术标合计分值的算术平均值（取小数点后两位，第三位的数字四舍五入）。</w:t>
            </w:r>
          </w:p>
          <w:p>
            <w:pPr>
              <w:keepNext w:val="0"/>
              <w:keepLines w:val="0"/>
              <w:widowControl w:val="0"/>
              <w:suppressLineNumbers w:val="0"/>
              <w:spacing w:before="120" w:beforeAutospacing="0" w:after="0" w:afterAutospacing="0" w:line="240" w:lineRule="auto"/>
              <w:ind w:left="0" w:right="0"/>
              <w:jc w:val="both"/>
              <w:rPr>
                <w:rFonts w:hint="eastAsia" w:ascii="宋体" w:hAnsi="宋体" w:eastAsia="宋体" w:cs="宋体"/>
                <w:sz w:val="21"/>
                <w:szCs w:val="21"/>
                <w:lang w:val="en-US"/>
              </w:rPr>
            </w:pPr>
            <w:r>
              <w:rPr>
                <w:rFonts w:hint="eastAsia" w:ascii="宋体" w:hAnsi="宋体" w:eastAsia="宋体" w:cs="宋体"/>
                <w:sz w:val="21"/>
                <w:szCs w:val="21"/>
              </w:rPr>
              <w:t>投标人总得分</w:t>
            </w:r>
            <w:r>
              <w:rPr>
                <w:rFonts w:hint="eastAsia" w:ascii="宋体" w:hAnsi="宋体" w:eastAsia="宋体" w:cs="宋体"/>
                <w:sz w:val="21"/>
                <w:szCs w:val="21"/>
                <w:lang w:val="en-US"/>
              </w:rPr>
              <w:t>=</w:t>
            </w:r>
            <w:r>
              <w:rPr>
                <w:rFonts w:hint="eastAsia" w:ascii="宋体" w:hAnsi="宋体" w:eastAsia="宋体" w:cs="宋体"/>
                <w:sz w:val="21"/>
                <w:szCs w:val="21"/>
              </w:rPr>
              <w:t>技术分得分</w:t>
            </w:r>
            <w:r>
              <w:rPr>
                <w:rFonts w:hint="eastAsia" w:ascii="宋体" w:hAnsi="宋体" w:eastAsia="宋体" w:cs="宋体"/>
                <w:sz w:val="21"/>
                <w:szCs w:val="21"/>
                <w:lang w:val="en-US"/>
              </w:rPr>
              <w:t>+</w:t>
            </w:r>
            <w:r>
              <w:rPr>
                <w:rFonts w:hint="eastAsia" w:ascii="宋体" w:hAnsi="宋体" w:eastAsia="宋体" w:cs="宋体"/>
                <w:sz w:val="21"/>
                <w:szCs w:val="21"/>
              </w:rPr>
              <w:t>资信分得分</w:t>
            </w:r>
            <w:r>
              <w:rPr>
                <w:rFonts w:hint="eastAsia" w:ascii="宋体" w:hAnsi="宋体" w:eastAsia="宋体" w:cs="宋体"/>
                <w:sz w:val="21"/>
                <w:szCs w:val="21"/>
                <w:lang w:val="en-US"/>
              </w:rPr>
              <w:t>+</w:t>
            </w:r>
            <w:r>
              <w:rPr>
                <w:rFonts w:hint="eastAsia" w:ascii="宋体" w:hAnsi="宋体" w:eastAsia="宋体" w:cs="宋体"/>
                <w:sz w:val="21"/>
                <w:szCs w:val="21"/>
              </w:rPr>
              <w:t>价格分得分</w:t>
            </w:r>
          </w:p>
        </w:tc>
      </w:tr>
      <w:bookmarkEnd w:id="9"/>
    </w:tbl>
    <w:p>
      <w:pPr>
        <w:spacing w:line="360" w:lineRule="auto"/>
        <w:rPr>
          <w:rFonts w:hint="eastAsia" w:ascii="宋体" w:hAnsi="宋体" w:eastAsia="宋体" w:cs="宋体"/>
          <w:b/>
          <w:bCs/>
          <w:color w:val="auto"/>
          <w:sz w:val="24"/>
          <w:szCs w:val="24"/>
          <w:highlight w:val="none"/>
        </w:rPr>
      </w:pPr>
    </w:p>
    <w:p>
      <w:pPr>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十、合同的签订、履行及验收</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36、合同授予标准：本项目合同将授予成交供应商。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37、采购人拒绝磋商响应的权力</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采购人不承诺将合同授予报价最低的供应商。采购人在发出成交通知书前，有权依据磋商小组的评标报告拒绝不合格的磋商响应。</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38、合同协议书的签订</w:t>
      </w:r>
    </w:p>
    <w:p>
      <w:pPr>
        <w:spacing w:line="360" w:lineRule="auto"/>
        <w:ind w:firstLine="480" w:firstLineChars="200"/>
        <w:rPr>
          <w:rFonts w:hint="eastAsia" w:ascii="宋体" w:hAnsi="宋体" w:eastAsia="宋体" w:cs="宋体"/>
          <w:color w:val="auto"/>
          <w:sz w:val="24"/>
          <w:szCs w:val="24"/>
          <w:highlight w:val="none"/>
        </w:rPr>
      </w:pPr>
      <w:bookmarkStart w:id="10" w:name="项目清单"/>
      <w:r>
        <w:rPr>
          <w:rFonts w:hint="eastAsia" w:ascii="宋体" w:hAnsi="宋体" w:eastAsia="宋体" w:cs="宋体"/>
          <w:color w:val="auto"/>
          <w:sz w:val="24"/>
          <w:szCs w:val="24"/>
          <w:highlight w:val="none"/>
        </w:rPr>
        <w:t>38.1成交供应商应在成交通知书发出之日起三十日内（具体时间、地点见成交通知书）与采购人签订合同。采购人应按照竞争性磋商文件和成交供应商的磋商响应文件与成交供应商签订采购合同，采购人不得向成交供应商提出任何不合理的要求，作为签订合同的条件，不得与成交供应商私下订立背离合同实质性内容的任何协议，所签订的合同不得对竞争性磋商文件和成交供应商磋商响应文件作实质性修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38.2成交供应商如不按本竞争性磋商文件规定与采购人订立合同，则采购人将废除授标，有磋商响应担保的将不予退还，给采购人造成的损失超过磋商响应担保数额的，还应当对超过部分予以赔偿，同时依法承担相应法律责任。</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38.3成交供应商应当按照合同约定履行义务，完成成交项目，不得将成交项目转让（转包）给他人。</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38.4 采购双方必须严格按照竞争性磋商文件、磋商响应文件及有关承诺签订采购合同，不得擅自变更。合同的标的、价款、质量、履行期限、服务要求等主要条款应当与竞争性磋商文件和成交供应商的磋商响应文件的内容一致，采购人和成交供应商不得再行订立背离合同实质性内容的其他协议。对任何因双方擅自变更合同引起的问题代理机构概不负责，合同风险由双方自行承担。</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38.5采购人保留以书面形式要求对服务细则作适当调整的权利。</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39、履行合同</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39.1成交供应商与采购人签订合同后，合同双方应严格执行合同条款，履行合同规定的义务，保证合同的顺利完成。</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39.2在合同履行过程中，如发生合同纠纷，合同双方应按照《合同法》的有关规定进行处理。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40、验收</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40.1采购人须建立</w:t>
      </w:r>
      <w:r>
        <w:rPr>
          <w:rFonts w:hint="eastAsia" w:ascii="宋体" w:hAnsi="宋体" w:eastAsia="宋体" w:cs="宋体"/>
          <w:color w:val="auto"/>
          <w:sz w:val="24"/>
          <w:szCs w:val="24"/>
          <w:highlight w:val="none"/>
          <w:lang w:eastAsia="zh-CN"/>
        </w:rPr>
        <w:t>会前</w:t>
      </w:r>
      <w:r>
        <w:rPr>
          <w:rFonts w:hint="eastAsia" w:ascii="宋体" w:hAnsi="宋体" w:eastAsia="宋体" w:cs="宋体"/>
          <w:color w:val="auto"/>
          <w:sz w:val="24"/>
          <w:szCs w:val="24"/>
          <w:highlight w:val="none"/>
        </w:rPr>
        <w:t>考核制度。考核时应成立三人以上</w:t>
      </w:r>
      <w:r>
        <w:rPr>
          <w:rFonts w:hint="eastAsia" w:ascii="宋体" w:hAnsi="宋体" w:eastAsia="宋体" w:cs="宋体"/>
          <w:color w:val="auto"/>
          <w:sz w:val="24"/>
          <w:szCs w:val="24"/>
          <w:highlight w:val="none"/>
          <w:lang w:eastAsia="zh-CN"/>
        </w:rPr>
        <w:t>考核小组</w:t>
      </w:r>
      <w:r>
        <w:rPr>
          <w:rFonts w:hint="eastAsia" w:ascii="宋体" w:hAnsi="宋体" w:eastAsia="宋体" w:cs="宋体"/>
          <w:color w:val="auto"/>
          <w:sz w:val="24"/>
          <w:szCs w:val="24"/>
          <w:highlight w:val="none"/>
        </w:rPr>
        <w:t>（由合同双方、专业人员等相关人员组成），依据考核方案进行考核。</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40.2采购人验收时，应成立三人以上（由合同双方、专业人员、纪检等相关人员组成）验收小组，明确责任，严格依照采购文件、成交通知书、政府采购合同及相关验收规范进行核对、验收，形成结论，并出具书面验收报告。</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40.3涉及安全等其他需要由行业主管部门进行验收的项目，必须邀请相关部门参与验收。</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40.4验收费用均由合同乙方（成交供应商）承担，采购文件中另有约定的除外。</w:t>
      </w:r>
      <w:bookmarkEnd w:id="10"/>
    </w:p>
    <w:p>
      <w:pPr>
        <w:rPr>
          <w:rFonts w:hint="eastAsia"/>
          <w:color w:val="auto"/>
        </w:rPr>
      </w:pPr>
    </w:p>
    <w:p>
      <w:pPr>
        <w:pStyle w:val="6"/>
        <w:spacing w:line="360" w:lineRule="auto"/>
        <w:jc w:val="center"/>
        <w:rPr>
          <w:rFonts w:hint="eastAsia" w:ascii="宋体" w:hAnsi="宋体" w:eastAsia="宋体" w:cs="宋体"/>
          <w:color w:val="auto"/>
          <w:sz w:val="28"/>
          <w:szCs w:val="28"/>
          <w:highlight w:val="none"/>
        </w:rPr>
      </w:pPr>
    </w:p>
    <w:p>
      <w:pPr>
        <w:pStyle w:val="6"/>
        <w:spacing w:line="360" w:lineRule="auto"/>
        <w:jc w:val="center"/>
        <w:rPr>
          <w:rFonts w:hint="eastAsia" w:ascii="宋体" w:hAnsi="宋体" w:eastAsia="宋体" w:cs="宋体"/>
          <w:color w:val="auto"/>
          <w:sz w:val="28"/>
          <w:szCs w:val="28"/>
          <w:highlight w:val="none"/>
        </w:rPr>
      </w:pPr>
    </w:p>
    <w:p>
      <w:pPr>
        <w:pStyle w:val="6"/>
        <w:spacing w:line="360" w:lineRule="auto"/>
        <w:jc w:val="center"/>
        <w:rPr>
          <w:rFonts w:hint="eastAsia" w:ascii="宋体" w:hAnsi="宋体" w:eastAsia="宋体" w:cs="宋体"/>
          <w:color w:val="auto"/>
          <w:sz w:val="28"/>
          <w:szCs w:val="28"/>
          <w:highlight w:val="none"/>
        </w:rPr>
      </w:pPr>
    </w:p>
    <w:p>
      <w:pPr>
        <w:pStyle w:val="6"/>
        <w:spacing w:line="360" w:lineRule="auto"/>
        <w:jc w:val="center"/>
        <w:rPr>
          <w:rFonts w:hint="eastAsia" w:ascii="宋体" w:hAnsi="宋体" w:eastAsia="宋体" w:cs="宋体"/>
          <w:color w:val="auto"/>
          <w:sz w:val="28"/>
          <w:szCs w:val="28"/>
          <w:highlight w:val="none"/>
        </w:rPr>
      </w:pPr>
    </w:p>
    <w:p>
      <w:pPr>
        <w:pStyle w:val="6"/>
        <w:spacing w:line="360" w:lineRule="auto"/>
        <w:jc w:val="center"/>
        <w:rPr>
          <w:rFonts w:hint="eastAsia" w:ascii="宋体" w:hAnsi="宋体" w:eastAsia="宋体" w:cs="宋体"/>
          <w:b/>
          <w:bCs/>
          <w:color w:val="auto"/>
          <w:sz w:val="28"/>
          <w:szCs w:val="28"/>
          <w:highlight w:val="none"/>
        </w:rPr>
      </w:pPr>
      <w:r>
        <w:rPr>
          <w:rFonts w:hint="eastAsia" w:ascii="宋体" w:hAnsi="宋体" w:eastAsia="宋体" w:cs="宋体"/>
          <w:color w:val="auto"/>
          <w:sz w:val="28"/>
          <w:szCs w:val="28"/>
          <w:highlight w:val="none"/>
        </w:rPr>
        <w:t xml:space="preserve">第四章 </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b/>
          <w:bCs/>
          <w:color w:val="auto"/>
          <w:sz w:val="28"/>
          <w:szCs w:val="28"/>
          <w:highlight w:val="none"/>
        </w:rPr>
        <w:t>项目需求</w:t>
      </w:r>
    </w:p>
    <w:p>
      <w:pPr>
        <w:keepNext w:val="0"/>
        <w:keepLines w:val="0"/>
        <w:widowControl w:val="0"/>
        <w:suppressLineNumbers w:val="0"/>
        <w:adjustRightInd w:val="0"/>
        <w:snapToGrid w:val="0"/>
        <w:spacing w:before="0" w:beforeAutospacing="0" w:after="0" w:afterAutospacing="0" w:line="420" w:lineRule="exact"/>
        <w:ind w:left="0" w:right="0"/>
        <w:jc w:val="center"/>
        <w:rPr>
          <w:rFonts w:hint="eastAsia" w:ascii="宋体" w:hAnsi="宋体" w:eastAsia="宋体" w:cs="宋体"/>
          <w:b/>
          <w:bCs w:val="0"/>
          <w:sz w:val="30"/>
          <w:szCs w:val="30"/>
          <w:lang w:val="en-US"/>
        </w:rPr>
      </w:pPr>
      <w:bookmarkStart w:id="11" w:name="_Toc220232392"/>
      <w:bookmarkStart w:id="12" w:name="_Toc407096156"/>
      <w:r>
        <w:rPr>
          <w:rFonts w:hint="eastAsia" w:ascii="宋体" w:hAnsi="宋体" w:eastAsia="宋体" w:cs="宋体"/>
          <w:b/>
          <w:bCs w:val="0"/>
          <w:kern w:val="2"/>
          <w:sz w:val="30"/>
          <w:szCs w:val="30"/>
          <w:lang w:val="en-US" w:eastAsia="zh-CN" w:bidi="ar"/>
        </w:rPr>
        <w:t>铜陵学院智慧资助系统网络安全等级保护测评服务项目采购需求</w:t>
      </w:r>
    </w:p>
    <w:p>
      <w:pPr>
        <w:keepNext w:val="0"/>
        <w:keepLines w:val="0"/>
        <w:widowControl w:val="0"/>
        <w:suppressLineNumbers w:val="0"/>
        <w:adjustRightInd w:val="0"/>
        <w:snapToGrid w:val="0"/>
        <w:spacing w:before="0" w:beforeAutospacing="0" w:after="0" w:afterAutospacing="0" w:line="420" w:lineRule="exact"/>
        <w:ind w:left="0" w:right="0" w:firstLine="480" w:firstLineChars="200"/>
        <w:jc w:val="left"/>
        <w:rPr>
          <w:rFonts w:hint="eastAsia" w:ascii="宋体" w:hAnsi="宋体" w:eastAsia="宋体" w:cs="宋体"/>
          <w:sz w:val="24"/>
          <w:szCs w:val="24"/>
          <w:lang w:val="en-US"/>
        </w:rPr>
      </w:pPr>
    </w:p>
    <w:p>
      <w:pPr>
        <w:keepNext w:val="0"/>
        <w:keepLines w:val="0"/>
        <w:widowControl w:val="0"/>
        <w:suppressLineNumbers w:val="0"/>
        <w:adjustRightInd w:val="0"/>
        <w:snapToGrid w:val="0"/>
        <w:spacing w:before="0" w:beforeAutospacing="0" w:after="0" w:afterAutospacing="0" w:line="420" w:lineRule="exact"/>
        <w:ind w:left="0" w:right="0" w:firstLine="482" w:firstLineChars="200"/>
        <w:jc w:val="left"/>
        <w:rPr>
          <w:rFonts w:hint="eastAsia" w:ascii="宋体" w:hAnsi="宋体" w:eastAsia="宋体" w:cs="宋体"/>
          <w:b/>
          <w:bCs w:val="0"/>
          <w:color w:val="000000"/>
          <w:sz w:val="24"/>
          <w:szCs w:val="24"/>
          <w:lang w:val="en-US"/>
        </w:rPr>
      </w:pPr>
      <w:r>
        <w:rPr>
          <w:rFonts w:hint="eastAsia" w:ascii="宋体" w:hAnsi="宋体" w:eastAsia="宋体" w:cs="宋体"/>
          <w:b/>
          <w:bCs w:val="0"/>
          <w:color w:val="000000"/>
          <w:kern w:val="2"/>
          <w:sz w:val="24"/>
          <w:szCs w:val="24"/>
          <w:lang w:val="en-US" w:eastAsia="zh-CN" w:bidi="ar"/>
        </w:rPr>
        <w:t>一、项目基本情况</w:t>
      </w:r>
    </w:p>
    <w:p>
      <w:pPr>
        <w:keepNext w:val="0"/>
        <w:keepLines w:val="0"/>
        <w:widowControl w:val="0"/>
        <w:suppressLineNumbers w:val="0"/>
        <w:adjustRightInd w:val="0"/>
        <w:snapToGrid w:val="0"/>
        <w:spacing w:before="0" w:beforeAutospacing="0" w:after="0" w:afterAutospacing="0" w:line="420" w:lineRule="exact"/>
        <w:ind w:left="0" w:right="0" w:firstLine="480" w:firstLineChars="200"/>
        <w:jc w:val="left"/>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智慧资助系统是面向学生资助工作日常管理的服务平台，实现从资助业务管理、智慧资助分析与学生预警跟踪的闭环管理，覆盖贫困生认定、奖学金、助学金、困难补助、勤工助学、助学贷款、学费减免、“绿色通道”以及学生智慧资助分析等。我校智慧资助系统于</w:t>
      </w:r>
      <w:r>
        <w:rPr>
          <w:rFonts w:hint="eastAsia" w:ascii="宋体" w:hAnsi="宋体" w:eastAsia="宋体" w:cs="宋体"/>
          <w:color w:val="000000"/>
          <w:kern w:val="2"/>
          <w:sz w:val="24"/>
          <w:szCs w:val="24"/>
          <w:lang w:val="en-US" w:eastAsia="zh-CN" w:bidi="ar"/>
        </w:rPr>
        <w:t>2021年11月验</w:t>
      </w:r>
      <w:r>
        <w:rPr>
          <w:rFonts w:hint="eastAsia" w:ascii="宋体" w:hAnsi="宋体" w:eastAsia="宋体" w:cs="宋体"/>
          <w:kern w:val="2"/>
          <w:sz w:val="24"/>
          <w:szCs w:val="24"/>
          <w:lang w:val="en-US" w:eastAsia="zh-CN" w:bidi="ar"/>
        </w:rPr>
        <w:t>收，但没有经过等级保护测评，极有可能存在网络与信息安全隐患。根据国家有关文件精神，结合工作实际，现拟对铜陵学院智慧资助系统实施网络安全等级保护测评，以进一步完善信息系统安全管理体系和技术防护体系，切实提高系统信息安全防护能力。</w:t>
      </w:r>
    </w:p>
    <w:p>
      <w:pPr>
        <w:keepNext w:val="0"/>
        <w:keepLines w:val="0"/>
        <w:widowControl w:val="0"/>
        <w:suppressLineNumbers w:val="0"/>
        <w:adjustRightInd w:val="0"/>
        <w:snapToGrid w:val="0"/>
        <w:spacing w:before="0" w:beforeAutospacing="0" w:after="0" w:afterAutospacing="0" w:line="420" w:lineRule="exact"/>
        <w:ind w:left="0" w:right="0" w:firstLine="482" w:firstLineChars="200"/>
        <w:jc w:val="left"/>
        <w:rPr>
          <w:rFonts w:hint="eastAsia" w:ascii="宋体" w:hAnsi="宋体" w:eastAsia="宋体" w:cs="宋体"/>
          <w:b/>
          <w:bCs w:val="0"/>
          <w:sz w:val="24"/>
          <w:szCs w:val="24"/>
          <w:lang w:val="en-US"/>
        </w:rPr>
      </w:pPr>
      <w:r>
        <w:rPr>
          <w:rFonts w:hint="eastAsia" w:ascii="宋体" w:hAnsi="宋体" w:eastAsia="宋体" w:cs="宋体"/>
          <w:b/>
          <w:bCs w:val="0"/>
          <w:kern w:val="2"/>
          <w:sz w:val="24"/>
          <w:szCs w:val="24"/>
          <w:lang w:val="en-US" w:eastAsia="zh-CN" w:bidi="ar"/>
        </w:rPr>
        <w:t>二、技术方案或服务的内容、范围</w:t>
      </w:r>
    </w:p>
    <w:p>
      <w:pPr>
        <w:keepNext w:val="0"/>
        <w:keepLines w:val="0"/>
        <w:widowControl w:val="0"/>
        <w:suppressLineNumbers w:val="0"/>
        <w:adjustRightInd w:val="0"/>
        <w:snapToGrid w:val="0"/>
        <w:spacing w:before="0" w:beforeAutospacing="0" w:after="0" w:afterAutospacing="0" w:line="420" w:lineRule="exact"/>
        <w:ind w:left="0" w:right="0" w:firstLine="480" w:firstLineChars="200"/>
        <w:jc w:val="left"/>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工作一：定级备案</w:t>
      </w:r>
    </w:p>
    <w:p>
      <w:pPr>
        <w:keepNext w:val="0"/>
        <w:keepLines w:val="0"/>
        <w:widowControl w:val="0"/>
        <w:suppressLineNumbers w:val="0"/>
        <w:adjustRightInd w:val="0"/>
        <w:snapToGrid w:val="0"/>
        <w:spacing w:before="0" w:beforeAutospacing="0" w:after="0" w:afterAutospacing="0" w:line="420" w:lineRule="exact"/>
        <w:ind w:left="0" w:right="0" w:firstLine="480" w:firstLineChars="200"/>
        <w:jc w:val="left"/>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协助采购方在网安部门针对铜陵学院智慧资助系统完成定级备案工作，并取得系统的备案证明。</w:t>
      </w:r>
    </w:p>
    <w:p>
      <w:pPr>
        <w:keepNext w:val="0"/>
        <w:keepLines w:val="0"/>
        <w:widowControl w:val="0"/>
        <w:suppressLineNumbers w:val="0"/>
        <w:adjustRightInd w:val="0"/>
        <w:snapToGrid w:val="0"/>
        <w:spacing w:before="0" w:beforeAutospacing="0" w:after="0" w:afterAutospacing="0" w:line="420" w:lineRule="exact"/>
        <w:ind w:left="0" w:right="0" w:firstLine="480" w:firstLineChars="200"/>
        <w:jc w:val="left"/>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工作二：等级保护测试</w:t>
      </w:r>
    </w:p>
    <w:p>
      <w:pPr>
        <w:keepNext w:val="0"/>
        <w:keepLines w:val="0"/>
        <w:widowControl w:val="0"/>
        <w:suppressLineNumbers w:val="0"/>
        <w:adjustRightInd w:val="0"/>
        <w:snapToGrid w:val="0"/>
        <w:spacing w:before="0" w:beforeAutospacing="0" w:after="0" w:afterAutospacing="0" w:line="420" w:lineRule="exact"/>
        <w:ind w:left="0" w:right="0" w:firstLine="480" w:firstLineChars="200"/>
        <w:jc w:val="left"/>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工作范围：铜陵学院智慧资助系统网络安全等级保护测评</w:t>
      </w:r>
    </w:p>
    <w:p>
      <w:pPr>
        <w:keepNext w:val="0"/>
        <w:keepLines w:val="0"/>
        <w:widowControl w:val="0"/>
        <w:suppressLineNumbers w:val="0"/>
        <w:adjustRightInd w:val="0"/>
        <w:snapToGrid w:val="0"/>
        <w:spacing w:before="0" w:beforeAutospacing="0" w:after="0" w:afterAutospacing="0" w:line="420" w:lineRule="exact"/>
        <w:ind w:left="0" w:right="0" w:firstLine="480" w:firstLineChars="200"/>
        <w:jc w:val="left"/>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等级保护测评主要包括以下几个方面：</w:t>
      </w:r>
    </w:p>
    <w:p>
      <w:pPr>
        <w:keepNext w:val="0"/>
        <w:keepLines w:val="0"/>
        <w:widowControl w:val="0"/>
        <w:suppressLineNumbers w:val="0"/>
        <w:adjustRightInd w:val="0"/>
        <w:snapToGrid w:val="0"/>
        <w:spacing w:before="0" w:beforeAutospacing="0" w:after="0" w:afterAutospacing="0" w:line="420" w:lineRule="exact"/>
        <w:ind w:left="0" w:right="0" w:firstLine="480" w:firstLineChars="200"/>
        <w:jc w:val="left"/>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1.等保测评：完成包括安全物理环境、安全计算环境、安全区域边界、安全通信网络、安全管理中心和安全管理机构、安全管理制度、安全管理人员、安全建设管理和安全运维管理方面的测评工作；</w:t>
      </w:r>
    </w:p>
    <w:p>
      <w:pPr>
        <w:keepNext w:val="0"/>
        <w:keepLines w:val="0"/>
        <w:widowControl w:val="0"/>
        <w:suppressLineNumbers w:val="0"/>
        <w:adjustRightInd w:val="0"/>
        <w:snapToGrid w:val="0"/>
        <w:spacing w:before="0" w:beforeAutospacing="0" w:after="0" w:afterAutospacing="0" w:line="420" w:lineRule="exact"/>
        <w:ind w:left="0" w:right="0" w:firstLine="480" w:firstLineChars="200"/>
        <w:jc w:val="left"/>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2.工具测试：针对此信息系统进行漏洞扫描、渗透测试等安全服务工作；</w:t>
      </w:r>
    </w:p>
    <w:p>
      <w:pPr>
        <w:keepNext w:val="0"/>
        <w:keepLines w:val="0"/>
        <w:widowControl w:val="0"/>
        <w:suppressLineNumbers w:val="0"/>
        <w:adjustRightInd w:val="0"/>
        <w:snapToGrid w:val="0"/>
        <w:spacing w:before="0" w:beforeAutospacing="0" w:after="0" w:afterAutospacing="0" w:line="420" w:lineRule="exact"/>
        <w:ind w:left="0" w:right="0" w:firstLine="480" w:firstLineChars="200"/>
        <w:jc w:val="left"/>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3.整改建议：投标人应根据现场测评中发现的问题，分析与GB/T 22239-2019、ISO/IEC 27001、ISO/IEC 20000、ISO 22301、ITIL和ITSS等行业最佳实践之间的差距，按照网络安全等级保护标准要求提出安全整改建议；</w:t>
      </w:r>
    </w:p>
    <w:p>
      <w:pPr>
        <w:keepNext w:val="0"/>
        <w:keepLines w:val="0"/>
        <w:widowControl w:val="0"/>
        <w:suppressLineNumbers w:val="0"/>
        <w:adjustRightInd w:val="0"/>
        <w:snapToGrid w:val="0"/>
        <w:spacing w:before="0" w:beforeAutospacing="0" w:after="0" w:afterAutospacing="0" w:line="420" w:lineRule="exact"/>
        <w:ind w:left="0" w:right="0" w:firstLine="480" w:firstLineChars="200"/>
        <w:jc w:val="left"/>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4.编制测评报告：完成上述测评工作和建议整改措施后，投标人最后出具符合标准要求的网络安全等级保护测评报告。</w:t>
      </w:r>
    </w:p>
    <w:p>
      <w:pPr>
        <w:keepNext w:val="0"/>
        <w:keepLines w:val="0"/>
        <w:widowControl w:val="0"/>
        <w:suppressLineNumbers w:val="0"/>
        <w:adjustRightInd w:val="0"/>
        <w:snapToGrid w:val="0"/>
        <w:spacing w:before="0" w:beforeAutospacing="0" w:after="0" w:afterAutospacing="0" w:line="420" w:lineRule="exact"/>
        <w:ind w:left="0" w:right="0" w:firstLine="480" w:firstLineChars="200"/>
        <w:jc w:val="left"/>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（一）工作要求：</w:t>
      </w:r>
    </w:p>
    <w:p>
      <w:pPr>
        <w:keepNext w:val="0"/>
        <w:keepLines w:val="0"/>
        <w:widowControl w:val="0"/>
        <w:suppressLineNumbers w:val="0"/>
        <w:adjustRightInd w:val="0"/>
        <w:snapToGrid w:val="0"/>
        <w:spacing w:before="0" w:beforeAutospacing="0" w:after="0" w:afterAutospacing="0" w:line="420" w:lineRule="exact"/>
        <w:ind w:left="0" w:right="0" w:firstLine="480" w:firstLineChars="200"/>
        <w:jc w:val="left"/>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1.实施原则</w:t>
      </w:r>
    </w:p>
    <w:p>
      <w:pPr>
        <w:keepNext w:val="0"/>
        <w:keepLines w:val="0"/>
        <w:widowControl w:val="0"/>
        <w:suppressLineNumbers w:val="0"/>
        <w:adjustRightInd w:val="0"/>
        <w:snapToGrid w:val="0"/>
        <w:spacing w:before="0" w:beforeAutospacing="0" w:after="0" w:afterAutospacing="0" w:line="420" w:lineRule="exact"/>
        <w:ind w:left="0" w:right="0" w:firstLine="480" w:firstLineChars="200"/>
        <w:jc w:val="left"/>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规范性原则：成交供应商工作中的过程和文档，具有很好的规范性，可以便于项目的跟踪和控制；</w:t>
      </w:r>
    </w:p>
    <w:p>
      <w:pPr>
        <w:keepNext w:val="0"/>
        <w:keepLines w:val="0"/>
        <w:widowControl w:val="0"/>
        <w:suppressLineNumbers w:val="0"/>
        <w:adjustRightInd w:val="0"/>
        <w:snapToGrid w:val="0"/>
        <w:spacing w:before="0" w:beforeAutospacing="0" w:after="0" w:afterAutospacing="0" w:line="420" w:lineRule="exact"/>
        <w:ind w:left="0" w:right="0" w:firstLine="480" w:firstLineChars="200"/>
        <w:jc w:val="left"/>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标准性原则：测评方案的设计与实施应依据国家等级保护的相关标准进行。</w:t>
      </w:r>
    </w:p>
    <w:p>
      <w:pPr>
        <w:keepNext w:val="0"/>
        <w:keepLines w:val="0"/>
        <w:widowControl w:val="0"/>
        <w:suppressLineNumbers w:val="0"/>
        <w:adjustRightInd w:val="0"/>
        <w:snapToGrid w:val="0"/>
        <w:spacing w:before="0" w:beforeAutospacing="0" w:after="0" w:afterAutospacing="0" w:line="420" w:lineRule="exact"/>
        <w:ind w:left="0" w:right="0" w:firstLine="480" w:firstLineChars="200"/>
        <w:jc w:val="left"/>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可控性原则：测评的工具、方法和过程需在双方认可的范围之内并符合进度表的安排，保证采购人对服务工作的可控性；</w:t>
      </w:r>
    </w:p>
    <w:p>
      <w:pPr>
        <w:keepNext w:val="0"/>
        <w:keepLines w:val="0"/>
        <w:widowControl w:val="0"/>
        <w:suppressLineNumbers w:val="0"/>
        <w:adjustRightInd w:val="0"/>
        <w:snapToGrid w:val="0"/>
        <w:spacing w:before="0" w:beforeAutospacing="0" w:after="0" w:afterAutospacing="0" w:line="420" w:lineRule="exact"/>
        <w:ind w:left="0" w:right="0" w:firstLine="480" w:firstLineChars="200"/>
        <w:jc w:val="left"/>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整体性原则：测评和分析的范围和内容应当整体全面，包括安全涉及的各个层面，避免由于遗漏造成未来的安全隐患；</w:t>
      </w:r>
    </w:p>
    <w:p>
      <w:pPr>
        <w:keepNext w:val="0"/>
        <w:keepLines w:val="0"/>
        <w:widowControl w:val="0"/>
        <w:suppressLineNumbers w:val="0"/>
        <w:adjustRightInd w:val="0"/>
        <w:snapToGrid w:val="0"/>
        <w:spacing w:before="0" w:beforeAutospacing="0" w:after="0" w:afterAutospacing="0" w:line="420" w:lineRule="exact"/>
        <w:ind w:left="0" w:right="0" w:firstLine="480" w:firstLineChars="200"/>
        <w:jc w:val="left"/>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最小影响原则：测评工作应尽可能小的影响系统和网络的正常运行，不能对现网的运行和业务的正常提供产生显著影响(包括系统性能明显下降、网络拥塞、服务中断，如无法避免出现这些情况应在应答书上详细描述)；</w:t>
      </w:r>
    </w:p>
    <w:p>
      <w:pPr>
        <w:keepNext w:val="0"/>
        <w:keepLines w:val="0"/>
        <w:widowControl w:val="0"/>
        <w:suppressLineNumbers w:val="0"/>
        <w:adjustRightInd w:val="0"/>
        <w:snapToGrid w:val="0"/>
        <w:spacing w:before="0" w:beforeAutospacing="0" w:after="0" w:afterAutospacing="0" w:line="420" w:lineRule="exact"/>
        <w:ind w:left="0" w:right="0" w:firstLine="480" w:firstLineChars="200"/>
        <w:jc w:val="left"/>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保密原则：对测评的过程数据和结果数据严格保密，未经授权不得泄露给任何单位和个人，不得利用此数据进行任何侵害采购人网络的行为，否则采购人有权追究责任。</w:t>
      </w:r>
    </w:p>
    <w:p>
      <w:pPr>
        <w:keepNext w:val="0"/>
        <w:keepLines w:val="0"/>
        <w:widowControl w:val="0"/>
        <w:suppressLineNumbers w:val="0"/>
        <w:adjustRightInd w:val="0"/>
        <w:snapToGrid w:val="0"/>
        <w:spacing w:before="0" w:beforeAutospacing="0" w:after="0" w:afterAutospacing="0" w:line="420" w:lineRule="exact"/>
        <w:ind w:left="0" w:right="0" w:firstLine="480" w:firstLineChars="200"/>
        <w:jc w:val="left"/>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2.测评依据</w:t>
      </w:r>
    </w:p>
    <w:p>
      <w:pPr>
        <w:keepNext w:val="0"/>
        <w:keepLines w:val="0"/>
        <w:widowControl w:val="0"/>
        <w:suppressLineNumbers w:val="0"/>
        <w:adjustRightInd w:val="0"/>
        <w:snapToGrid w:val="0"/>
        <w:spacing w:before="0" w:beforeAutospacing="0" w:after="0" w:afterAutospacing="0" w:line="420" w:lineRule="exact"/>
        <w:ind w:left="0" w:right="0" w:firstLine="480" w:firstLineChars="200"/>
        <w:jc w:val="left"/>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 xml:space="preserve">《信息安全技术 网络安全等级保护基本要求》（GB/T 22239-2019） </w:t>
      </w:r>
    </w:p>
    <w:p>
      <w:pPr>
        <w:keepNext w:val="0"/>
        <w:keepLines w:val="0"/>
        <w:widowControl w:val="0"/>
        <w:suppressLineNumbers w:val="0"/>
        <w:adjustRightInd w:val="0"/>
        <w:snapToGrid w:val="0"/>
        <w:spacing w:before="0" w:beforeAutospacing="0" w:after="0" w:afterAutospacing="0" w:line="420" w:lineRule="exact"/>
        <w:ind w:left="0" w:right="0" w:firstLine="480" w:firstLineChars="200"/>
        <w:jc w:val="left"/>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《信息安全技术 网络安全等级保护定级指南》（GB/T 22240-2020）</w:t>
      </w:r>
    </w:p>
    <w:p>
      <w:pPr>
        <w:keepNext w:val="0"/>
        <w:keepLines w:val="0"/>
        <w:widowControl w:val="0"/>
        <w:suppressLineNumbers w:val="0"/>
        <w:adjustRightInd w:val="0"/>
        <w:snapToGrid w:val="0"/>
        <w:spacing w:before="0" w:beforeAutospacing="0" w:after="0" w:afterAutospacing="0" w:line="420" w:lineRule="exact"/>
        <w:ind w:left="0" w:right="0" w:firstLine="480" w:firstLineChars="200"/>
        <w:jc w:val="left"/>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 xml:space="preserve">《信息安全技术 网络安全等级保护测评要求》（GB/T 28448-2019） </w:t>
      </w:r>
    </w:p>
    <w:p>
      <w:pPr>
        <w:keepNext w:val="0"/>
        <w:keepLines w:val="0"/>
        <w:widowControl w:val="0"/>
        <w:suppressLineNumbers w:val="0"/>
        <w:adjustRightInd w:val="0"/>
        <w:snapToGrid w:val="0"/>
        <w:spacing w:before="0" w:beforeAutospacing="0" w:after="0" w:afterAutospacing="0" w:line="420" w:lineRule="exact"/>
        <w:ind w:left="0" w:right="0" w:firstLine="480" w:firstLineChars="200"/>
        <w:jc w:val="left"/>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《信息安全技术 网络安全等级保护测评过程指南》（GB∕T 28449-2018）</w:t>
      </w:r>
    </w:p>
    <w:p>
      <w:pPr>
        <w:keepNext w:val="0"/>
        <w:keepLines w:val="0"/>
        <w:widowControl w:val="0"/>
        <w:suppressLineNumbers w:val="0"/>
        <w:adjustRightInd w:val="0"/>
        <w:snapToGrid w:val="0"/>
        <w:spacing w:before="0" w:beforeAutospacing="0" w:after="0" w:afterAutospacing="0" w:line="420" w:lineRule="exact"/>
        <w:ind w:left="0" w:right="0" w:firstLine="480" w:firstLineChars="200"/>
        <w:jc w:val="left"/>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3.等级保护测评内容</w:t>
      </w:r>
    </w:p>
    <w:p>
      <w:pPr>
        <w:keepNext w:val="0"/>
        <w:keepLines w:val="0"/>
        <w:widowControl w:val="0"/>
        <w:suppressLineNumbers w:val="0"/>
        <w:adjustRightInd w:val="0"/>
        <w:snapToGrid w:val="0"/>
        <w:spacing w:before="0" w:beforeAutospacing="0" w:after="0" w:afterAutospacing="0" w:line="420" w:lineRule="exact"/>
        <w:ind w:left="0" w:right="0" w:firstLine="480" w:firstLineChars="200"/>
        <w:jc w:val="left"/>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（1）等级保护测评内容</w:t>
      </w:r>
    </w:p>
    <w:p>
      <w:pPr>
        <w:keepNext w:val="0"/>
        <w:keepLines w:val="0"/>
        <w:widowControl w:val="0"/>
        <w:suppressLineNumbers w:val="0"/>
        <w:adjustRightInd w:val="0"/>
        <w:snapToGrid w:val="0"/>
        <w:spacing w:before="0" w:beforeAutospacing="0" w:after="0" w:afterAutospacing="0" w:line="420" w:lineRule="exact"/>
        <w:ind w:left="0" w:right="0" w:firstLine="480" w:firstLineChars="200"/>
        <w:jc w:val="left"/>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根据国家等级保护相关标准，本次项目的网络安全等级保护测评应包括以下内容：</w:t>
      </w:r>
    </w:p>
    <w:p>
      <w:pPr>
        <w:keepNext w:val="0"/>
        <w:keepLines w:val="0"/>
        <w:widowControl w:val="0"/>
        <w:suppressLineNumbers w:val="0"/>
        <w:adjustRightInd w:val="0"/>
        <w:snapToGrid w:val="0"/>
        <w:spacing w:before="0" w:beforeAutospacing="0" w:after="0" w:afterAutospacing="0" w:line="420" w:lineRule="exact"/>
        <w:ind w:left="0" w:right="0" w:firstLine="480" w:firstLineChars="200"/>
        <w:jc w:val="left"/>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安全技术测评：包括安全物理环境、安全通信网络、安全区域边界、安全计算环境、安全管理中心等五个方面的安全测评；</w:t>
      </w:r>
    </w:p>
    <w:p>
      <w:pPr>
        <w:keepNext w:val="0"/>
        <w:keepLines w:val="0"/>
        <w:widowControl w:val="0"/>
        <w:suppressLineNumbers w:val="0"/>
        <w:adjustRightInd w:val="0"/>
        <w:snapToGrid w:val="0"/>
        <w:spacing w:before="0" w:beforeAutospacing="0" w:after="0" w:afterAutospacing="0" w:line="420" w:lineRule="exact"/>
        <w:ind w:left="0" w:right="0" w:firstLine="480" w:firstLineChars="200"/>
        <w:jc w:val="left"/>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安全管理测评：包括安全管理制度、安全管理机构、安全管理人员、安全建设管理和安全运维管理等五个方面的安全测评。</w:t>
      </w:r>
    </w:p>
    <w:p>
      <w:pPr>
        <w:keepNext w:val="0"/>
        <w:keepLines w:val="0"/>
        <w:widowControl w:val="0"/>
        <w:suppressLineNumbers w:val="0"/>
        <w:adjustRightInd w:val="0"/>
        <w:snapToGrid w:val="0"/>
        <w:spacing w:before="0" w:beforeAutospacing="0" w:after="0" w:afterAutospacing="0" w:line="420" w:lineRule="exact"/>
        <w:ind w:left="0" w:right="0" w:firstLine="480" w:firstLineChars="200"/>
        <w:jc w:val="left"/>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（2）安全物理环境</w:t>
      </w:r>
    </w:p>
    <w:p>
      <w:pPr>
        <w:keepNext w:val="0"/>
        <w:keepLines w:val="0"/>
        <w:widowControl w:val="0"/>
        <w:suppressLineNumbers w:val="0"/>
        <w:adjustRightInd w:val="0"/>
        <w:snapToGrid w:val="0"/>
        <w:spacing w:before="0" w:beforeAutospacing="0" w:after="0" w:afterAutospacing="0" w:line="420" w:lineRule="exact"/>
        <w:ind w:left="0" w:right="0" w:firstLine="480" w:firstLineChars="200"/>
        <w:jc w:val="left"/>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安全物理环境是对机房和办公场所的物理环境安全防护情况进行测评，包括物理位置选择、物理访问控制、防盗窃和防破坏、防雷击、防火、防水和防潮、防静电、温湿度控制、电力供应和电磁防护等方面的安全状况。</w:t>
      </w:r>
    </w:p>
    <w:p>
      <w:pPr>
        <w:keepNext w:val="0"/>
        <w:keepLines w:val="0"/>
        <w:widowControl w:val="0"/>
        <w:suppressLineNumbers w:val="0"/>
        <w:adjustRightInd w:val="0"/>
        <w:snapToGrid w:val="0"/>
        <w:spacing w:before="0" w:beforeAutospacing="0" w:after="0" w:afterAutospacing="0" w:line="420" w:lineRule="exact"/>
        <w:ind w:left="0" w:right="0" w:firstLine="480" w:firstLineChars="200"/>
        <w:jc w:val="left"/>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（3）安全通信网络</w:t>
      </w:r>
    </w:p>
    <w:p>
      <w:pPr>
        <w:keepNext w:val="0"/>
        <w:keepLines w:val="0"/>
        <w:widowControl w:val="0"/>
        <w:suppressLineNumbers w:val="0"/>
        <w:adjustRightInd w:val="0"/>
        <w:snapToGrid w:val="0"/>
        <w:spacing w:before="0" w:beforeAutospacing="0" w:after="0" w:afterAutospacing="0" w:line="420" w:lineRule="exact"/>
        <w:ind w:left="0" w:right="0" w:firstLine="480" w:firstLineChars="200"/>
        <w:jc w:val="left"/>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安全通信网络测评是对网络系统安全防护情况进行测评，包括网络架构、通信传输、可信验证等方面的安全状况。</w:t>
      </w:r>
    </w:p>
    <w:p>
      <w:pPr>
        <w:keepNext w:val="0"/>
        <w:keepLines w:val="0"/>
        <w:widowControl w:val="0"/>
        <w:suppressLineNumbers w:val="0"/>
        <w:adjustRightInd w:val="0"/>
        <w:snapToGrid w:val="0"/>
        <w:spacing w:before="0" w:beforeAutospacing="0" w:after="0" w:afterAutospacing="0" w:line="420" w:lineRule="exact"/>
        <w:ind w:left="0" w:right="0" w:firstLine="480" w:firstLineChars="200"/>
        <w:jc w:val="left"/>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（4）安全区域边界</w:t>
      </w:r>
    </w:p>
    <w:p>
      <w:pPr>
        <w:keepNext w:val="0"/>
        <w:keepLines w:val="0"/>
        <w:widowControl w:val="0"/>
        <w:suppressLineNumbers w:val="0"/>
        <w:adjustRightInd w:val="0"/>
        <w:snapToGrid w:val="0"/>
        <w:spacing w:before="0" w:beforeAutospacing="0" w:after="0" w:afterAutospacing="0" w:line="420" w:lineRule="exact"/>
        <w:ind w:left="0" w:right="0" w:firstLine="480" w:firstLineChars="200"/>
        <w:jc w:val="left"/>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安全区域边界是对边界防护、访问控制、入侵防范、恶意代码防范、安全审计、可信验证等方面的测评。</w:t>
      </w:r>
    </w:p>
    <w:p>
      <w:pPr>
        <w:keepNext w:val="0"/>
        <w:keepLines w:val="0"/>
        <w:widowControl w:val="0"/>
        <w:suppressLineNumbers w:val="0"/>
        <w:adjustRightInd w:val="0"/>
        <w:snapToGrid w:val="0"/>
        <w:spacing w:before="0" w:beforeAutospacing="0" w:after="0" w:afterAutospacing="0" w:line="420" w:lineRule="exact"/>
        <w:ind w:left="0" w:right="0" w:firstLine="480" w:firstLineChars="200"/>
        <w:jc w:val="left"/>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（5）安全计算环境</w:t>
      </w:r>
    </w:p>
    <w:p>
      <w:pPr>
        <w:keepNext w:val="0"/>
        <w:keepLines w:val="0"/>
        <w:widowControl w:val="0"/>
        <w:suppressLineNumbers w:val="0"/>
        <w:adjustRightInd w:val="0"/>
        <w:snapToGrid w:val="0"/>
        <w:spacing w:before="0" w:beforeAutospacing="0" w:after="0" w:afterAutospacing="0" w:line="420" w:lineRule="exact"/>
        <w:ind w:left="0" w:right="0" w:firstLine="480" w:firstLineChars="200"/>
        <w:jc w:val="left"/>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安全计算环境是对身份鉴别、访问控制、安全审计、入侵防范、恶意代码防范、可信验证、数据完整性、数据保密性、数据备份恢复、剩余信息保护、个人信息保护等方面的测评。</w:t>
      </w:r>
    </w:p>
    <w:p>
      <w:pPr>
        <w:keepNext w:val="0"/>
        <w:keepLines w:val="0"/>
        <w:widowControl w:val="0"/>
        <w:suppressLineNumbers w:val="0"/>
        <w:adjustRightInd w:val="0"/>
        <w:snapToGrid w:val="0"/>
        <w:spacing w:before="0" w:beforeAutospacing="0" w:after="0" w:afterAutospacing="0" w:line="420" w:lineRule="exact"/>
        <w:ind w:left="0" w:right="0" w:firstLine="480" w:firstLineChars="200"/>
        <w:jc w:val="left"/>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（6）安全管理中心</w:t>
      </w:r>
    </w:p>
    <w:p>
      <w:pPr>
        <w:keepNext w:val="0"/>
        <w:keepLines w:val="0"/>
        <w:widowControl w:val="0"/>
        <w:suppressLineNumbers w:val="0"/>
        <w:adjustRightInd w:val="0"/>
        <w:snapToGrid w:val="0"/>
        <w:spacing w:before="0" w:beforeAutospacing="0" w:after="0" w:afterAutospacing="0" w:line="420" w:lineRule="exact"/>
        <w:ind w:left="0" w:right="0" w:firstLine="480" w:firstLineChars="200"/>
        <w:jc w:val="left"/>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安全管理中心是对系统管理、审计管理、安全管理、集中管控等方面的测评。</w:t>
      </w:r>
    </w:p>
    <w:p>
      <w:pPr>
        <w:keepNext w:val="0"/>
        <w:keepLines w:val="0"/>
        <w:widowControl w:val="0"/>
        <w:suppressLineNumbers w:val="0"/>
        <w:adjustRightInd w:val="0"/>
        <w:snapToGrid w:val="0"/>
        <w:spacing w:before="0" w:beforeAutospacing="0" w:after="0" w:afterAutospacing="0" w:line="420" w:lineRule="exact"/>
        <w:ind w:left="0" w:right="0" w:firstLine="480" w:firstLineChars="200"/>
        <w:jc w:val="left"/>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（7）安全管理制度</w:t>
      </w:r>
    </w:p>
    <w:p>
      <w:pPr>
        <w:keepNext w:val="0"/>
        <w:keepLines w:val="0"/>
        <w:widowControl w:val="0"/>
        <w:suppressLineNumbers w:val="0"/>
        <w:adjustRightInd w:val="0"/>
        <w:snapToGrid w:val="0"/>
        <w:spacing w:before="0" w:beforeAutospacing="0" w:after="0" w:afterAutospacing="0" w:line="420" w:lineRule="exact"/>
        <w:ind w:left="0" w:right="0" w:firstLine="480" w:firstLineChars="200"/>
        <w:jc w:val="left"/>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安全管理制度测评是对安全策略、管理制度、制定和发布、评审和修订进行测评。</w:t>
      </w:r>
    </w:p>
    <w:p>
      <w:pPr>
        <w:keepNext w:val="0"/>
        <w:keepLines w:val="0"/>
        <w:widowControl w:val="0"/>
        <w:suppressLineNumbers w:val="0"/>
        <w:adjustRightInd w:val="0"/>
        <w:snapToGrid w:val="0"/>
        <w:spacing w:before="0" w:beforeAutospacing="0" w:after="0" w:afterAutospacing="0" w:line="420" w:lineRule="exact"/>
        <w:ind w:left="0" w:right="0" w:firstLine="480" w:firstLineChars="200"/>
        <w:jc w:val="left"/>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（8）安全管理机构</w:t>
      </w:r>
    </w:p>
    <w:p>
      <w:pPr>
        <w:keepNext w:val="0"/>
        <w:keepLines w:val="0"/>
        <w:widowControl w:val="0"/>
        <w:suppressLineNumbers w:val="0"/>
        <w:adjustRightInd w:val="0"/>
        <w:snapToGrid w:val="0"/>
        <w:spacing w:before="0" w:beforeAutospacing="0" w:after="0" w:afterAutospacing="0" w:line="420" w:lineRule="exact"/>
        <w:ind w:left="0" w:right="0" w:firstLine="480" w:firstLineChars="200"/>
        <w:jc w:val="left"/>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安全管理机构测评是对岗位设置、人员配备、授权和审批、沟通和合作、审核和检查等情况进行测评。</w:t>
      </w:r>
    </w:p>
    <w:p>
      <w:pPr>
        <w:keepNext w:val="0"/>
        <w:keepLines w:val="0"/>
        <w:widowControl w:val="0"/>
        <w:suppressLineNumbers w:val="0"/>
        <w:adjustRightInd w:val="0"/>
        <w:snapToGrid w:val="0"/>
        <w:spacing w:before="0" w:beforeAutospacing="0" w:after="0" w:afterAutospacing="0" w:line="420" w:lineRule="exact"/>
        <w:ind w:left="0" w:right="0" w:firstLine="480" w:firstLineChars="200"/>
        <w:jc w:val="left"/>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（9）安全管理人员</w:t>
      </w:r>
    </w:p>
    <w:p>
      <w:pPr>
        <w:keepNext w:val="0"/>
        <w:keepLines w:val="0"/>
        <w:widowControl w:val="0"/>
        <w:suppressLineNumbers w:val="0"/>
        <w:adjustRightInd w:val="0"/>
        <w:snapToGrid w:val="0"/>
        <w:spacing w:before="0" w:beforeAutospacing="0" w:after="0" w:afterAutospacing="0" w:line="420" w:lineRule="exact"/>
        <w:ind w:left="0" w:right="0" w:firstLine="480" w:firstLineChars="200"/>
        <w:jc w:val="left"/>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安全管理人员测评是对人员录用、人员离岗、安全意识教育和培训、外部人员访问管理等情况进行测评。</w:t>
      </w:r>
    </w:p>
    <w:p>
      <w:pPr>
        <w:keepNext w:val="0"/>
        <w:keepLines w:val="0"/>
        <w:widowControl w:val="0"/>
        <w:suppressLineNumbers w:val="0"/>
        <w:adjustRightInd w:val="0"/>
        <w:snapToGrid w:val="0"/>
        <w:spacing w:before="0" w:beforeAutospacing="0" w:after="0" w:afterAutospacing="0" w:line="420" w:lineRule="exact"/>
        <w:ind w:left="0" w:right="0" w:firstLine="480" w:firstLineChars="200"/>
        <w:jc w:val="left"/>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（10）安全建设管理</w:t>
      </w:r>
    </w:p>
    <w:p>
      <w:pPr>
        <w:keepNext w:val="0"/>
        <w:keepLines w:val="0"/>
        <w:widowControl w:val="0"/>
        <w:suppressLineNumbers w:val="0"/>
        <w:adjustRightInd w:val="0"/>
        <w:snapToGrid w:val="0"/>
        <w:spacing w:before="0" w:beforeAutospacing="0" w:after="0" w:afterAutospacing="0" w:line="420" w:lineRule="exact"/>
        <w:ind w:left="0" w:right="0" w:firstLine="480" w:firstLineChars="200"/>
        <w:jc w:val="left"/>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安全建设管理测评是对建设过程中的系统定级和备案、安全方案设计、产品采购和使用、自行软件开发、外包软件开发、 工程实施、测试验收、系统交付、 等级测评、服务供应商选择等情况进行测评。</w:t>
      </w:r>
    </w:p>
    <w:p>
      <w:pPr>
        <w:keepNext w:val="0"/>
        <w:keepLines w:val="0"/>
        <w:widowControl w:val="0"/>
        <w:suppressLineNumbers w:val="0"/>
        <w:adjustRightInd w:val="0"/>
        <w:snapToGrid w:val="0"/>
        <w:spacing w:before="0" w:beforeAutospacing="0" w:after="0" w:afterAutospacing="0" w:line="420" w:lineRule="exact"/>
        <w:ind w:left="0" w:right="0" w:firstLine="480" w:firstLineChars="200"/>
        <w:jc w:val="left"/>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（11）安全运维管理</w:t>
      </w:r>
    </w:p>
    <w:p>
      <w:pPr>
        <w:keepNext w:val="0"/>
        <w:keepLines w:val="0"/>
        <w:widowControl w:val="0"/>
        <w:suppressLineNumbers w:val="0"/>
        <w:adjustRightInd w:val="0"/>
        <w:snapToGrid w:val="0"/>
        <w:spacing w:before="0" w:beforeAutospacing="0" w:after="0" w:afterAutospacing="0" w:line="420" w:lineRule="exact"/>
        <w:ind w:left="0" w:right="0" w:firstLine="480" w:firstLineChars="200"/>
        <w:jc w:val="left"/>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安全运维管理测评是对环境管理、资产管理、介质管理、设备维护管理、漏洞和风险管理、网络和系统安全管理、恶意代码防范管理、配置管理、密码管理、变更管理、备份与恢复管理、安全事件处置、 应急预案管理、外包运维管理等情况进行测评。</w:t>
      </w:r>
    </w:p>
    <w:p>
      <w:pPr>
        <w:keepNext w:val="0"/>
        <w:keepLines w:val="0"/>
        <w:widowControl w:val="0"/>
        <w:suppressLineNumbers w:val="0"/>
        <w:adjustRightInd w:val="0"/>
        <w:snapToGrid w:val="0"/>
        <w:spacing w:before="0" w:beforeAutospacing="0" w:after="0" w:afterAutospacing="0" w:line="420" w:lineRule="exact"/>
        <w:ind w:left="0" w:right="0" w:firstLine="480" w:firstLineChars="200"/>
        <w:jc w:val="left"/>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（二）报价要求</w:t>
      </w:r>
    </w:p>
    <w:p>
      <w:pPr>
        <w:keepNext w:val="0"/>
        <w:keepLines w:val="0"/>
        <w:widowControl w:val="0"/>
        <w:suppressLineNumbers w:val="0"/>
        <w:adjustRightInd w:val="0"/>
        <w:snapToGrid w:val="0"/>
        <w:spacing w:before="0" w:beforeAutospacing="0" w:after="0" w:afterAutospacing="0" w:line="420" w:lineRule="exact"/>
        <w:ind w:left="0" w:right="0" w:firstLine="480" w:firstLineChars="200"/>
        <w:jc w:val="left"/>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本项目报总价，报价包含完成本项目服务期间所产生的一切费用（含验收费用），采购人后期不再另行追加费用。</w:t>
      </w:r>
    </w:p>
    <w:p>
      <w:pPr>
        <w:keepNext w:val="0"/>
        <w:keepLines w:val="0"/>
        <w:widowControl w:val="0"/>
        <w:suppressLineNumbers w:val="0"/>
        <w:adjustRightInd w:val="0"/>
        <w:snapToGrid w:val="0"/>
        <w:spacing w:before="0" w:beforeAutospacing="0" w:after="0" w:afterAutospacing="0" w:line="420" w:lineRule="exact"/>
        <w:ind w:left="0" w:right="0" w:firstLine="480" w:firstLineChars="200"/>
        <w:jc w:val="left"/>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（三）人员配备</w:t>
      </w:r>
    </w:p>
    <w:p>
      <w:pPr>
        <w:keepNext w:val="0"/>
        <w:keepLines w:val="0"/>
        <w:widowControl w:val="0"/>
        <w:suppressLineNumbers w:val="0"/>
        <w:adjustRightInd w:val="0"/>
        <w:snapToGrid w:val="0"/>
        <w:spacing w:before="0" w:beforeAutospacing="0" w:after="0" w:afterAutospacing="0" w:line="420" w:lineRule="exact"/>
        <w:ind w:left="0" w:right="0" w:firstLine="480" w:firstLineChars="200"/>
        <w:jc w:val="left"/>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供应商拟派的安全服务团队成员至少包括1名高级测评师。</w:t>
      </w:r>
      <w:bookmarkStart w:id="20" w:name="_GoBack"/>
      <w:bookmarkEnd w:id="20"/>
      <w:r>
        <w:rPr>
          <w:rFonts w:hint="eastAsia" w:ascii="宋体" w:hAnsi="宋体" w:eastAsia="宋体" w:cs="宋体"/>
          <w:kern w:val="2"/>
          <w:sz w:val="24"/>
          <w:szCs w:val="24"/>
          <w:lang w:val="en-US" w:eastAsia="zh-CN" w:bidi="ar"/>
        </w:rPr>
        <w:t>安全服务团队在合同约定期内派驻采购人到指定地点办公；成交供应商需保证在实施阶段主要技术人员必须是全职。</w:t>
      </w:r>
    </w:p>
    <w:p>
      <w:pPr>
        <w:keepNext w:val="0"/>
        <w:keepLines w:val="0"/>
        <w:widowControl w:val="0"/>
        <w:suppressLineNumbers w:val="0"/>
        <w:adjustRightInd w:val="0"/>
        <w:snapToGrid w:val="0"/>
        <w:spacing w:before="0" w:beforeAutospacing="0" w:after="0" w:afterAutospacing="0" w:line="420" w:lineRule="exact"/>
        <w:ind w:left="0" w:right="0" w:firstLine="480" w:firstLineChars="200"/>
        <w:jc w:val="left"/>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（四）验收标准</w:t>
      </w:r>
    </w:p>
    <w:p>
      <w:pPr>
        <w:keepNext w:val="0"/>
        <w:keepLines w:val="0"/>
        <w:widowControl w:val="0"/>
        <w:suppressLineNumbers w:val="0"/>
        <w:adjustRightInd w:val="0"/>
        <w:snapToGrid w:val="0"/>
        <w:spacing w:before="0" w:beforeAutospacing="0" w:after="0" w:afterAutospacing="0" w:line="420" w:lineRule="exact"/>
        <w:ind w:left="0" w:right="0" w:firstLine="480" w:firstLineChars="200"/>
        <w:jc w:val="left"/>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成交供应商按等保2.0标准要求，完成规定工作内容，提供相关过程文档，完成上述测评工作和整改加固实施后，最后出具符合标准要求的各信息系统网络安全等级保护测评报告。</w:t>
      </w:r>
    </w:p>
    <w:p>
      <w:pPr>
        <w:spacing w:line="400" w:lineRule="exact"/>
        <w:ind w:firstLine="482" w:firstLineChars="200"/>
        <w:jc w:val="left"/>
        <w:rPr>
          <w:rFonts w:hint="default" w:ascii="宋体" w:hAnsi="宋体" w:eastAsia="宋体" w:cs="宋体"/>
          <w:b/>
          <w:color w:val="auto"/>
          <w:sz w:val="24"/>
          <w:lang w:val="en-US" w:eastAsia="zh-CN"/>
        </w:rPr>
      </w:pPr>
    </w:p>
    <w:p>
      <w:pPr>
        <w:spacing w:line="320" w:lineRule="exact"/>
        <w:jc w:val="left"/>
        <w:rPr>
          <w:rFonts w:ascii="宋体" w:hAnsi="宋体" w:cs="宋体"/>
          <w:b/>
          <w:color w:val="auto"/>
          <w:sz w:val="28"/>
          <w:szCs w:val="28"/>
        </w:rPr>
      </w:pPr>
    </w:p>
    <w:p>
      <w:pPr>
        <w:pStyle w:val="7"/>
        <w:spacing w:line="360" w:lineRule="auto"/>
        <w:jc w:val="center"/>
        <w:rPr>
          <w:rFonts w:hint="eastAsia" w:ascii="宋体" w:hAnsi="宋体" w:eastAsia="宋体" w:cs="宋体"/>
          <w:b w:val="0"/>
          <w:bCs w:val="0"/>
          <w:color w:val="auto"/>
          <w:sz w:val="32"/>
          <w:szCs w:val="32"/>
          <w:highlight w:val="none"/>
          <w:lang w:val="en-US" w:eastAsia="zh-CN"/>
        </w:rPr>
      </w:pPr>
    </w:p>
    <w:p>
      <w:pPr>
        <w:pStyle w:val="7"/>
        <w:spacing w:line="360" w:lineRule="auto"/>
        <w:jc w:val="center"/>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32"/>
          <w:szCs w:val="32"/>
          <w:highlight w:val="none"/>
          <w:lang w:val="en-US" w:eastAsia="zh-CN"/>
        </w:rPr>
        <w:t>第五章</w:t>
      </w:r>
      <w:r>
        <w:rPr>
          <w:rFonts w:hint="eastAsia" w:ascii="宋体" w:hAnsi="宋体" w:cs="宋体"/>
          <w:b w:val="0"/>
          <w:bCs w:val="0"/>
          <w:color w:val="auto"/>
          <w:sz w:val="32"/>
          <w:szCs w:val="32"/>
          <w:highlight w:val="none"/>
          <w:lang w:val="en-US" w:eastAsia="zh-CN"/>
        </w:rPr>
        <w:t xml:space="preserve">   </w:t>
      </w:r>
      <w:r>
        <w:rPr>
          <w:rFonts w:hint="eastAsia" w:ascii="宋体" w:hAnsi="宋体" w:eastAsia="宋体" w:cs="宋体"/>
          <w:b w:val="0"/>
          <w:bCs w:val="0"/>
          <w:color w:val="auto"/>
          <w:sz w:val="32"/>
          <w:szCs w:val="32"/>
          <w:highlight w:val="none"/>
        </w:rPr>
        <w:t>采购合同</w:t>
      </w:r>
      <w:bookmarkEnd w:id="11"/>
      <w:bookmarkEnd w:id="12"/>
      <w:r>
        <w:rPr>
          <w:rFonts w:hint="eastAsia" w:ascii="宋体" w:hAnsi="宋体" w:eastAsia="宋体" w:cs="宋体"/>
          <w:b w:val="0"/>
          <w:bCs w:val="0"/>
          <w:color w:val="auto"/>
          <w:sz w:val="32"/>
          <w:szCs w:val="32"/>
          <w:highlight w:val="none"/>
          <w:lang w:eastAsia="zh-CN"/>
        </w:rPr>
        <w:t>（</w:t>
      </w:r>
      <w:r>
        <w:rPr>
          <w:rFonts w:hint="eastAsia" w:ascii="宋体" w:hAnsi="宋体" w:eastAsia="宋体" w:cs="宋体"/>
          <w:b w:val="0"/>
          <w:bCs w:val="0"/>
          <w:color w:val="auto"/>
          <w:sz w:val="32"/>
          <w:szCs w:val="32"/>
          <w:highlight w:val="none"/>
          <w:lang w:val="en-US" w:eastAsia="zh-CN"/>
        </w:rPr>
        <w:t>略</w:t>
      </w:r>
      <w:r>
        <w:rPr>
          <w:rFonts w:hint="eastAsia" w:ascii="宋体" w:hAnsi="宋体" w:eastAsia="宋体" w:cs="宋体"/>
          <w:b w:val="0"/>
          <w:bCs w:val="0"/>
          <w:color w:val="auto"/>
          <w:sz w:val="32"/>
          <w:szCs w:val="32"/>
          <w:highlight w:val="none"/>
          <w:lang w:eastAsia="zh-CN"/>
        </w:rPr>
        <w:t>）</w:t>
      </w:r>
      <w:r>
        <w:rPr>
          <w:rFonts w:hint="eastAsia" w:ascii="宋体" w:hAnsi="宋体" w:eastAsia="宋体" w:cs="宋体"/>
          <w:b w:val="0"/>
          <w:bCs w:val="0"/>
          <w:color w:val="auto"/>
          <w:sz w:val="32"/>
          <w:szCs w:val="32"/>
          <w:highlight w:val="none"/>
        </w:rPr>
        <w:br w:type="textWrapping"/>
      </w:r>
      <w:r>
        <w:rPr>
          <w:rFonts w:hint="eastAsia" w:ascii="宋体" w:hAnsi="宋体" w:eastAsia="宋体" w:cs="宋体"/>
          <w:b w:val="0"/>
          <w:bCs w:val="0"/>
          <w:color w:val="auto"/>
          <w:sz w:val="28"/>
          <w:szCs w:val="28"/>
          <w:highlight w:val="none"/>
        </w:rPr>
        <w:t>根据实际签订的采购合同</w:t>
      </w:r>
    </w:p>
    <w:p>
      <w:pPr>
        <w:rPr>
          <w:rFonts w:hint="eastAsia" w:ascii="宋体" w:hAnsi="宋体" w:eastAsia="宋体" w:cs="宋体"/>
          <w:color w:val="auto"/>
          <w:sz w:val="24"/>
          <w:highlight w:val="none"/>
        </w:rPr>
      </w:pPr>
    </w:p>
    <w:p>
      <w:pPr>
        <w:pStyle w:val="6"/>
        <w:spacing w:line="360" w:lineRule="auto"/>
        <w:jc w:val="both"/>
        <w:rPr>
          <w:rFonts w:hint="eastAsia" w:ascii="宋体" w:hAnsi="宋体" w:eastAsia="宋体" w:cs="宋体"/>
          <w:color w:val="auto"/>
          <w:sz w:val="28"/>
          <w:szCs w:val="28"/>
          <w:highlight w:val="none"/>
        </w:rPr>
      </w:pPr>
    </w:p>
    <w:p>
      <w:pPr>
        <w:pStyle w:val="6"/>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第六章 磋商响应文件格式</w:t>
      </w:r>
    </w:p>
    <w:p>
      <w:pPr>
        <w:pStyle w:val="17"/>
        <w:wordWrap w:val="0"/>
        <w:adjustRightInd/>
        <w:spacing w:line="360" w:lineRule="auto"/>
        <w:jc w:val="both"/>
        <w:rPr>
          <w:rFonts w:hint="eastAsia" w:ascii="宋体" w:hAnsi="宋体" w:eastAsia="宋体" w:cs="宋体"/>
          <w:b/>
          <w:color w:val="auto"/>
          <w:sz w:val="28"/>
          <w:szCs w:val="28"/>
          <w:highlight w:val="none"/>
        </w:rPr>
      </w:pPr>
    </w:p>
    <w:p>
      <w:pPr>
        <w:pStyle w:val="22"/>
        <w:ind w:left="0" w:leftChars="0" w:firstLine="0" w:firstLineChars="0"/>
        <w:rPr>
          <w:rFonts w:hint="eastAsia"/>
          <w:color w:val="auto"/>
          <w:highlight w:val="none"/>
        </w:rPr>
      </w:pPr>
    </w:p>
    <w:p>
      <w:pPr>
        <w:pStyle w:val="25"/>
        <w:wordWrap w:val="0"/>
        <w:spacing w:line="360" w:lineRule="auto"/>
        <w:ind w:firstLine="0" w:firstLineChars="0"/>
        <w:jc w:val="center"/>
        <w:rPr>
          <w:rFonts w:hint="eastAsia" w:ascii="宋体" w:hAnsi="宋体" w:eastAsia="宋体" w:cs="宋体"/>
          <w:color w:val="auto"/>
          <w:highlight w:val="none"/>
        </w:rPr>
      </w:pPr>
      <w:r>
        <w:rPr>
          <w:rFonts w:hint="eastAsia" w:ascii="宋体" w:hAnsi="宋体" w:eastAsia="宋体" w:cs="宋体"/>
          <w:color w:val="auto"/>
          <w:highlight w:val="none"/>
        </w:rPr>
        <w:t>磋商响应文件</w:t>
      </w:r>
    </w:p>
    <w:p>
      <w:pPr>
        <w:wordWrap w:val="0"/>
        <w:spacing w:line="360" w:lineRule="auto"/>
        <w:rPr>
          <w:rFonts w:hint="eastAsia" w:ascii="宋体" w:hAnsi="宋体" w:eastAsia="宋体" w:cs="宋体"/>
          <w:color w:val="auto"/>
          <w:sz w:val="28"/>
          <w:szCs w:val="28"/>
          <w:highlight w:val="none"/>
        </w:rPr>
      </w:pPr>
    </w:p>
    <w:p>
      <w:pPr>
        <w:wordWrap w:val="0"/>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项目编号：</w:t>
      </w:r>
    </w:p>
    <w:p>
      <w:pPr>
        <w:wordWrap w:val="0"/>
        <w:spacing w:line="360" w:lineRule="auto"/>
        <w:ind w:firstLine="560" w:firstLineChars="200"/>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项目名称：</w:t>
      </w:r>
    </w:p>
    <w:p>
      <w:pPr>
        <w:wordWrap w:val="0"/>
        <w:spacing w:line="360" w:lineRule="auto"/>
        <w:rPr>
          <w:rFonts w:hint="eastAsia" w:ascii="宋体" w:hAnsi="宋体" w:eastAsia="宋体" w:cs="宋体"/>
          <w:color w:val="auto"/>
          <w:sz w:val="28"/>
          <w:szCs w:val="28"/>
          <w:highlight w:val="none"/>
        </w:rPr>
      </w:pPr>
    </w:p>
    <w:p>
      <w:pPr>
        <w:wordWrap w:val="0"/>
        <w:spacing w:line="360" w:lineRule="auto"/>
        <w:rPr>
          <w:rFonts w:hint="eastAsia" w:ascii="宋体" w:hAnsi="宋体" w:eastAsia="宋体" w:cs="宋体"/>
          <w:color w:val="auto"/>
          <w:sz w:val="28"/>
          <w:szCs w:val="28"/>
          <w:highlight w:val="none"/>
        </w:rPr>
      </w:pPr>
    </w:p>
    <w:p>
      <w:pPr>
        <w:wordWrap w:val="0"/>
        <w:spacing w:line="360" w:lineRule="auto"/>
        <w:rPr>
          <w:rFonts w:hint="eastAsia" w:ascii="宋体" w:hAnsi="宋体" w:eastAsia="宋体" w:cs="宋体"/>
          <w:color w:val="auto"/>
          <w:sz w:val="28"/>
          <w:szCs w:val="28"/>
          <w:highlight w:val="none"/>
        </w:rPr>
      </w:pPr>
    </w:p>
    <w:p>
      <w:pPr>
        <w:wordWrap w:val="0"/>
        <w:spacing w:line="360" w:lineRule="auto"/>
        <w:rPr>
          <w:rFonts w:hint="eastAsia" w:ascii="宋体" w:hAnsi="宋体" w:eastAsia="宋体" w:cs="宋体"/>
          <w:color w:val="auto"/>
          <w:sz w:val="28"/>
          <w:szCs w:val="28"/>
          <w:highlight w:val="none"/>
        </w:rPr>
      </w:pPr>
    </w:p>
    <w:p>
      <w:pPr>
        <w:wordWrap w:val="0"/>
        <w:spacing w:line="360" w:lineRule="auto"/>
        <w:rPr>
          <w:rFonts w:hint="eastAsia" w:ascii="宋体" w:hAnsi="宋体" w:eastAsia="宋体" w:cs="宋体"/>
          <w:color w:val="auto"/>
          <w:sz w:val="28"/>
          <w:szCs w:val="28"/>
          <w:highlight w:val="none"/>
        </w:rPr>
      </w:pPr>
    </w:p>
    <w:p>
      <w:pPr>
        <w:wordWrap w:val="0"/>
        <w:spacing w:line="360" w:lineRule="auto"/>
        <w:rPr>
          <w:rFonts w:hint="eastAsia" w:ascii="宋体" w:hAnsi="宋体" w:eastAsia="宋体" w:cs="宋体"/>
          <w:color w:val="auto"/>
          <w:sz w:val="28"/>
          <w:szCs w:val="28"/>
          <w:highlight w:val="none"/>
        </w:rPr>
      </w:pPr>
    </w:p>
    <w:p>
      <w:pPr>
        <w:wordWrap w:val="0"/>
        <w:spacing w:line="360" w:lineRule="auto"/>
        <w:ind w:firstLine="1960" w:firstLineChars="7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供应商：</w:t>
      </w:r>
      <w:r>
        <w:rPr>
          <w:rFonts w:hint="eastAsia" w:ascii="宋体" w:hAnsi="宋体" w:eastAsia="宋体" w:cs="宋体"/>
          <w:color w:val="auto"/>
          <w:kern w:val="0"/>
          <w:sz w:val="28"/>
          <w:szCs w:val="28"/>
          <w:highlight w:val="none"/>
        </w:rPr>
        <w:t>（供应商签章）</w:t>
      </w:r>
    </w:p>
    <w:p>
      <w:pPr>
        <w:wordWrap w:val="0"/>
        <w:spacing w:line="360" w:lineRule="auto"/>
        <w:ind w:firstLine="1968" w:firstLineChars="700"/>
        <w:rPr>
          <w:rFonts w:hint="eastAsia" w:ascii="宋体" w:hAnsi="宋体" w:eastAsia="宋体" w:cs="宋体"/>
          <w:b/>
          <w:color w:val="auto"/>
          <w:sz w:val="28"/>
          <w:szCs w:val="28"/>
          <w:highlight w:val="none"/>
          <w:u w:val="single"/>
        </w:rPr>
      </w:pPr>
    </w:p>
    <w:p>
      <w:pPr>
        <w:wordWrap w:val="0"/>
        <w:spacing w:line="360" w:lineRule="auto"/>
        <w:jc w:val="center"/>
        <w:rPr>
          <w:rFonts w:hint="eastAsia" w:ascii="宋体" w:hAnsi="宋体" w:eastAsia="宋体" w:cs="宋体"/>
          <w:color w:val="auto"/>
          <w:highlight w:val="none"/>
        </w:rPr>
      </w:pPr>
      <w:r>
        <w:rPr>
          <w:rFonts w:hint="eastAsia" w:ascii="宋体" w:hAnsi="宋体" w:eastAsia="宋体" w:cs="宋体"/>
          <w:color w:val="auto"/>
          <w:sz w:val="28"/>
          <w:szCs w:val="28"/>
          <w:highlight w:val="none"/>
        </w:rPr>
        <w:t>年   月   日</w:t>
      </w:r>
    </w:p>
    <w:p>
      <w:pPr>
        <w:pStyle w:val="25"/>
        <w:spacing w:line="360" w:lineRule="auto"/>
        <w:ind w:firstLine="0" w:firstLineChars="0"/>
        <w:jc w:val="center"/>
        <w:rPr>
          <w:rFonts w:hint="eastAsia" w:ascii="宋体" w:hAnsi="宋体" w:eastAsia="宋体" w:cs="宋体"/>
          <w:color w:val="auto"/>
          <w:highlight w:val="none"/>
        </w:rPr>
      </w:pPr>
    </w:p>
    <w:p>
      <w:pPr>
        <w:pStyle w:val="25"/>
        <w:spacing w:line="360" w:lineRule="auto"/>
        <w:ind w:firstLine="0" w:firstLineChars="0"/>
        <w:jc w:val="center"/>
        <w:rPr>
          <w:rFonts w:hint="eastAsia" w:ascii="宋体" w:hAnsi="宋体" w:eastAsia="宋体" w:cs="宋体"/>
          <w:color w:val="auto"/>
          <w:highlight w:val="none"/>
        </w:rPr>
      </w:pPr>
    </w:p>
    <w:p>
      <w:pPr>
        <w:pStyle w:val="25"/>
        <w:spacing w:line="360" w:lineRule="auto"/>
        <w:ind w:firstLine="0" w:firstLineChars="0"/>
        <w:jc w:val="center"/>
        <w:rPr>
          <w:rFonts w:hint="eastAsia" w:ascii="宋体" w:hAnsi="宋体" w:eastAsia="宋体" w:cs="宋体"/>
          <w:color w:val="auto"/>
          <w:highlight w:val="none"/>
        </w:rPr>
      </w:pPr>
    </w:p>
    <w:p>
      <w:pPr>
        <w:pStyle w:val="25"/>
        <w:spacing w:line="360" w:lineRule="auto"/>
        <w:ind w:firstLine="0" w:firstLineChars="0"/>
        <w:jc w:val="center"/>
        <w:rPr>
          <w:rFonts w:hint="eastAsia" w:ascii="宋体" w:hAnsi="宋体" w:eastAsia="宋体" w:cs="宋体"/>
          <w:color w:val="auto"/>
          <w:highlight w:val="none"/>
        </w:rPr>
      </w:pPr>
    </w:p>
    <w:p>
      <w:pPr>
        <w:pStyle w:val="25"/>
        <w:spacing w:line="360" w:lineRule="auto"/>
        <w:ind w:firstLine="0" w:firstLineChars="0"/>
        <w:jc w:val="center"/>
        <w:rPr>
          <w:rFonts w:hint="eastAsia" w:ascii="宋体" w:hAnsi="宋体" w:eastAsia="宋体" w:cs="宋体"/>
          <w:color w:val="auto"/>
          <w:highlight w:val="none"/>
        </w:rPr>
      </w:pPr>
      <w:r>
        <w:rPr>
          <w:rFonts w:hint="eastAsia" w:ascii="宋体" w:hAnsi="宋体" w:eastAsia="宋体" w:cs="宋体"/>
          <w:color w:val="auto"/>
          <w:highlight w:val="none"/>
        </w:rPr>
        <w:t>目　　录</w:t>
      </w:r>
    </w:p>
    <w:p>
      <w:pPr>
        <w:pStyle w:val="25"/>
        <w:spacing w:line="360" w:lineRule="auto"/>
        <w:ind w:firstLine="0" w:firstLineChars="0"/>
        <w:jc w:val="center"/>
        <w:rPr>
          <w:rFonts w:hint="eastAsia" w:ascii="宋体" w:hAnsi="宋体" w:eastAsia="宋体" w:cs="宋体"/>
          <w:color w:val="auto"/>
          <w:highlight w:val="none"/>
        </w:rPr>
      </w:pP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一、资格、技术商务部分</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1、需要提供的资质证明文件</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2、磋商响应授权书</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3、磋商响应函</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4、项目实施方案</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5、履行合同所必需的设备专业技术能力证明文件</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6、售后服务</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7、业绩证明材料</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8、磋商文件要求的其他材料</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二、报价部分</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1、报价表</w:t>
      </w:r>
    </w:p>
    <w:p>
      <w:pPr>
        <w:pStyle w:val="25"/>
        <w:wordWrap w:val="0"/>
        <w:spacing w:line="360" w:lineRule="auto"/>
        <w:ind w:firstLine="0" w:firstLineChars="0"/>
        <w:rPr>
          <w:rFonts w:hint="eastAsia" w:ascii="宋体" w:hAnsi="宋体" w:eastAsia="宋体" w:cs="宋体"/>
          <w:b w:val="0"/>
          <w:color w:val="auto"/>
          <w:highlight w:val="none"/>
        </w:rPr>
      </w:pPr>
    </w:p>
    <w:p>
      <w:pPr>
        <w:pStyle w:val="25"/>
        <w:wordWrap w:val="0"/>
        <w:spacing w:line="360" w:lineRule="auto"/>
        <w:ind w:firstLine="0" w:firstLineChars="0"/>
        <w:rPr>
          <w:rFonts w:hint="eastAsia" w:ascii="宋体" w:hAnsi="宋体" w:eastAsia="宋体" w:cs="宋体"/>
          <w:b w:val="0"/>
          <w:color w:val="auto"/>
          <w:highlight w:val="none"/>
        </w:rPr>
      </w:pPr>
    </w:p>
    <w:p>
      <w:pPr>
        <w:pStyle w:val="25"/>
        <w:wordWrap w:val="0"/>
        <w:spacing w:line="360" w:lineRule="auto"/>
        <w:ind w:firstLine="0" w:firstLineChars="0"/>
        <w:rPr>
          <w:rFonts w:hint="eastAsia" w:ascii="宋体" w:hAnsi="宋体" w:eastAsia="宋体" w:cs="宋体"/>
          <w:b w:val="0"/>
          <w:color w:val="auto"/>
          <w:highlight w:val="none"/>
        </w:rPr>
      </w:pPr>
    </w:p>
    <w:p>
      <w:pPr>
        <w:pStyle w:val="25"/>
        <w:wordWrap w:val="0"/>
        <w:spacing w:line="360" w:lineRule="auto"/>
        <w:ind w:firstLine="0" w:firstLineChars="0"/>
        <w:rPr>
          <w:rFonts w:hint="eastAsia" w:ascii="宋体" w:hAnsi="宋体" w:eastAsia="宋体" w:cs="宋体"/>
          <w:b w:val="0"/>
          <w:color w:val="auto"/>
          <w:highlight w:val="none"/>
        </w:rPr>
      </w:pPr>
    </w:p>
    <w:p>
      <w:pPr>
        <w:pStyle w:val="25"/>
        <w:wordWrap w:val="0"/>
        <w:spacing w:line="360" w:lineRule="auto"/>
        <w:ind w:firstLine="0" w:firstLineChars="0"/>
        <w:rPr>
          <w:rFonts w:hint="eastAsia" w:ascii="宋体" w:hAnsi="宋体" w:eastAsia="宋体" w:cs="宋体"/>
          <w:b w:val="0"/>
          <w:color w:val="auto"/>
          <w:highlight w:val="none"/>
        </w:rPr>
      </w:pPr>
    </w:p>
    <w:p>
      <w:pPr>
        <w:pStyle w:val="25"/>
        <w:wordWrap w:val="0"/>
        <w:spacing w:line="360" w:lineRule="auto"/>
        <w:ind w:firstLine="0" w:firstLineChars="0"/>
        <w:rPr>
          <w:rFonts w:hint="eastAsia" w:ascii="宋体" w:hAnsi="宋体" w:eastAsia="宋体" w:cs="宋体"/>
          <w:b w:val="0"/>
          <w:color w:val="auto"/>
          <w:highlight w:val="none"/>
        </w:rPr>
      </w:pPr>
    </w:p>
    <w:p>
      <w:pPr>
        <w:pStyle w:val="25"/>
        <w:wordWrap w:val="0"/>
        <w:spacing w:line="360" w:lineRule="auto"/>
        <w:ind w:firstLine="0" w:firstLineChars="0"/>
        <w:rPr>
          <w:rFonts w:hint="eastAsia" w:ascii="宋体" w:hAnsi="宋体" w:eastAsia="宋体" w:cs="宋体"/>
          <w:b w:val="0"/>
          <w:color w:val="auto"/>
          <w:highlight w:val="none"/>
        </w:rPr>
      </w:pPr>
    </w:p>
    <w:p>
      <w:pPr>
        <w:pStyle w:val="25"/>
        <w:wordWrap w:val="0"/>
        <w:spacing w:line="360" w:lineRule="auto"/>
        <w:ind w:firstLine="0" w:firstLineChars="0"/>
        <w:rPr>
          <w:rFonts w:hint="eastAsia" w:ascii="宋体" w:hAnsi="宋体" w:eastAsia="宋体" w:cs="宋体"/>
          <w:b w:val="0"/>
          <w:color w:val="auto"/>
          <w:highlight w:val="none"/>
        </w:rPr>
      </w:pPr>
    </w:p>
    <w:p>
      <w:pPr>
        <w:pStyle w:val="25"/>
        <w:spacing w:line="360" w:lineRule="auto"/>
        <w:ind w:firstLine="0" w:firstLineChars="0"/>
        <w:jc w:val="both"/>
        <w:rPr>
          <w:rFonts w:hint="eastAsia" w:ascii="宋体" w:hAnsi="宋体" w:eastAsia="宋体" w:cs="宋体"/>
          <w:color w:val="auto"/>
          <w:highlight w:val="none"/>
        </w:rPr>
      </w:pPr>
    </w:p>
    <w:p>
      <w:pPr>
        <w:pStyle w:val="25"/>
        <w:spacing w:line="360" w:lineRule="auto"/>
        <w:ind w:firstLine="0" w:firstLineChars="0"/>
        <w:jc w:val="center"/>
        <w:rPr>
          <w:rFonts w:hint="eastAsia" w:ascii="宋体" w:hAnsi="宋体" w:eastAsia="宋体" w:cs="宋体"/>
          <w:color w:val="auto"/>
          <w:highlight w:val="none"/>
        </w:rPr>
      </w:pPr>
      <w:r>
        <w:rPr>
          <w:rFonts w:hint="eastAsia" w:ascii="宋体" w:hAnsi="宋体" w:eastAsia="宋体" w:cs="宋体"/>
          <w:color w:val="auto"/>
          <w:highlight w:val="none"/>
        </w:rPr>
        <w:t>一、资格、技术商务部分</w:t>
      </w:r>
    </w:p>
    <w:p>
      <w:pPr>
        <w:pStyle w:val="25"/>
        <w:spacing w:line="360" w:lineRule="auto"/>
        <w:ind w:firstLine="0" w:firstLineChars="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1、需要提供的资质证明文件（复印件）</w:t>
      </w:r>
    </w:p>
    <w:p>
      <w:pPr>
        <w:spacing w:line="360" w:lineRule="auto"/>
        <w:ind w:firstLine="480" w:firstLineChars="200"/>
        <w:rPr>
          <w:rFonts w:hint="eastAsia" w:ascii="宋体" w:hAnsi="宋体" w:eastAsia="宋体" w:cs="宋体"/>
          <w:color w:val="auto"/>
          <w:sz w:val="24"/>
          <w:szCs w:val="24"/>
          <w:highlight w:val="none"/>
        </w:rPr>
      </w:pPr>
    </w:p>
    <w:p>
      <w:pPr>
        <w:pStyle w:val="2"/>
        <w:rPr>
          <w:rFonts w:hint="eastAsia"/>
        </w:rPr>
      </w:pP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2、磋商响应授权书</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 xml:space="preserve">         （采购单位名称）</w:t>
      </w:r>
      <w:r>
        <w:rPr>
          <w:rFonts w:hint="eastAsia" w:ascii="宋体" w:hAnsi="宋体" w:eastAsia="宋体" w:cs="宋体"/>
          <w:color w:val="auto"/>
          <w:sz w:val="24"/>
          <w:szCs w:val="24"/>
          <w:highlight w:val="none"/>
        </w:rPr>
        <w:t>：</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本授权书声明：</w:t>
      </w:r>
      <w:r>
        <w:rPr>
          <w:rFonts w:hint="eastAsia" w:ascii="宋体" w:hAnsi="宋体" w:eastAsia="宋体" w:cs="宋体"/>
          <w:color w:val="auto"/>
          <w:sz w:val="24"/>
          <w:szCs w:val="24"/>
          <w:highlight w:val="none"/>
          <w:u w:val="single"/>
        </w:rPr>
        <w:t xml:space="preserve">           （磋商响应人名称）</w:t>
      </w:r>
      <w:r>
        <w:rPr>
          <w:rFonts w:hint="eastAsia" w:ascii="宋体" w:hAnsi="宋体" w:eastAsia="宋体" w:cs="宋体"/>
          <w:color w:val="auto"/>
          <w:sz w:val="24"/>
          <w:szCs w:val="24"/>
          <w:highlight w:val="none"/>
        </w:rPr>
        <w:t>授权本单位</w:t>
      </w:r>
      <w:r>
        <w:rPr>
          <w:rFonts w:hint="eastAsia" w:ascii="宋体" w:hAnsi="宋体" w:eastAsia="宋体" w:cs="宋体"/>
          <w:color w:val="auto"/>
          <w:sz w:val="24"/>
          <w:szCs w:val="24"/>
          <w:highlight w:val="none"/>
          <w:u w:val="single"/>
        </w:rPr>
        <w:t xml:space="preserve">         （磋商响应人授权代表姓名、职务）</w:t>
      </w:r>
      <w:r>
        <w:rPr>
          <w:rFonts w:hint="eastAsia" w:ascii="宋体" w:hAnsi="宋体" w:eastAsia="宋体" w:cs="宋体"/>
          <w:color w:val="auto"/>
          <w:sz w:val="24"/>
          <w:szCs w:val="24"/>
          <w:highlight w:val="none"/>
        </w:rPr>
        <w:t>代表本单位参加</w:t>
      </w:r>
      <w:r>
        <w:rPr>
          <w:rFonts w:hint="eastAsia" w:ascii="宋体" w:hAnsi="宋体" w:eastAsia="宋体" w:cs="宋体"/>
          <w:color w:val="auto"/>
          <w:sz w:val="24"/>
          <w:szCs w:val="24"/>
          <w:highlight w:val="none"/>
          <w:u w:val="single"/>
        </w:rPr>
        <w:t xml:space="preserve">             （项目全称）</w:t>
      </w:r>
      <w:r>
        <w:rPr>
          <w:rFonts w:hint="eastAsia" w:ascii="宋体" w:hAnsi="宋体" w:eastAsia="宋体" w:cs="宋体"/>
          <w:color w:val="auto"/>
          <w:sz w:val="24"/>
          <w:szCs w:val="24"/>
          <w:highlight w:val="none"/>
        </w:rPr>
        <w:t>项目磋商响应活动,全权代表本公司处理磋商响应过程的一切事宜，包括但不限于：磋商响应、参与开标、谈判、合同签署、合同执行等。磋商响应人授权代表在磋商响应过程中所签署的一切文件和处理与之有关的一切事务，本公司均予以认可并对此承担责任。磋商响应人授权代表无转委托权。特此授权。</w:t>
      </w: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本授权书自出具之日起生效。</w:t>
      </w:r>
    </w:p>
    <w:p>
      <w:pPr>
        <w:spacing w:line="360" w:lineRule="auto"/>
        <w:ind w:firstLine="482" w:firstLineChars="200"/>
        <w:rPr>
          <w:rFonts w:hint="eastAsia" w:ascii="宋体" w:hAnsi="宋体" w:eastAsia="宋体" w:cs="宋体"/>
          <w:b/>
          <w:bCs/>
          <w:color w:val="auto"/>
          <w:sz w:val="24"/>
          <w:szCs w:val="24"/>
          <w:highlight w:val="none"/>
        </w:rPr>
      </w:pP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特此声明。</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                                   </w:t>
      </w:r>
    </w:p>
    <w:p>
      <w:pPr>
        <w:spacing w:line="360" w:lineRule="auto"/>
        <w:ind w:firstLine="420" w:firstLineChars="200"/>
        <w:rPr>
          <w:rFonts w:hint="eastAsia" w:ascii="宋体" w:hAnsi="宋体" w:eastAsia="宋体" w:cs="宋体"/>
          <w:color w:val="auto"/>
          <w:highlight w:val="none"/>
        </w:rPr>
      </w:pPr>
    </w:p>
    <w:p>
      <w:pPr>
        <w:spacing w:line="360" w:lineRule="auto"/>
        <w:ind w:firstLine="420" w:firstLineChars="200"/>
        <w:rPr>
          <w:rFonts w:hint="eastAsia" w:ascii="宋体" w:hAnsi="宋体" w:eastAsia="宋体" w:cs="宋体"/>
          <w:color w:val="auto"/>
          <w:highlight w:val="none"/>
        </w:rPr>
      </w:pPr>
    </w:p>
    <w:p>
      <w:pPr>
        <w:spacing w:line="360" w:lineRule="auto"/>
        <w:ind w:firstLine="6240" w:firstLineChars="26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磋商响应人签章：</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日    期：</w:t>
      </w:r>
    </w:p>
    <w:p>
      <w:pPr>
        <w:pStyle w:val="25"/>
        <w:spacing w:line="360" w:lineRule="auto"/>
        <w:ind w:left="0" w:leftChars="0" w:firstLine="0" w:firstLineChars="0"/>
        <w:rPr>
          <w:rFonts w:hint="eastAsia" w:ascii="宋体" w:hAnsi="宋体" w:eastAsia="宋体" w:cs="宋体"/>
          <w:color w:val="auto"/>
          <w:highlight w:val="none"/>
        </w:rPr>
      </w:pPr>
    </w:p>
    <w:p>
      <w:pPr>
        <w:pStyle w:val="25"/>
        <w:spacing w:line="360" w:lineRule="auto"/>
        <w:ind w:left="0" w:leftChars="0" w:firstLine="0" w:firstLineChars="0"/>
        <w:rPr>
          <w:rFonts w:hint="eastAsia" w:ascii="宋体" w:hAnsi="宋体" w:eastAsia="宋体" w:cs="宋体"/>
          <w:color w:val="auto"/>
          <w:highlight w:val="none"/>
        </w:rPr>
      </w:pPr>
    </w:p>
    <w:p>
      <w:pPr>
        <w:pStyle w:val="25"/>
        <w:spacing w:line="360" w:lineRule="auto"/>
        <w:ind w:left="0" w:leftChars="0" w:firstLine="0" w:firstLineChars="0"/>
        <w:rPr>
          <w:rFonts w:hint="eastAsia" w:ascii="宋体" w:hAnsi="宋体" w:eastAsia="宋体" w:cs="宋体"/>
          <w:color w:val="auto"/>
          <w:highlight w:val="none"/>
        </w:rPr>
      </w:pPr>
    </w:p>
    <w:p>
      <w:pPr>
        <w:pStyle w:val="25"/>
        <w:numPr>
          <w:ilvl w:val="0"/>
          <w:numId w:val="0"/>
        </w:numPr>
        <w:spacing w:line="360" w:lineRule="auto"/>
        <w:jc w:val="center"/>
        <w:rPr>
          <w:rFonts w:hint="eastAsia" w:ascii="宋体" w:hAnsi="宋体" w:eastAsia="宋体" w:cs="宋体"/>
          <w:color w:val="auto"/>
          <w:highlight w:val="none"/>
        </w:rPr>
      </w:pPr>
      <w:r>
        <w:rPr>
          <w:rFonts w:hint="eastAsia" w:ascii="宋体" w:hAnsi="宋体" w:cs="宋体"/>
          <w:color w:val="auto"/>
          <w:highlight w:val="none"/>
          <w:lang w:val="en-US" w:eastAsia="zh-CN"/>
        </w:rPr>
        <w:t>3、</w:t>
      </w:r>
      <w:r>
        <w:rPr>
          <w:rFonts w:hint="eastAsia" w:ascii="宋体" w:hAnsi="宋体" w:eastAsia="宋体" w:cs="宋体"/>
          <w:color w:val="auto"/>
          <w:highlight w:val="none"/>
        </w:rPr>
        <w:t>磋商响应函格式</w:t>
      </w:r>
    </w:p>
    <w:p>
      <w:pPr>
        <w:pStyle w:val="25"/>
        <w:spacing w:line="360" w:lineRule="auto"/>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致</w:t>
      </w:r>
      <w:r>
        <w:rPr>
          <w:rFonts w:hint="eastAsia" w:ascii="宋体" w:hAnsi="宋体" w:eastAsia="宋体" w:cs="宋体"/>
          <w:b w:val="0"/>
          <w:bCs w:val="0"/>
          <w:color w:val="auto"/>
          <w:sz w:val="24"/>
          <w:szCs w:val="24"/>
          <w:highlight w:val="none"/>
          <w:u w:val="single"/>
        </w:rPr>
        <w:t xml:space="preserve">         </w:t>
      </w:r>
      <w:r>
        <w:rPr>
          <w:rFonts w:hint="eastAsia" w:ascii="宋体" w:hAnsi="宋体" w:eastAsia="宋体" w:cs="宋体"/>
          <w:b w:val="0"/>
          <w:bCs w:val="0"/>
          <w:color w:val="auto"/>
          <w:sz w:val="24"/>
          <w:szCs w:val="24"/>
          <w:highlight w:val="none"/>
        </w:rPr>
        <w:t>（采购单位名称）：</w:t>
      </w:r>
    </w:p>
    <w:p>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1、根据贵方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eastAsia="zh-CN"/>
        </w:rPr>
        <w:t>竞争性磋商公告</w:t>
      </w:r>
      <w:r>
        <w:rPr>
          <w:rFonts w:hint="eastAsia" w:ascii="宋体" w:hAnsi="宋体" w:eastAsia="宋体" w:cs="宋体"/>
          <w:color w:val="auto"/>
          <w:sz w:val="24"/>
          <w:szCs w:val="24"/>
          <w:highlight w:val="none"/>
        </w:rPr>
        <w:t>，我们决定参加贵方组织的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项目的竞争性磋商采购活动。我方授权</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(姓名和职务)代表我方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（磋商响应单位的名称）全权处理本项目磋商响应的有关事宜。</w:t>
      </w:r>
    </w:p>
    <w:p>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我方完全满足《中华人民共和国政府采购法》第二十二条的全部要求，即具有良好的商业信誉和健全的财务会计制度、履行合同所必需的设备和专业技术能力、有依法缴纳税收和社会保障资金的良好记录、近三年内在经营活动中无重大违法记录；上述承诺若有虚假，同意按政府采购法第七十七条处理。</w:t>
      </w:r>
    </w:p>
    <w:p>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至投标截止日，我方、包括我方法定代表人____________近三年内均未被人民检察院列入行贿犯罪档案；投标截止时间前，我单位未被人民法院列入失信被执行人、未被工商行政管理部门列入企业经营异常名录、未被税务部门列入重大税收违法案件当事人名单、未被政府采购监管部门列入政府采购严重违法失信行为记录名单。上述承诺若有虚假，同意按政府采购法第七十七条接受处理。</w:t>
      </w:r>
    </w:p>
    <w:p>
      <w:pPr>
        <w:wordWrap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4、至投标截止日，我方未被铜陵市公共资源交易监管部门记录的不良行为累计分值在 10 分（含）-15 分（不含），且最近一次不良行为记录公布日距开标日未超过 3 个月；</w:t>
      </w:r>
    </w:p>
    <w:p>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5、至投标截止日，我方未被铜陵市公共资源交易监管部门记不良行为记录累计分值在 15 分（含）-20 分（不含），且最近一次不良行为记录公布日距开标日未超过 6 个月；</w:t>
      </w:r>
    </w:p>
    <w:p>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6、至投标截止日，我方未被铜陵市公共资源交易监管部门记不良行为记录累计分值达 20 分（含）以上，且最近一次不良行为记录公布日距开标日未超过 12 个月。</w:t>
      </w:r>
    </w:p>
    <w:p>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、我方愿意按照采购文件规定的各项要求，向采购人提供所需的货物与服务。</w:t>
      </w:r>
    </w:p>
    <w:p>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、一旦我方中标，我方将严格履行合同规定的责任和义务。</w:t>
      </w:r>
    </w:p>
    <w:p>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、我方同意按照</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文件的要求，向贵方递交投标保证金。并且承诺，在投标有效期内如果我方撤回投标书或中标后拒绝签订合同，我方将放弃要求贵方退还该投标保证金的权力。</w:t>
      </w:r>
    </w:p>
    <w:p>
      <w:pPr>
        <w:tabs>
          <w:tab w:val="left" w:pos="840"/>
        </w:tabs>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、我方愿意提供贵方可能另外要求的、与磋商响应有关的文件资料，并保证我方已提供和将要提供的文件是真实的、准确的。</w:t>
      </w:r>
    </w:p>
    <w:p>
      <w:pPr>
        <w:tabs>
          <w:tab w:val="left" w:pos="0"/>
          <w:tab w:val="left" w:pos="840"/>
        </w:tabs>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11</w:t>
      </w:r>
      <w:r>
        <w:rPr>
          <w:rFonts w:hint="eastAsia" w:ascii="宋体" w:hAnsi="宋体" w:eastAsia="宋体" w:cs="宋体"/>
          <w:color w:val="auto"/>
          <w:sz w:val="24"/>
          <w:szCs w:val="24"/>
          <w:highlight w:val="none"/>
        </w:rPr>
        <w:t>、我方完全理解贵方不一定将合同授予最低报价（折扣）的供应商。</w:t>
      </w:r>
    </w:p>
    <w:p>
      <w:pPr>
        <w:tabs>
          <w:tab w:val="left" w:pos="0"/>
          <w:tab w:val="left" w:pos="840"/>
        </w:tabs>
        <w:wordWrap w:val="0"/>
        <w:spacing w:line="360" w:lineRule="auto"/>
        <w:rPr>
          <w:rFonts w:hint="eastAsia" w:ascii="宋体" w:hAnsi="宋体" w:eastAsia="宋体" w:cs="宋体"/>
          <w:color w:val="auto"/>
          <w:sz w:val="24"/>
          <w:szCs w:val="24"/>
          <w:highlight w:val="none"/>
        </w:rPr>
      </w:pPr>
    </w:p>
    <w:p>
      <w:pPr>
        <w:pStyle w:val="8"/>
        <w:rPr>
          <w:rFonts w:hint="eastAsia"/>
          <w:color w:val="auto"/>
        </w:rPr>
      </w:pPr>
    </w:p>
    <w:p>
      <w:pPr>
        <w:pStyle w:val="25"/>
        <w:spacing w:line="360" w:lineRule="auto"/>
        <w:ind w:right="980" w:firstLine="422"/>
        <w:jc w:val="center"/>
        <w:rPr>
          <w:rFonts w:hint="eastAsia" w:ascii="宋体" w:hAnsi="宋体" w:eastAsia="宋体" w:cs="宋体"/>
          <w:color w:val="auto"/>
          <w:sz w:val="24"/>
          <w:szCs w:val="24"/>
          <w:highlight w:val="none"/>
        </w:rPr>
      </w:pPr>
      <w:bookmarkStart w:id="13" w:name="_Toc393705366"/>
      <w:bookmarkStart w:id="14" w:name="_Toc400805871"/>
      <w:r>
        <w:rPr>
          <w:rFonts w:hint="eastAsia" w:ascii="宋体" w:hAnsi="宋体" w:eastAsia="宋体" w:cs="宋体"/>
          <w:color w:val="auto"/>
          <w:sz w:val="24"/>
          <w:szCs w:val="24"/>
          <w:highlight w:val="none"/>
        </w:rPr>
        <w:t xml:space="preserve">                                             供应商</w:t>
      </w:r>
      <w:r>
        <w:rPr>
          <w:rFonts w:hint="eastAsia" w:ascii="宋体" w:hAnsi="宋体" w:cs="宋体"/>
          <w:color w:val="auto"/>
          <w:sz w:val="24"/>
          <w:szCs w:val="24"/>
          <w:highlight w:val="none"/>
          <w:lang w:val="en-US" w:eastAsia="zh-CN"/>
        </w:rPr>
        <w:t>盖</w:t>
      </w:r>
      <w:r>
        <w:rPr>
          <w:rFonts w:hint="eastAsia" w:ascii="宋体" w:hAnsi="宋体" w:eastAsia="宋体" w:cs="宋体"/>
          <w:color w:val="auto"/>
          <w:sz w:val="24"/>
          <w:szCs w:val="24"/>
          <w:highlight w:val="none"/>
        </w:rPr>
        <w:t>章：</w:t>
      </w:r>
    </w:p>
    <w:p>
      <w:pPr>
        <w:pStyle w:val="25"/>
        <w:spacing w:line="360" w:lineRule="auto"/>
        <w:ind w:right="980" w:firstLine="422"/>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日    期：</w:t>
      </w:r>
    </w:p>
    <w:p>
      <w:pPr>
        <w:pStyle w:val="25"/>
        <w:spacing w:line="360" w:lineRule="auto"/>
        <w:ind w:firstLine="0" w:firstLineChars="0"/>
        <w:rPr>
          <w:rFonts w:hint="eastAsia" w:ascii="宋体" w:hAnsi="宋体" w:eastAsia="宋体" w:cs="宋体"/>
          <w:color w:val="auto"/>
          <w:sz w:val="24"/>
          <w:szCs w:val="24"/>
          <w:highlight w:val="none"/>
        </w:rPr>
      </w:pPr>
    </w:p>
    <w:p>
      <w:pPr>
        <w:pStyle w:val="25"/>
        <w:spacing w:line="360" w:lineRule="auto"/>
        <w:ind w:firstLine="0" w:firstLineChars="0"/>
        <w:rPr>
          <w:rFonts w:hint="eastAsia" w:ascii="宋体" w:hAnsi="宋体" w:eastAsia="宋体" w:cs="宋体"/>
          <w:color w:val="auto"/>
          <w:sz w:val="24"/>
          <w:szCs w:val="24"/>
          <w:highlight w:val="none"/>
        </w:rPr>
      </w:pPr>
    </w:p>
    <w:p>
      <w:pPr>
        <w:pStyle w:val="25"/>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4、项目实施方案</w:t>
      </w:r>
      <w:bookmarkEnd w:id="13"/>
      <w:bookmarkEnd w:id="14"/>
    </w:p>
    <w:p>
      <w:pPr>
        <w:autoSpaceDN w:val="0"/>
        <w:spacing w:after="156"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（一）供应商简介</w:t>
      </w:r>
    </w:p>
    <w:p>
      <w:pPr>
        <w:autoSpaceDN w:val="0"/>
        <w:spacing w:after="156" w:line="360" w:lineRule="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（二）项目实施方案</w:t>
      </w:r>
    </w:p>
    <w:p>
      <w:pPr>
        <w:pStyle w:val="25"/>
        <w:spacing w:line="360" w:lineRule="auto"/>
        <w:ind w:firstLine="0" w:firstLineChars="0"/>
        <w:rPr>
          <w:rFonts w:hint="eastAsia" w:ascii="宋体" w:hAnsi="宋体" w:eastAsia="宋体" w:cs="宋体"/>
          <w:color w:val="auto"/>
          <w:sz w:val="24"/>
          <w:szCs w:val="24"/>
          <w:highlight w:val="none"/>
        </w:rPr>
      </w:pPr>
      <w:bookmarkStart w:id="15" w:name="_Toc393705367"/>
      <w:bookmarkStart w:id="16" w:name="_Toc400805872"/>
      <w:r>
        <w:rPr>
          <w:rFonts w:hint="eastAsia" w:ascii="宋体" w:hAnsi="宋体" w:eastAsia="宋体" w:cs="宋体"/>
          <w:color w:val="auto"/>
          <w:sz w:val="24"/>
          <w:szCs w:val="24"/>
          <w:highlight w:val="none"/>
        </w:rPr>
        <w:t>5、履行合同所必需的设备专业技术能力证明</w:t>
      </w:r>
      <w:bookmarkEnd w:id="15"/>
      <w:bookmarkEnd w:id="16"/>
    </w:p>
    <w:p>
      <w:pPr>
        <w:wordWrap w:val="0"/>
        <w:spacing w:line="360" w:lineRule="auto"/>
        <w:jc w:val="center"/>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t>（1）服务本项目主要人员一览表</w:t>
      </w:r>
    </w:p>
    <w:tbl>
      <w:tblPr>
        <w:tblStyle w:val="12"/>
        <w:tblpPr w:leftFromText="180" w:rightFromText="180" w:vertAnchor="text" w:horzAnchor="page" w:tblpX="1282" w:tblpY="447"/>
        <w:tblOverlap w:val="never"/>
        <w:tblW w:w="9896"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29"/>
        <w:gridCol w:w="1081"/>
        <w:gridCol w:w="1081"/>
        <w:gridCol w:w="1781"/>
        <w:gridCol w:w="1102"/>
        <w:gridCol w:w="1622"/>
        <w:gridCol w:w="240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0" w:hRule="atLeast"/>
        </w:trPr>
        <w:tc>
          <w:tcPr>
            <w:tcW w:w="829" w:type="dxa"/>
            <w:vMerge w:val="restart"/>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类别</w:t>
            </w:r>
          </w:p>
        </w:tc>
        <w:tc>
          <w:tcPr>
            <w:tcW w:w="1081" w:type="dxa"/>
            <w:vMerge w:val="restart"/>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姓名</w:t>
            </w:r>
          </w:p>
        </w:tc>
        <w:tc>
          <w:tcPr>
            <w:tcW w:w="1081" w:type="dxa"/>
            <w:vMerge w:val="restart"/>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职务</w:t>
            </w:r>
          </w:p>
        </w:tc>
        <w:tc>
          <w:tcPr>
            <w:tcW w:w="1781" w:type="dxa"/>
            <w:vMerge w:val="restart"/>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职称或执业资格</w:t>
            </w:r>
          </w:p>
        </w:tc>
        <w:tc>
          <w:tcPr>
            <w:tcW w:w="1102" w:type="dxa"/>
            <w:vMerge w:val="restart"/>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身份证</w:t>
            </w:r>
          </w:p>
        </w:tc>
        <w:tc>
          <w:tcPr>
            <w:tcW w:w="4022" w:type="dxa"/>
            <w:gridSpan w:val="2"/>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证件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3" w:hRule="atLeast"/>
        </w:trPr>
        <w:tc>
          <w:tcPr>
            <w:tcW w:w="829" w:type="dxa"/>
            <w:vMerge w:val="continue"/>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p>
        </w:tc>
        <w:tc>
          <w:tcPr>
            <w:tcW w:w="1081" w:type="dxa"/>
            <w:vMerge w:val="continue"/>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p>
        </w:tc>
        <w:tc>
          <w:tcPr>
            <w:tcW w:w="1081" w:type="dxa"/>
            <w:vMerge w:val="continue"/>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p>
        </w:tc>
        <w:tc>
          <w:tcPr>
            <w:tcW w:w="1781" w:type="dxa"/>
            <w:vMerge w:val="continue"/>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p>
        </w:tc>
        <w:tc>
          <w:tcPr>
            <w:tcW w:w="1102" w:type="dxa"/>
            <w:vMerge w:val="continue"/>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p>
        </w:tc>
        <w:tc>
          <w:tcPr>
            <w:tcW w:w="1622" w:type="dxa"/>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名称</w:t>
            </w:r>
          </w:p>
        </w:tc>
        <w:tc>
          <w:tcPr>
            <w:tcW w:w="2400" w:type="dxa"/>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号码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2" w:hRule="atLeast"/>
        </w:trPr>
        <w:tc>
          <w:tcPr>
            <w:tcW w:w="829" w:type="dxa"/>
            <w:vMerge w:val="restart"/>
            <w:textDirection w:val="tbRlV"/>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项目负责人</w:t>
            </w:r>
          </w:p>
        </w:tc>
        <w:tc>
          <w:tcPr>
            <w:tcW w:w="1081" w:type="dxa"/>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p>
        </w:tc>
        <w:tc>
          <w:tcPr>
            <w:tcW w:w="1081" w:type="dxa"/>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p>
        </w:tc>
        <w:tc>
          <w:tcPr>
            <w:tcW w:w="1781" w:type="dxa"/>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p>
        </w:tc>
        <w:tc>
          <w:tcPr>
            <w:tcW w:w="1102" w:type="dxa"/>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p>
        </w:tc>
        <w:tc>
          <w:tcPr>
            <w:tcW w:w="1622" w:type="dxa"/>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p>
        </w:tc>
        <w:tc>
          <w:tcPr>
            <w:tcW w:w="2400" w:type="dxa"/>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2" w:hRule="atLeast"/>
        </w:trPr>
        <w:tc>
          <w:tcPr>
            <w:tcW w:w="829" w:type="dxa"/>
            <w:vMerge w:val="continue"/>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p>
        </w:tc>
        <w:tc>
          <w:tcPr>
            <w:tcW w:w="1081" w:type="dxa"/>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p>
        </w:tc>
        <w:tc>
          <w:tcPr>
            <w:tcW w:w="1081" w:type="dxa"/>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p>
        </w:tc>
        <w:tc>
          <w:tcPr>
            <w:tcW w:w="1781" w:type="dxa"/>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p>
        </w:tc>
        <w:tc>
          <w:tcPr>
            <w:tcW w:w="1102" w:type="dxa"/>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p>
        </w:tc>
        <w:tc>
          <w:tcPr>
            <w:tcW w:w="1622" w:type="dxa"/>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p>
        </w:tc>
        <w:tc>
          <w:tcPr>
            <w:tcW w:w="2400" w:type="dxa"/>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2" w:hRule="atLeast"/>
        </w:trPr>
        <w:tc>
          <w:tcPr>
            <w:tcW w:w="829" w:type="dxa"/>
            <w:vMerge w:val="restart"/>
            <w:textDirection w:val="tbRlV"/>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团队成员</w:t>
            </w:r>
          </w:p>
        </w:tc>
        <w:tc>
          <w:tcPr>
            <w:tcW w:w="1081" w:type="dxa"/>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p>
        </w:tc>
        <w:tc>
          <w:tcPr>
            <w:tcW w:w="1081" w:type="dxa"/>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p>
        </w:tc>
        <w:tc>
          <w:tcPr>
            <w:tcW w:w="1781" w:type="dxa"/>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p>
        </w:tc>
        <w:tc>
          <w:tcPr>
            <w:tcW w:w="1102" w:type="dxa"/>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p>
        </w:tc>
        <w:tc>
          <w:tcPr>
            <w:tcW w:w="1622" w:type="dxa"/>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p>
        </w:tc>
        <w:tc>
          <w:tcPr>
            <w:tcW w:w="2400" w:type="dxa"/>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2" w:hRule="atLeast"/>
        </w:trPr>
        <w:tc>
          <w:tcPr>
            <w:tcW w:w="829" w:type="dxa"/>
            <w:vMerge w:val="continue"/>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p>
        </w:tc>
        <w:tc>
          <w:tcPr>
            <w:tcW w:w="1081" w:type="dxa"/>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p>
        </w:tc>
        <w:tc>
          <w:tcPr>
            <w:tcW w:w="1081" w:type="dxa"/>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p>
        </w:tc>
        <w:tc>
          <w:tcPr>
            <w:tcW w:w="1781" w:type="dxa"/>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p>
        </w:tc>
        <w:tc>
          <w:tcPr>
            <w:tcW w:w="1102" w:type="dxa"/>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p>
        </w:tc>
        <w:tc>
          <w:tcPr>
            <w:tcW w:w="1622" w:type="dxa"/>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p>
        </w:tc>
        <w:tc>
          <w:tcPr>
            <w:tcW w:w="2400" w:type="dxa"/>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6" w:hRule="atLeast"/>
        </w:trPr>
        <w:tc>
          <w:tcPr>
            <w:tcW w:w="829" w:type="dxa"/>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其它</w:t>
            </w:r>
          </w:p>
        </w:tc>
        <w:tc>
          <w:tcPr>
            <w:tcW w:w="1081" w:type="dxa"/>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p>
        </w:tc>
        <w:tc>
          <w:tcPr>
            <w:tcW w:w="1081" w:type="dxa"/>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p>
        </w:tc>
        <w:tc>
          <w:tcPr>
            <w:tcW w:w="1781" w:type="dxa"/>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p>
        </w:tc>
        <w:tc>
          <w:tcPr>
            <w:tcW w:w="1102" w:type="dxa"/>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p>
        </w:tc>
        <w:tc>
          <w:tcPr>
            <w:tcW w:w="1622" w:type="dxa"/>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p>
        </w:tc>
        <w:tc>
          <w:tcPr>
            <w:tcW w:w="2400" w:type="dxa"/>
            <w:vAlign w:val="center"/>
          </w:tcPr>
          <w:p>
            <w:pPr>
              <w:keepNext w:val="0"/>
              <w:keepLines w:val="0"/>
              <w:suppressLineNumbers w:val="0"/>
              <w:wordWrap w:val="0"/>
              <w:spacing w:before="0" w:beforeAutospacing="0" w:after="0" w:afterAutospacing="0" w:line="360" w:lineRule="auto"/>
              <w:ind w:left="0" w:right="0"/>
              <w:jc w:val="center"/>
              <w:rPr>
                <w:rFonts w:hint="eastAsia" w:ascii="宋体" w:hAnsi="宋体" w:eastAsia="宋体" w:cs="宋体"/>
                <w:color w:val="auto"/>
                <w:szCs w:val="21"/>
                <w:highlight w:val="none"/>
              </w:rPr>
            </w:pPr>
          </w:p>
        </w:tc>
      </w:tr>
    </w:tbl>
    <w:p>
      <w:pPr>
        <w:wordWrap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注：证件应附复印件，供应商对其真实性负法律责任。</w:t>
      </w:r>
    </w:p>
    <w:p>
      <w:pPr>
        <w:pStyle w:val="25"/>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（2）其它证明。</w:t>
      </w:r>
    </w:p>
    <w:p>
      <w:pPr>
        <w:spacing w:line="440" w:lineRule="exact"/>
        <w:rPr>
          <w:rFonts w:hint="eastAsia" w:ascii="宋体" w:hAnsi="宋体" w:eastAsia="宋体" w:cs="宋体"/>
          <w:b/>
          <w:color w:val="auto"/>
          <w:sz w:val="28"/>
          <w:szCs w:val="28"/>
          <w:highlight w:val="none"/>
        </w:rPr>
      </w:pPr>
    </w:p>
    <w:p>
      <w:pPr>
        <w:spacing w:line="440" w:lineRule="exact"/>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rPr>
        <w:t>6、售后服务</w:t>
      </w:r>
    </w:p>
    <w:p>
      <w:pPr>
        <w:spacing w:line="440" w:lineRule="exact"/>
        <w:rPr>
          <w:rFonts w:hint="eastAsia" w:ascii="宋体" w:hAnsi="宋体" w:eastAsia="宋体" w:cs="宋体"/>
          <w:color w:val="auto"/>
          <w:szCs w:val="21"/>
          <w:highlight w:val="none"/>
        </w:rPr>
      </w:pPr>
    </w:p>
    <w:p>
      <w:pPr>
        <w:spacing w:line="540" w:lineRule="exact"/>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售后服务能力一览表</w:t>
      </w:r>
    </w:p>
    <w:tbl>
      <w:tblPr>
        <w:tblStyle w:val="12"/>
        <w:tblW w:w="92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5"/>
        <w:gridCol w:w="3061"/>
        <w:gridCol w:w="2883"/>
        <w:gridCol w:w="12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2045" w:type="dxa"/>
            <w:vAlign w:val="center"/>
          </w:tcPr>
          <w:p>
            <w:pPr>
              <w:keepNext w:val="0"/>
              <w:keepLines w:val="0"/>
              <w:suppressLineNumbers w:val="0"/>
              <w:spacing w:before="0" w:beforeAutospacing="0" w:after="0" w:afterAutospacing="0" w:line="400" w:lineRule="exact"/>
              <w:ind w:left="0" w:right="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详细地址</w:t>
            </w:r>
          </w:p>
        </w:tc>
        <w:tc>
          <w:tcPr>
            <w:tcW w:w="3061" w:type="dxa"/>
            <w:vAlign w:val="center"/>
          </w:tcPr>
          <w:p>
            <w:pPr>
              <w:keepNext w:val="0"/>
              <w:keepLines w:val="0"/>
              <w:suppressLineNumbers w:val="0"/>
              <w:spacing w:before="0" w:beforeAutospacing="0" w:after="0" w:afterAutospacing="0" w:line="400" w:lineRule="exact"/>
              <w:ind w:left="103" w:leftChars="49" w:right="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服务人员名单</w:t>
            </w:r>
          </w:p>
        </w:tc>
        <w:tc>
          <w:tcPr>
            <w:tcW w:w="2883" w:type="dxa"/>
            <w:vAlign w:val="center"/>
          </w:tcPr>
          <w:p>
            <w:pPr>
              <w:keepNext w:val="0"/>
              <w:keepLines w:val="0"/>
              <w:suppressLineNumbers w:val="0"/>
              <w:spacing w:before="0" w:beforeAutospacing="0" w:after="0" w:afterAutospacing="0" w:line="400" w:lineRule="exact"/>
              <w:ind w:left="0" w:right="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固定联系电话</w:t>
            </w:r>
          </w:p>
        </w:tc>
        <w:tc>
          <w:tcPr>
            <w:tcW w:w="1211" w:type="dxa"/>
            <w:vAlign w:val="center"/>
          </w:tcPr>
          <w:p>
            <w:pPr>
              <w:keepNext w:val="0"/>
              <w:keepLines w:val="0"/>
              <w:suppressLineNumbers w:val="0"/>
              <w:spacing w:before="0" w:beforeAutospacing="0" w:after="0" w:afterAutospacing="0" w:line="400" w:lineRule="exact"/>
              <w:ind w:left="0" w:right="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手机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2045" w:type="dxa"/>
            <w:vAlign w:val="center"/>
          </w:tcPr>
          <w:p>
            <w:pPr>
              <w:keepNext w:val="0"/>
              <w:keepLines w:val="0"/>
              <w:suppressLineNumbers w:val="0"/>
              <w:spacing w:before="0" w:beforeAutospacing="0" w:after="0" w:afterAutospacing="0" w:line="400" w:lineRule="exact"/>
              <w:ind w:left="0" w:right="0"/>
              <w:jc w:val="center"/>
              <w:rPr>
                <w:rFonts w:hint="eastAsia" w:ascii="宋体" w:hAnsi="宋体" w:eastAsia="宋体" w:cs="宋体"/>
                <w:color w:val="auto"/>
                <w:szCs w:val="21"/>
                <w:highlight w:val="none"/>
              </w:rPr>
            </w:pPr>
          </w:p>
        </w:tc>
        <w:tc>
          <w:tcPr>
            <w:tcW w:w="3061" w:type="dxa"/>
            <w:vAlign w:val="center"/>
          </w:tcPr>
          <w:p>
            <w:pPr>
              <w:keepNext w:val="0"/>
              <w:keepLines w:val="0"/>
              <w:suppressLineNumbers w:val="0"/>
              <w:spacing w:before="0" w:beforeAutospacing="0" w:after="0" w:afterAutospacing="0" w:line="400" w:lineRule="exact"/>
              <w:ind w:left="0" w:right="0"/>
              <w:jc w:val="center"/>
              <w:rPr>
                <w:rFonts w:hint="eastAsia" w:ascii="宋体" w:hAnsi="宋体" w:eastAsia="宋体" w:cs="宋体"/>
                <w:color w:val="auto"/>
                <w:szCs w:val="21"/>
                <w:highlight w:val="none"/>
              </w:rPr>
            </w:pPr>
          </w:p>
        </w:tc>
        <w:tc>
          <w:tcPr>
            <w:tcW w:w="2883" w:type="dxa"/>
            <w:vAlign w:val="center"/>
          </w:tcPr>
          <w:p>
            <w:pPr>
              <w:keepNext w:val="0"/>
              <w:keepLines w:val="0"/>
              <w:suppressLineNumbers w:val="0"/>
              <w:spacing w:before="0" w:beforeAutospacing="0" w:after="0" w:afterAutospacing="0" w:line="400" w:lineRule="exact"/>
              <w:ind w:left="0" w:right="0"/>
              <w:jc w:val="center"/>
              <w:rPr>
                <w:rFonts w:hint="eastAsia" w:ascii="宋体" w:hAnsi="宋体" w:eastAsia="宋体" w:cs="宋体"/>
                <w:color w:val="auto"/>
                <w:szCs w:val="21"/>
                <w:highlight w:val="none"/>
              </w:rPr>
            </w:pPr>
          </w:p>
        </w:tc>
        <w:tc>
          <w:tcPr>
            <w:tcW w:w="1211" w:type="dxa"/>
            <w:vAlign w:val="center"/>
          </w:tcPr>
          <w:p>
            <w:pPr>
              <w:keepNext w:val="0"/>
              <w:keepLines w:val="0"/>
              <w:suppressLineNumbers w:val="0"/>
              <w:spacing w:before="0" w:beforeAutospacing="0" w:after="0" w:afterAutospacing="0" w:line="400" w:lineRule="exact"/>
              <w:ind w:left="0" w:right="0"/>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2045" w:type="dxa"/>
            <w:vAlign w:val="center"/>
          </w:tcPr>
          <w:p>
            <w:pPr>
              <w:keepNext w:val="0"/>
              <w:keepLines w:val="0"/>
              <w:suppressLineNumbers w:val="0"/>
              <w:spacing w:before="0" w:beforeAutospacing="0" w:after="0" w:afterAutospacing="0" w:line="400" w:lineRule="exact"/>
              <w:ind w:left="0" w:right="0"/>
              <w:jc w:val="center"/>
              <w:rPr>
                <w:rFonts w:hint="eastAsia" w:ascii="宋体" w:hAnsi="宋体" w:eastAsia="宋体" w:cs="宋体"/>
                <w:color w:val="auto"/>
                <w:szCs w:val="21"/>
                <w:highlight w:val="none"/>
              </w:rPr>
            </w:pPr>
          </w:p>
        </w:tc>
        <w:tc>
          <w:tcPr>
            <w:tcW w:w="3061" w:type="dxa"/>
            <w:vAlign w:val="center"/>
          </w:tcPr>
          <w:p>
            <w:pPr>
              <w:keepNext w:val="0"/>
              <w:keepLines w:val="0"/>
              <w:suppressLineNumbers w:val="0"/>
              <w:spacing w:before="0" w:beforeAutospacing="0" w:after="0" w:afterAutospacing="0" w:line="400" w:lineRule="exact"/>
              <w:ind w:left="0" w:right="0"/>
              <w:jc w:val="center"/>
              <w:rPr>
                <w:rFonts w:hint="eastAsia" w:ascii="宋体" w:hAnsi="宋体" w:eastAsia="宋体" w:cs="宋体"/>
                <w:color w:val="auto"/>
                <w:szCs w:val="21"/>
                <w:highlight w:val="none"/>
              </w:rPr>
            </w:pPr>
          </w:p>
        </w:tc>
        <w:tc>
          <w:tcPr>
            <w:tcW w:w="2883" w:type="dxa"/>
            <w:vAlign w:val="center"/>
          </w:tcPr>
          <w:p>
            <w:pPr>
              <w:keepNext w:val="0"/>
              <w:keepLines w:val="0"/>
              <w:suppressLineNumbers w:val="0"/>
              <w:spacing w:before="0" w:beforeAutospacing="0" w:after="0" w:afterAutospacing="0" w:line="400" w:lineRule="exact"/>
              <w:ind w:left="0" w:right="0"/>
              <w:jc w:val="center"/>
              <w:rPr>
                <w:rFonts w:hint="eastAsia" w:ascii="宋体" w:hAnsi="宋体" w:eastAsia="宋体" w:cs="宋体"/>
                <w:color w:val="auto"/>
                <w:szCs w:val="21"/>
                <w:highlight w:val="none"/>
              </w:rPr>
            </w:pPr>
          </w:p>
        </w:tc>
        <w:tc>
          <w:tcPr>
            <w:tcW w:w="1211" w:type="dxa"/>
            <w:vAlign w:val="center"/>
          </w:tcPr>
          <w:p>
            <w:pPr>
              <w:keepNext w:val="0"/>
              <w:keepLines w:val="0"/>
              <w:suppressLineNumbers w:val="0"/>
              <w:spacing w:before="0" w:beforeAutospacing="0" w:after="0" w:afterAutospacing="0" w:line="400" w:lineRule="exact"/>
              <w:ind w:left="0" w:right="0"/>
              <w:jc w:val="center"/>
              <w:rPr>
                <w:rFonts w:hint="eastAsia" w:ascii="宋体" w:hAnsi="宋体" w:eastAsia="宋体" w:cs="宋体"/>
                <w:color w:val="auto"/>
                <w:szCs w:val="21"/>
                <w:highlight w:val="none"/>
              </w:rPr>
            </w:pPr>
          </w:p>
        </w:tc>
      </w:tr>
    </w:tbl>
    <w:p>
      <w:pPr>
        <w:pStyle w:val="25"/>
        <w:ind w:firstLine="0" w:firstLineChars="0"/>
        <w:rPr>
          <w:rFonts w:hint="eastAsia" w:ascii="宋体" w:hAnsi="宋体" w:eastAsia="宋体" w:cs="宋体"/>
          <w:bCs w:val="0"/>
          <w:color w:val="auto"/>
          <w:highlight w:val="none"/>
        </w:rPr>
      </w:pPr>
      <w:bookmarkStart w:id="17" w:name="_Toc400805873"/>
      <w:bookmarkStart w:id="18" w:name="_Toc393705369"/>
      <w:r>
        <w:rPr>
          <w:rFonts w:hint="eastAsia" w:ascii="宋体" w:hAnsi="宋体" w:eastAsia="宋体" w:cs="宋体"/>
          <w:bCs w:val="0"/>
          <w:color w:val="auto"/>
          <w:highlight w:val="none"/>
        </w:rPr>
        <w:t>7、业绩证明材料（如有）</w:t>
      </w:r>
    </w:p>
    <w:p>
      <w:pPr>
        <w:pStyle w:val="25"/>
        <w:spacing w:line="360" w:lineRule="auto"/>
        <w:ind w:firstLine="0" w:firstLineChars="0"/>
        <w:rPr>
          <w:rFonts w:hint="eastAsia" w:ascii="宋体" w:hAnsi="宋体" w:eastAsia="宋体" w:cs="宋体"/>
          <w:bCs w:val="0"/>
          <w:color w:val="auto"/>
          <w:highlight w:val="none"/>
        </w:rPr>
      </w:pPr>
      <w:r>
        <w:rPr>
          <w:rFonts w:hint="eastAsia" w:ascii="宋体" w:hAnsi="宋体" w:eastAsia="宋体" w:cs="宋体"/>
          <w:bCs w:val="0"/>
          <w:color w:val="auto"/>
          <w:highlight w:val="none"/>
        </w:rPr>
        <w:t>8、磋商文件要求的其它材料</w:t>
      </w:r>
      <w:bookmarkEnd w:id="17"/>
      <w:bookmarkEnd w:id="18"/>
    </w:p>
    <w:p>
      <w:pPr>
        <w:pStyle w:val="25"/>
        <w:spacing w:line="360" w:lineRule="auto"/>
        <w:ind w:firstLine="0" w:firstLineChars="0"/>
        <w:rPr>
          <w:rFonts w:hint="eastAsia" w:ascii="宋体" w:hAnsi="宋体" w:eastAsia="宋体" w:cs="宋体"/>
          <w:bCs w:val="0"/>
          <w:color w:val="auto"/>
          <w:highlight w:val="none"/>
        </w:rPr>
      </w:pPr>
    </w:p>
    <w:p>
      <w:pPr>
        <w:spacing w:line="360" w:lineRule="auto"/>
        <w:jc w:val="center"/>
        <w:rPr>
          <w:rFonts w:hint="eastAsia" w:ascii="宋体" w:hAnsi="宋体" w:eastAsia="宋体" w:cs="宋体"/>
          <w:b/>
          <w:color w:val="auto"/>
          <w:sz w:val="28"/>
          <w:szCs w:val="28"/>
          <w:highlight w:val="none"/>
        </w:rPr>
      </w:pPr>
    </w:p>
    <w:p>
      <w:pPr>
        <w:spacing w:line="360" w:lineRule="auto"/>
        <w:jc w:val="center"/>
        <w:rPr>
          <w:rFonts w:hint="eastAsia" w:ascii="宋体" w:hAnsi="宋体" w:eastAsia="宋体" w:cs="宋体"/>
          <w:b/>
          <w:color w:val="auto"/>
          <w:sz w:val="28"/>
          <w:szCs w:val="28"/>
          <w:highlight w:val="none"/>
        </w:rPr>
      </w:pPr>
    </w:p>
    <w:p>
      <w:pPr>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二、2022年</w:t>
      </w:r>
      <w:r>
        <w:rPr>
          <w:rFonts w:hint="eastAsia" w:ascii="宋体" w:hAnsi="宋体" w:cs="宋体"/>
          <w:b/>
          <w:color w:val="auto"/>
          <w:sz w:val="28"/>
          <w:szCs w:val="28"/>
          <w:highlight w:val="none"/>
          <w:lang w:eastAsia="zh-CN"/>
        </w:rPr>
        <w:t>铜陵学院智慧资助系统网络安全等级保护测评</w:t>
      </w:r>
      <w:r>
        <w:rPr>
          <w:rFonts w:hint="eastAsia" w:ascii="宋体" w:hAnsi="宋体" w:eastAsia="宋体" w:cs="宋体"/>
          <w:b/>
          <w:color w:val="auto"/>
          <w:sz w:val="28"/>
          <w:szCs w:val="28"/>
          <w:highlight w:val="none"/>
        </w:rPr>
        <w:t>采购</w:t>
      </w:r>
    </w:p>
    <w:p>
      <w:pPr>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报价部分</w:t>
      </w:r>
    </w:p>
    <w:p>
      <w:pPr>
        <w:pStyle w:val="25"/>
        <w:spacing w:line="360" w:lineRule="auto"/>
        <w:ind w:firstLine="0" w:firstLineChars="0"/>
        <w:rPr>
          <w:rFonts w:hint="eastAsia" w:ascii="宋体" w:hAnsi="宋体" w:eastAsia="宋体" w:cs="宋体"/>
          <w:color w:val="auto"/>
          <w:highlight w:val="none"/>
        </w:rPr>
      </w:pPr>
      <w:bookmarkStart w:id="19" w:name="_Toc395875073"/>
      <w:r>
        <w:rPr>
          <w:rFonts w:hint="eastAsia" w:ascii="宋体" w:hAnsi="宋体" w:eastAsia="宋体" w:cs="宋体"/>
          <w:color w:val="auto"/>
          <w:highlight w:val="none"/>
        </w:rPr>
        <w:t>1、磋商响应报价表</w:t>
      </w:r>
      <w:bookmarkEnd w:id="19"/>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（1）根据磋商文件要求可以自行调整，包括但不限于以下内容。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）我方承诺报价不高于同类货物和服务的市场同期平均价格，若被发现存在任何虚假、隐瞒情况，我公司承担由此产生的一切后果。</w:t>
      </w:r>
    </w:p>
    <w:tbl>
      <w:tblPr>
        <w:tblStyle w:val="12"/>
        <w:tblW w:w="880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84"/>
        <w:gridCol w:w="3701"/>
        <w:gridCol w:w="1932"/>
        <w:gridCol w:w="24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6" w:hRule="atLeast"/>
          <w:jc w:val="center"/>
        </w:trPr>
        <w:tc>
          <w:tcPr>
            <w:tcW w:w="68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cs="宋体"/>
                <w:b/>
                <w:bCs/>
                <w:color w:val="auto"/>
                <w:szCs w:val="21"/>
              </w:rPr>
            </w:pPr>
            <w:r>
              <w:rPr>
                <w:rFonts w:hint="eastAsia" w:ascii="宋体" w:hAnsi="宋体" w:cs="宋体"/>
                <w:b/>
                <w:bCs/>
                <w:color w:val="auto"/>
                <w:szCs w:val="21"/>
              </w:rPr>
              <w:t>序号</w:t>
            </w:r>
          </w:p>
        </w:tc>
        <w:tc>
          <w:tcPr>
            <w:tcW w:w="3701"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cs="宋体"/>
                <w:b/>
                <w:bCs/>
                <w:color w:val="auto"/>
                <w:szCs w:val="21"/>
              </w:rPr>
            </w:pPr>
            <w:r>
              <w:rPr>
                <w:rFonts w:hint="eastAsia" w:ascii="宋体" w:hAnsi="宋体" w:cs="宋体"/>
                <w:b/>
                <w:bCs/>
                <w:color w:val="auto"/>
                <w:szCs w:val="21"/>
              </w:rPr>
              <w:t>产品/服务名称</w:t>
            </w:r>
          </w:p>
        </w:tc>
        <w:tc>
          <w:tcPr>
            <w:tcW w:w="1932"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eastAsia" w:ascii="宋体" w:hAnsi="宋体" w:eastAsia="宋体" w:cs="宋体"/>
                <w:b/>
                <w:bCs/>
                <w:color w:val="auto"/>
                <w:szCs w:val="21"/>
                <w:lang w:eastAsia="zh-CN"/>
              </w:rPr>
            </w:pPr>
            <w:r>
              <w:rPr>
                <w:rFonts w:hint="eastAsia" w:ascii="宋体" w:hAnsi="宋体" w:cs="宋体"/>
                <w:b/>
                <w:bCs/>
                <w:color w:val="auto"/>
                <w:szCs w:val="21"/>
                <w:lang w:eastAsia="zh-CN"/>
              </w:rPr>
              <w:t>服务内容</w:t>
            </w:r>
          </w:p>
        </w:tc>
        <w:tc>
          <w:tcPr>
            <w:tcW w:w="2484"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eastAsia" w:ascii="宋体" w:hAnsi="宋体" w:eastAsia="宋体" w:cs="宋体"/>
                <w:b/>
                <w:bCs/>
                <w:color w:val="auto"/>
                <w:szCs w:val="21"/>
                <w:lang w:eastAsia="zh-CN"/>
              </w:rPr>
            </w:pPr>
            <w:r>
              <w:rPr>
                <w:rFonts w:hint="eastAsia" w:ascii="宋体" w:hAnsi="宋体" w:cs="宋体"/>
                <w:b/>
                <w:bCs/>
                <w:color w:val="auto"/>
                <w:szCs w:val="21"/>
                <w:lang w:eastAsia="zh-CN"/>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2" w:hRule="atLeast"/>
          <w:jc w:val="center"/>
        </w:trPr>
        <w:tc>
          <w:tcPr>
            <w:tcW w:w="68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jc w:val="center"/>
              <w:rPr>
                <w:rFonts w:hint="default" w:ascii="宋体" w:hAnsi="宋体" w:cs="宋体"/>
                <w:bCs/>
                <w:color w:val="auto"/>
                <w:szCs w:val="21"/>
              </w:rPr>
            </w:pPr>
            <w:r>
              <w:rPr>
                <w:rFonts w:hint="eastAsia" w:ascii="宋体" w:hAnsi="宋体" w:cs="宋体"/>
                <w:bCs/>
                <w:color w:val="auto"/>
                <w:szCs w:val="21"/>
              </w:rPr>
              <w:t>1</w:t>
            </w:r>
          </w:p>
        </w:tc>
        <w:tc>
          <w:tcPr>
            <w:tcW w:w="3701"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rPr>
                <w:rFonts w:hint="default" w:ascii="宋体" w:hAnsi="宋体" w:cs="宋体"/>
                <w:color w:val="auto"/>
                <w:szCs w:val="21"/>
              </w:rPr>
            </w:pPr>
            <w:r>
              <w:rPr>
                <w:rFonts w:hint="eastAsia" w:ascii="宋体" w:hAnsi="宋体" w:cs="宋体"/>
                <w:color w:val="auto"/>
                <w:kern w:val="0"/>
                <w:sz w:val="24"/>
                <w:szCs w:val="24"/>
                <w:highlight w:val="none"/>
                <w:lang w:val="en-US" w:eastAsia="zh-CN"/>
              </w:rPr>
              <w:t>2022年铜陵学院智慧资助系统网络安全等级保护测评采购</w:t>
            </w:r>
          </w:p>
        </w:tc>
        <w:tc>
          <w:tcPr>
            <w:tcW w:w="1932"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firstLine="420" w:firstLineChars="200"/>
              <w:jc w:val="left"/>
              <w:rPr>
                <w:rFonts w:hint="eastAsia" w:ascii="宋体" w:hAnsi="宋体" w:eastAsia="宋体" w:cs="宋体"/>
                <w:bCs/>
                <w:color w:val="auto"/>
                <w:szCs w:val="21"/>
                <w:lang w:eastAsia="zh-CN"/>
              </w:rPr>
            </w:pPr>
            <w:r>
              <w:rPr>
                <w:rFonts w:hint="eastAsia" w:ascii="宋体" w:hAnsi="宋体" w:cs="宋体"/>
                <w:bCs/>
                <w:color w:val="auto"/>
                <w:szCs w:val="21"/>
                <w:lang w:eastAsia="zh-CN"/>
              </w:rPr>
              <w:t>见采购需求</w:t>
            </w:r>
          </w:p>
        </w:tc>
        <w:tc>
          <w:tcPr>
            <w:tcW w:w="2484"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jc w:val="center"/>
              <w:rPr>
                <w:rFonts w:hint="eastAsia" w:ascii="宋体" w:hAnsi="宋体" w:cs="宋体"/>
                <w:color w:val="auto"/>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6" w:hRule="atLeast"/>
          <w:jc w:val="center"/>
        </w:trPr>
        <w:tc>
          <w:tcPr>
            <w:tcW w:w="68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eastAsia" w:ascii="宋体" w:hAnsi="宋体" w:cs="宋体"/>
                <w:bCs/>
                <w:color w:val="auto"/>
                <w:szCs w:val="21"/>
              </w:rPr>
            </w:pPr>
          </w:p>
        </w:tc>
        <w:tc>
          <w:tcPr>
            <w:tcW w:w="3701" w:type="dxa"/>
            <w:tcBorders>
              <w:top w:val="single" w:color="auto" w:sz="4" w:space="0"/>
              <w:left w:val="nil"/>
              <w:bottom w:val="single" w:color="auto" w:sz="4" w:space="0"/>
              <w:right w:val="single" w:color="auto" w:sz="4" w:space="0"/>
            </w:tcBorders>
            <w:vAlign w:val="center"/>
          </w:tcPr>
          <w:p>
            <w:pPr>
              <w:keepNext w:val="0"/>
              <w:keepLines w:val="0"/>
              <w:numPr>
                <w:ilvl w:val="0"/>
                <w:numId w:val="0"/>
              </w:numPr>
              <w:suppressLineNumbers w:val="0"/>
              <w:spacing w:before="0" w:beforeAutospacing="0" w:after="0" w:afterAutospacing="0" w:line="400" w:lineRule="exact"/>
              <w:ind w:left="0" w:leftChars="0" w:right="0"/>
              <w:jc w:val="center"/>
              <w:rPr>
                <w:rFonts w:hint="eastAsia" w:ascii="宋体" w:hAnsi="宋体" w:eastAsia="宋体" w:cs="宋体"/>
                <w:color w:val="auto"/>
                <w:szCs w:val="21"/>
                <w:lang w:eastAsia="zh-CN"/>
              </w:rPr>
            </w:pPr>
            <w:r>
              <w:rPr>
                <w:rFonts w:hint="eastAsia" w:ascii="宋体" w:hAnsi="宋体" w:cs="宋体"/>
                <w:color w:val="auto"/>
                <w:szCs w:val="21"/>
                <w:lang w:eastAsia="zh-CN"/>
              </w:rPr>
              <w:t>合</w:t>
            </w:r>
            <w:r>
              <w:rPr>
                <w:rFonts w:hint="eastAsia" w:ascii="宋体" w:hAnsi="宋体" w:cs="宋体"/>
                <w:color w:val="auto"/>
                <w:szCs w:val="21"/>
                <w:lang w:val="en-US" w:eastAsia="zh-CN"/>
              </w:rPr>
              <w:t xml:space="preserve">  </w:t>
            </w:r>
            <w:r>
              <w:rPr>
                <w:rFonts w:hint="eastAsia" w:ascii="宋体" w:hAnsi="宋体" w:cs="宋体"/>
                <w:color w:val="auto"/>
                <w:szCs w:val="21"/>
                <w:lang w:eastAsia="zh-CN"/>
              </w:rPr>
              <w:t>计</w:t>
            </w:r>
          </w:p>
        </w:tc>
        <w:tc>
          <w:tcPr>
            <w:tcW w:w="1932"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left"/>
              <w:rPr>
                <w:rFonts w:hint="eastAsia" w:ascii="宋体" w:hAnsi="宋体" w:cs="宋体"/>
                <w:bCs/>
                <w:color w:val="auto"/>
                <w:szCs w:val="21"/>
              </w:rPr>
            </w:pPr>
          </w:p>
        </w:tc>
        <w:tc>
          <w:tcPr>
            <w:tcW w:w="2484"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eastAsia" w:ascii="宋体" w:hAnsi="宋体" w:cs="宋体"/>
                <w:color w:val="auto"/>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6" w:hRule="atLeast"/>
          <w:jc w:val="center"/>
        </w:trPr>
        <w:tc>
          <w:tcPr>
            <w:tcW w:w="68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eastAsia" w:ascii="宋体" w:hAnsi="宋体" w:cs="宋体"/>
                <w:bCs/>
                <w:color w:val="auto"/>
                <w:szCs w:val="21"/>
              </w:rPr>
            </w:pPr>
          </w:p>
        </w:tc>
        <w:tc>
          <w:tcPr>
            <w:tcW w:w="3701"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eastAsia" w:ascii="宋体" w:hAnsi="宋体" w:eastAsia="宋体" w:cs="宋体"/>
                <w:color w:val="auto"/>
                <w:szCs w:val="21"/>
                <w:lang w:eastAsia="zh-CN"/>
              </w:rPr>
            </w:pPr>
            <w:r>
              <w:rPr>
                <w:rFonts w:hint="eastAsia" w:ascii="宋体" w:hAnsi="宋体" w:cs="宋体"/>
                <w:color w:val="auto"/>
                <w:szCs w:val="21"/>
                <w:lang w:eastAsia="zh-CN"/>
              </w:rPr>
              <w:t>大</w:t>
            </w:r>
            <w:r>
              <w:rPr>
                <w:rFonts w:hint="eastAsia" w:ascii="宋体" w:hAnsi="宋体" w:cs="宋体"/>
                <w:color w:val="auto"/>
                <w:szCs w:val="21"/>
                <w:lang w:val="en-US" w:eastAsia="zh-CN"/>
              </w:rPr>
              <w:t xml:space="preserve">  </w:t>
            </w:r>
            <w:r>
              <w:rPr>
                <w:rFonts w:hint="eastAsia" w:ascii="宋体" w:hAnsi="宋体" w:cs="宋体"/>
                <w:color w:val="auto"/>
                <w:szCs w:val="21"/>
                <w:lang w:eastAsia="zh-CN"/>
              </w:rPr>
              <w:t>写</w:t>
            </w:r>
          </w:p>
        </w:tc>
        <w:tc>
          <w:tcPr>
            <w:tcW w:w="4416" w:type="dxa"/>
            <w:gridSpan w:val="2"/>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eastAsia" w:ascii="宋体" w:hAnsi="宋体" w:cs="宋体"/>
                <w:color w:val="auto"/>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jc w:val="center"/>
        </w:trPr>
        <w:tc>
          <w:tcPr>
            <w:tcW w:w="68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eastAsia" w:ascii="宋体" w:hAnsi="宋体" w:cs="宋体"/>
                <w:bCs/>
                <w:color w:val="auto"/>
                <w:szCs w:val="21"/>
              </w:rPr>
            </w:pPr>
          </w:p>
        </w:tc>
        <w:tc>
          <w:tcPr>
            <w:tcW w:w="3701"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cs="宋体"/>
                <w:color w:val="auto"/>
                <w:szCs w:val="21"/>
                <w:lang w:val="en-US" w:eastAsia="zh-CN"/>
              </w:rPr>
            </w:pPr>
            <w:r>
              <w:rPr>
                <w:rFonts w:hint="eastAsia" w:ascii="宋体" w:hAnsi="宋体" w:cs="宋体"/>
                <w:color w:val="auto"/>
                <w:szCs w:val="21"/>
                <w:lang w:val="en-US" w:eastAsia="zh-CN"/>
              </w:rPr>
              <w:t>小  写</w:t>
            </w:r>
          </w:p>
        </w:tc>
        <w:tc>
          <w:tcPr>
            <w:tcW w:w="4416" w:type="dxa"/>
            <w:gridSpan w:val="2"/>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eastAsia" w:ascii="宋体" w:hAnsi="宋体" w:cs="宋体"/>
                <w:color w:val="auto"/>
                <w:szCs w:val="21"/>
              </w:rPr>
            </w:pPr>
          </w:p>
        </w:tc>
      </w:tr>
    </w:tbl>
    <w:p>
      <w:pPr>
        <w:spacing w:line="360" w:lineRule="auto"/>
        <w:ind w:firstLine="420" w:firstLineChars="200"/>
        <w:rPr>
          <w:rFonts w:hint="eastAsia" w:ascii="宋体" w:hAnsi="宋体" w:eastAsia="宋体" w:cs="宋体"/>
          <w:color w:val="auto"/>
          <w:szCs w:val="21"/>
          <w:highlight w:val="none"/>
        </w:rPr>
      </w:pPr>
    </w:p>
    <w:p>
      <w:pPr>
        <w:pStyle w:val="25"/>
        <w:spacing w:line="360" w:lineRule="auto"/>
        <w:ind w:right="980" w:firstLine="422"/>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供应商</w:t>
      </w:r>
      <w:r>
        <w:rPr>
          <w:rFonts w:hint="eastAsia" w:ascii="宋体" w:hAnsi="宋体" w:cs="宋体"/>
          <w:color w:val="auto"/>
          <w:sz w:val="24"/>
          <w:szCs w:val="24"/>
          <w:highlight w:val="none"/>
          <w:lang w:val="en-US" w:eastAsia="zh-CN"/>
        </w:rPr>
        <w:t>盖</w:t>
      </w:r>
      <w:r>
        <w:rPr>
          <w:rFonts w:hint="eastAsia" w:ascii="宋体" w:hAnsi="宋体" w:eastAsia="宋体" w:cs="宋体"/>
          <w:color w:val="auto"/>
          <w:sz w:val="24"/>
          <w:szCs w:val="24"/>
          <w:highlight w:val="none"/>
        </w:rPr>
        <w:t>章：</w:t>
      </w:r>
    </w:p>
    <w:p>
      <w:pPr>
        <w:pStyle w:val="25"/>
        <w:spacing w:line="360" w:lineRule="auto"/>
        <w:ind w:right="980" w:firstLine="422"/>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日    期：</w:t>
      </w:r>
    </w:p>
    <w:p>
      <w:pPr>
        <w:spacing w:line="360" w:lineRule="auto"/>
        <w:ind w:right="560"/>
        <w:jc w:val="right"/>
        <w:rPr>
          <w:rFonts w:hint="eastAsia" w:ascii="宋体" w:hAnsi="宋体" w:eastAsia="宋体" w:cs="宋体"/>
          <w:color w:val="auto"/>
          <w:highlight w:val="none"/>
        </w:rPr>
      </w:pPr>
    </w:p>
    <w:p>
      <w:pPr>
        <w:pStyle w:val="2"/>
        <w:ind w:left="0" w:leftChars="0" w:firstLine="0" w:firstLineChars="0"/>
        <w:rPr>
          <w:rFonts w:hint="eastAsia" w:ascii="宋体" w:hAnsi="宋体" w:eastAsia="宋体" w:cs="宋体"/>
          <w:color w:val="auto"/>
          <w:highlight w:val="none"/>
        </w:rPr>
      </w:pPr>
    </w:p>
    <w:p>
      <w:pPr>
        <w:jc w:val="center"/>
        <w:rPr>
          <w:rFonts w:hint="eastAsia" w:ascii="Times New Roman" w:hAnsi="Times New Roman" w:cs="Times New Roman"/>
          <w:b/>
          <w:bCs/>
          <w:color w:val="auto"/>
          <w:sz w:val="32"/>
          <w:szCs w:val="32"/>
          <w:highlight w:val="none"/>
        </w:rPr>
      </w:pPr>
      <w:r>
        <w:rPr>
          <w:rFonts w:hint="eastAsia" w:ascii="Times New Roman" w:hAnsi="Times New Roman" w:cs="Times New Roman"/>
          <w:b/>
          <w:bCs/>
          <w:color w:val="auto"/>
          <w:sz w:val="32"/>
          <w:szCs w:val="32"/>
          <w:highlight w:val="none"/>
        </w:rPr>
        <w:t>2022年</w:t>
      </w:r>
      <w:r>
        <w:rPr>
          <w:rFonts w:hint="eastAsia" w:cs="Times New Roman"/>
          <w:b/>
          <w:bCs/>
          <w:color w:val="auto"/>
          <w:sz w:val="32"/>
          <w:szCs w:val="32"/>
          <w:highlight w:val="none"/>
          <w:lang w:eastAsia="zh-CN"/>
        </w:rPr>
        <w:t>铜陵学院智慧资助系统网络安全等级保护测评</w:t>
      </w:r>
      <w:r>
        <w:rPr>
          <w:rFonts w:hint="eastAsia" w:ascii="Times New Roman" w:hAnsi="Times New Roman" w:cs="Times New Roman"/>
          <w:b/>
          <w:bCs/>
          <w:color w:val="auto"/>
          <w:sz w:val="32"/>
          <w:szCs w:val="32"/>
          <w:highlight w:val="none"/>
        </w:rPr>
        <w:t>采购</w:t>
      </w:r>
    </w:p>
    <w:p>
      <w:pPr>
        <w:jc w:val="center"/>
        <w:rPr>
          <w:rFonts w:hint="eastAsia" w:ascii="Times New Roman" w:hAnsi="Times New Roman" w:cs="Times New Roman"/>
          <w:b/>
          <w:bCs/>
          <w:color w:val="auto"/>
          <w:sz w:val="32"/>
          <w:szCs w:val="32"/>
          <w:highlight w:val="none"/>
        </w:rPr>
      </w:pPr>
      <w:r>
        <w:rPr>
          <w:rFonts w:hint="eastAsia" w:ascii="Times New Roman" w:hAnsi="Times New Roman" w:cs="Times New Roman"/>
          <w:b/>
          <w:bCs/>
          <w:color w:val="auto"/>
          <w:sz w:val="32"/>
          <w:szCs w:val="32"/>
          <w:highlight w:val="none"/>
        </w:rPr>
        <w:t>最终报价表</w:t>
      </w:r>
    </w:p>
    <w:p>
      <w:pPr>
        <w:pStyle w:val="26"/>
        <w:rPr>
          <w:rFonts w:hint="eastAsia"/>
          <w:color w:val="auto"/>
          <w:highlight w:val="none"/>
        </w:rPr>
      </w:pPr>
    </w:p>
    <w:tbl>
      <w:tblPr>
        <w:tblStyle w:val="12"/>
        <w:tblW w:w="886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95"/>
        <w:gridCol w:w="3377"/>
        <w:gridCol w:w="1872"/>
        <w:gridCol w:w="28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6" w:hRule="atLeast"/>
          <w:jc w:val="center"/>
        </w:trPr>
        <w:tc>
          <w:tcPr>
            <w:tcW w:w="79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cs="宋体"/>
                <w:b/>
                <w:bCs/>
                <w:color w:val="auto"/>
                <w:szCs w:val="21"/>
              </w:rPr>
            </w:pPr>
            <w:r>
              <w:rPr>
                <w:rFonts w:hint="eastAsia" w:ascii="宋体" w:hAnsi="宋体" w:cs="宋体"/>
                <w:b/>
                <w:bCs/>
                <w:color w:val="auto"/>
                <w:szCs w:val="21"/>
              </w:rPr>
              <w:t>序号</w:t>
            </w:r>
          </w:p>
        </w:tc>
        <w:tc>
          <w:tcPr>
            <w:tcW w:w="3377"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cs="宋体"/>
                <w:b/>
                <w:bCs/>
                <w:color w:val="auto"/>
                <w:szCs w:val="21"/>
              </w:rPr>
            </w:pPr>
            <w:r>
              <w:rPr>
                <w:rFonts w:hint="eastAsia" w:ascii="宋体" w:hAnsi="宋体" w:cs="宋体"/>
                <w:b/>
                <w:bCs/>
                <w:color w:val="auto"/>
                <w:szCs w:val="21"/>
              </w:rPr>
              <w:t>产品/服务名称</w:t>
            </w:r>
          </w:p>
        </w:tc>
        <w:tc>
          <w:tcPr>
            <w:tcW w:w="1872"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cs="宋体"/>
                <w:b/>
                <w:bCs/>
                <w:color w:val="auto"/>
                <w:szCs w:val="21"/>
              </w:rPr>
            </w:pPr>
            <w:r>
              <w:rPr>
                <w:rFonts w:hint="eastAsia" w:ascii="宋体" w:hAnsi="宋体" w:cs="宋体"/>
                <w:b/>
                <w:bCs/>
                <w:color w:val="auto"/>
                <w:szCs w:val="21"/>
                <w:lang w:eastAsia="zh-CN"/>
              </w:rPr>
              <w:t>服务内容</w:t>
            </w:r>
          </w:p>
        </w:tc>
        <w:tc>
          <w:tcPr>
            <w:tcW w:w="2820"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eastAsia" w:ascii="宋体" w:hAnsi="宋体" w:eastAsia="宋体" w:cs="宋体"/>
                <w:b/>
                <w:bCs/>
                <w:color w:val="auto"/>
                <w:szCs w:val="21"/>
                <w:lang w:eastAsia="zh-CN"/>
              </w:rPr>
            </w:pPr>
            <w:r>
              <w:rPr>
                <w:rFonts w:hint="eastAsia" w:ascii="宋体" w:hAnsi="宋体" w:cs="宋体"/>
                <w:b/>
                <w:bCs/>
                <w:color w:val="auto"/>
                <w:szCs w:val="21"/>
                <w:lang w:eastAsia="zh-CN"/>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6" w:hRule="atLeast"/>
          <w:jc w:val="center"/>
        </w:trPr>
        <w:tc>
          <w:tcPr>
            <w:tcW w:w="79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jc w:val="center"/>
              <w:rPr>
                <w:rFonts w:hint="default" w:ascii="宋体" w:hAnsi="宋体" w:cs="宋体"/>
                <w:bCs/>
                <w:color w:val="auto"/>
                <w:szCs w:val="21"/>
              </w:rPr>
            </w:pPr>
            <w:r>
              <w:rPr>
                <w:rFonts w:hint="eastAsia" w:ascii="宋体" w:hAnsi="宋体" w:cs="宋体"/>
                <w:bCs/>
                <w:color w:val="auto"/>
                <w:szCs w:val="21"/>
              </w:rPr>
              <w:t>1</w:t>
            </w:r>
          </w:p>
        </w:tc>
        <w:tc>
          <w:tcPr>
            <w:tcW w:w="3377"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rPr>
                <w:rFonts w:hint="default" w:ascii="宋体" w:hAnsi="宋体" w:cs="宋体"/>
                <w:color w:val="auto"/>
                <w:szCs w:val="21"/>
              </w:rPr>
            </w:pPr>
            <w:r>
              <w:rPr>
                <w:rFonts w:hint="eastAsia" w:ascii="宋体" w:hAnsi="宋体" w:cs="宋体"/>
                <w:color w:val="auto"/>
                <w:kern w:val="0"/>
                <w:sz w:val="24"/>
                <w:szCs w:val="24"/>
                <w:highlight w:val="none"/>
                <w:lang w:val="en-US" w:eastAsia="zh-CN"/>
              </w:rPr>
              <w:t>2022年铜陵学院智慧资助系统网络安全等级保护测评采购</w:t>
            </w:r>
          </w:p>
        </w:tc>
        <w:tc>
          <w:tcPr>
            <w:tcW w:w="1872"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firstLine="420" w:firstLineChars="200"/>
              <w:jc w:val="left"/>
              <w:rPr>
                <w:rFonts w:hint="default" w:ascii="宋体" w:hAnsi="宋体" w:cs="宋体"/>
                <w:bCs/>
                <w:color w:val="auto"/>
                <w:szCs w:val="21"/>
              </w:rPr>
            </w:pPr>
            <w:r>
              <w:rPr>
                <w:rFonts w:hint="eastAsia" w:ascii="宋体" w:hAnsi="宋体" w:cs="宋体"/>
                <w:bCs/>
                <w:color w:val="auto"/>
                <w:szCs w:val="21"/>
                <w:lang w:eastAsia="zh-CN"/>
              </w:rPr>
              <w:t>见采购需求</w:t>
            </w:r>
          </w:p>
        </w:tc>
        <w:tc>
          <w:tcPr>
            <w:tcW w:w="2820"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jc w:val="center"/>
              <w:rPr>
                <w:rFonts w:hint="eastAsia" w:ascii="宋体" w:hAnsi="宋体" w:cs="宋体"/>
                <w:color w:val="auto"/>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6" w:hRule="atLeast"/>
          <w:jc w:val="center"/>
        </w:trPr>
        <w:tc>
          <w:tcPr>
            <w:tcW w:w="79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eastAsia" w:ascii="宋体" w:hAnsi="宋体" w:cs="宋体"/>
                <w:bCs/>
                <w:color w:val="auto"/>
                <w:szCs w:val="21"/>
              </w:rPr>
            </w:pPr>
          </w:p>
        </w:tc>
        <w:tc>
          <w:tcPr>
            <w:tcW w:w="3377"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eastAsia" w:ascii="宋体" w:hAnsi="宋体" w:eastAsia="宋体" w:cs="宋体"/>
                <w:color w:val="auto"/>
                <w:szCs w:val="21"/>
                <w:lang w:eastAsia="zh-CN"/>
              </w:rPr>
            </w:pPr>
            <w:r>
              <w:rPr>
                <w:rFonts w:hint="eastAsia" w:ascii="宋体" w:hAnsi="宋体" w:cs="宋体"/>
                <w:color w:val="auto"/>
                <w:szCs w:val="21"/>
                <w:lang w:eastAsia="zh-CN"/>
              </w:rPr>
              <w:t>合</w:t>
            </w:r>
            <w:r>
              <w:rPr>
                <w:rFonts w:hint="eastAsia" w:ascii="宋体" w:hAnsi="宋体" w:cs="宋体"/>
                <w:color w:val="auto"/>
                <w:szCs w:val="21"/>
                <w:lang w:val="en-US" w:eastAsia="zh-CN"/>
              </w:rPr>
              <w:t xml:space="preserve">  </w:t>
            </w:r>
            <w:r>
              <w:rPr>
                <w:rFonts w:hint="eastAsia" w:ascii="宋体" w:hAnsi="宋体" w:cs="宋体"/>
                <w:color w:val="auto"/>
                <w:szCs w:val="21"/>
                <w:lang w:eastAsia="zh-CN"/>
              </w:rPr>
              <w:t>计</w:t>
            </w:r>
          </w:p>
        </w:tc>
        <w:tc>
          <w:tcPr>
            <w:tcW w:w="1872"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left"/>
              <w:rPr>
                <w:rFonts w:hint="eastAsia" w:ascii="宋体" w:hAnsi="宋体" w:cs="宋体"/>
                <w:bCs/>
                <w:color w:val="auto"/>
                <w:szCs w:val="21"/>
              </w:rPr>
            </w:pPr>
          </w:p>
        </w:tc>
        <w:tc>
          <w:tcPr>
            <w:tcW w:w="2820"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eastAsia" w:ascii="宋体" w:hAnsi="宋体" w:cs="宋体"/>
                <w:color w:val="auto"/>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79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eastAsia" w:ascii="宋体" w:hAnsi="宋体" w:cs="宋体"/>
                <w:bCs/>
                <w:color w:val="auto"/>
                <w:szCs w:val="21"/>
              </w:rPr>
            </w:pPr>
          </w:p>
        </w:tc>
        <w:tc>
          <w:tcPr>
            <w:tcW w:w="3377"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eastAsia" w:ascii="宋体" w:hAnsi="宋体" w:eastAsia="宋体" w:cs="宋体"/>
                <w:color w:val="auto"/>
                <w:szCs w:val="21"/>
                <w:lang w:eastAsia="zh-CN"/>
              </w:rPr>
            </w:pPr>
            <w:r>
              <w:rPr>
                <w:rFonts w:hint="eastAsia" w:ascii="宋体" w:hAnsi="宋体" w:cs="宋体"/>
                <w:color w:val="auto"/>
                <w:szCs w:val="21"/>
                <w:lang w:eastAsia="zh-CN"/>
              </w:rPr>
              <w:t>大</w:t>
            </w:r>
            <w:r>
              <w:rPr>
                <w:rFonts w:hint="eastAsia" w:ascii="宋体" w:hAnsi="宋体" w:cs="宋体"/>
                <w:color w:val="auto"/>
                <w:szCs w:val="21"/>
                <w:lang w:val="en-US" w:eastAsia="zh-CN"/>
              </w:rPr>
              <w:t xml:space="preserve">  </w:t>
            </w:r>
            <w:r>
              <w:rPr>
                <w:rFonts w:hint="eastAsia" w:ascii="宋体" w:hAnsi="宋体" w:cs="宋体"/>
                <w:color w:val="auto"/>
                <w:szCs w:val="21"/>
                <w:lang w:eastAsia="zh-CN"/>
              </w:rPr>
              <w:t>写</w:t>
            </w:r>
          </w:p>
        </w:tc>
        <w:tc>
          <w:tcPr>
            <w:tcW w:w="4692" w:type="dxa"/>
            <w:gridSpan w:val="2"/>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eastAsia" w:ascii="宋体" w:hAnsi="宋体" w:cs="宋体"/>
                <w:color w:val="auto"/>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79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eastAsia" w:ascii="宋体" w:hAnsi="宋体" w:cs="宋体"/>
                <w:bCs/>
                <w:color w:val="auto"/>
                <w:szCs w:val="21"/>
              </w:rPr>
            </w:pPr>
          </w:p>
        </w:tc>
        <w:tc>
          <w:tcPr>
            <w:tcW w:w="3377"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宋体" w:hAnsi="宋体" w:cs="宋体"/>
                <w:color w:val="auto"/>
                <w:szCs w:val="21"/>
                <w:lang w:val="en-US" w:eastAsia="zh-CN"/>
              </w:rPr>
            </w:pPr>
            <w:r>
              <w:rPr>
                <w:rFonts w:hint="eastAsia" w:ascii="宋体" w:hAnsi="宋体" w:cs="宋体"/>
                <w:color w:val="auto"/>
                <w:szCs w:val="21"/>
                <w:lang w:val="en-US" w:eastAsia="zh-CN"/>
              </w:rPr>
              <w:t>小  写</w:t>
            </w:r>
          </w:p>
        </w:tc>
        <w:tc>
          <w:tcPr>
            <w:tcW w:w="4692" w:type="dxa"/>
            <w:gridSpan w:val="2"/>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eastAsia" w:ascii="宋体" w:hAnsi="宋体" w:cs="宋体"/>
                <w:color w:val="auto"/>
                <w:szCs w:val="21"/>
              </w:rPr>
            </w:pPr>
          </w:p>
        </w:tc>
      </w:tr>
    </w:tbl>
    <w:p>
      <w:pPr>
        <w:pStyle w:val="8"/>
        <w:bidi w:val="0"/>
        <w:spacing w:line="360" w:lineRule="auto"/>
        <w:rPr>
          <w:rFonts w:hint="eastAsia"/>
          <w:sz w:val="24"/>
          <w:szCs w:val="24"/>
          <w:lang w:val="en-US" w:eastAsia="zh-CN"/>
        </w:rPr>
      </w:pPr>
      <w:r>
        <w:rPr>
          <w:rFonts w:hint="eastAsia"/>
          <w:sz w:val="24"/>
          <w:szCs w:val="24"/>
          <w:lang w:eastAsia="zh-CN"/>
        </w:rPr>
        <w:t>注：</w:t>
      </w:r>
      <w:r>
        <w:rPr>
          <w:rFonts w:hint="eastAsia"/>
          <w:sz w:val="24"/>
          <w:szCs w:val="24"/>
          <w:lang w:val="en-US" w:eastAsia="zh-CN"/>
        </w:rPr>
        <w:t>1.因新冠肺炎疫情防控要求，供应商不参加开标。</w:t>
      </w:r>
    </w:p>
    <w:p>
      <w:pPr>
        <w:pStyle w:val="8"/>
        <w:bidi w:val="0"/>
        <w:spacing w:line="360" w:lineRule="auto"/>
        <w:rPr>
          <w:rFonts w:hint="eastAsia"/>
          <w:sz w:val="24"/>
          <w:szCs w:val="24"/>
          <w:lang w:eastAsia="zh-CN"/>
        </w:rPr>
      </w:pPr>
      <w:r>
        <w:rPr>
          <w:rFonts w:hint="eastAsia"/>
          <w:sz w:val="24"/>
          <w:szCs w:val="24"/>
          <w:lang w:val="en-US" w:eastAsia="zh-CN"/>
        </w:rPr>
        <w:t>2.</w:t>
      </w:r>
      <w:r>
        <w:rPr>
          <w:rFonts w:hint="eastAsia"/>
          <w:sz w:val="24"/>
          <w:szCs w:val="24"/>
        </w:rPr>
        <w:t>磋商小组</w:t>
      </w:r>
      <w:r>
        <w:rPr>
          <w:rFonts w:hint="eastAsia"/>
          <w:sz w:val="24"/>
          <w:szCs w:val="24"/>
          <w:lang w:eastAsia="zh-CN"/>
        </w:rPr>
        <w:t>在评标现场在采购人纪委相关人员监督下通过电话形式</w:t>
      </w:r>
      <w:r>
        <w:rPr>
          <w:rFonts w:hint="eastAsia"/>
          <w:sz w:val="24"/>
          <w:szCs w:val="24"/>
        </w:rPr>
        <w:t>要求所有继续参加磋商的供应商在规定的时间内提交最后报价</w:t>
      </w:r>
      <w:r>
        <w:rPr>
          <w:rFonts w:hint="eastAsia"/>
          <w:sz w:val="24"/>
          <w:szCs w:val="24"/>
          <w:lang w:eastAsia="zh-CN"/>
        </w:rPr>
        <w:t>，请供应商保持电话畅通，如无法接通则视同保持原价格不变。</w:t>
      </w:r>
    </w:p>
    <w:p>
      <w:pPr>
        <w:pStyle w:val="25"/>
        <w:spacing w:line="360" w:lineRule="auto"/>
        <w:ind w:right="980" w:firstLine="422"/>
        <w:jc w:val="center"/>
        <w:rPr>
          <w:rFonts w:hint="eastAsia" w:ascii="宋体" w:hAnsi="宋体" w:eastAsia="宋体" w:cs="宋体"/>
          <w:color w:val="auto"/>
          <w:sz w:val="28"/>
          <w:szCs w:val="28"/>
          <w:highlight w:val="none"/>
        </w:rPr>
      </w:pPr>
      <w:r>
        <w:rPr>
          <w:rFonts w:hint="eastAsia" w:ascii="宋体" w:hAnsi="宋体" w:eastAsia="宋体" w:cs="宋体"/>
          <w:color w:val="auto"/>
          <w:sz w:val="24"/>
          <w:szCs w:val="24"/>
          <w:highlight w:val="none"/>
        </w:rPr>
        <w:t xml:space="preserve"> </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 xml:space="preserve"> 供应商</w:t>
      </w:r>
      <w:r>
        <w:rPr>
          <w:rFonts w:hint="eastAsia" w:ascii="宋体" w:hAnsi="宋体" w:cs="宋体"/>
          <w:color w:val="auto"/>
          <w:sz w:val="28"/>
          <w:szCs w:val="28"/>
          <w:highlight w:val="none"/>
          <w:lang w:val="en-US" w:eastAsia="zh-CN"/>
        </w:rPr>
        <w:t>盖</w:t>
      </w:r>
      <w:r>
        <w:rPr>
          <w:rFonts w:hint="eastAsia" w:ascii="宋体" w:hAnsi="宋体" w:eastAsia="宋体" w:cs="宋体"/>
          <w:color w:val="auto"/>
          <w:sz w:val="28"/>
          <w:szCs w:val="28"/>
          <w:highlight w:val="none"/>
        </w:rPr>
        <w:t>章：</w:t>
      </w:r>
    </w:p>
    <w:p>
      <w:pPr>
        <w:pStyle w:val="2"/>
        <w:rPr>
          <w:rFonts w:hint="eastAsia" w:ascii="宋体" w:hAnsi="宋体" w:eastAsia="宋体" w:cs="宋体"/>
          <w:b/>
          <w:bCs/>
          <w:color w:val="auto"/>
          <w:sz w:val="28"/>
          <w:szCs w:val="28"/>
          <w:highlight w:val="none"/>
        </w:rPr>
      </w:pPr>
      <w:r>
        <w:rPr>
          <w:rFonts w:hint="eastAsia" w:ascii="宋体" w:hAnsi="宋体" w:eastAsia="宋体" w:cs="宋体"/>
          <w:color w:val="auto"/>
          <w:sz w:val="28"/>
          <w:szCs w:val="28"/>
          <w:highlight w:val="none"/>
        </w:rPr>
        <w:t>　　　　　　　　　　　　　　</w:t>
      </w:r>
      <w:r>
        <w:rPr>
          <w:rFonts w:hint="eastAsia" w:ascii="宋体" w:hAnsi="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 xml:space="preserve"> </w:t>
      </w:r>
      <w:r>
        <w:rPr>
          <w:rFonts w:hint="eastAsia" w:ascii="宋体" w:hAnsi="宋体" w:cs="宋体"/>
          <w:b/>
          <w:bCs/>
          <w:color w:val="auto"/>
          <w:sz w:val="28"/>
          <w:szCs w:val="28"/>
          <w:highlight w:val="none"/>
          <w:lang w:val="en-US" w:eastAsia="zh-CN"/>
        </w:rPr>
        <w:t xml:space="preserve"> </w:t>
      </w:r>
      <w:r>
        <w:rPr>
          <w:rFonts w:hint="eastAsia" w:ascii="宋体" w:hAnsi="宋体" w:eastAsia="宋体" w:cs="宋体"/>
          <w:b/>
          <w:bCs/>
          <w:color w:val="auto"/>
          <w:sz w:val="28"/>
          <w:szCs w:val="28"/>
          <w:highlight w:val="none"/>
        </w:rPr>
        <w:t>日   期：</w:t>
      </w:r>
    </w:p>
    <w:p>
      <w:pPr>
        <w:pStyle w:val="2"/>
        <w:ind w:left="0" w:leftChars="0" w:firstLine="0" w:firstLineChars="0"/>
        <w:jc w:val="left"/>
        <w:rPr>
          <w:rFonts w:hint="eastAsia" w:ascii="宋体" w:hAnsi="宋体" w:cs="宋体"/>
          <w:b/>
          <w:bCs/>
          <w:color w:val="auto"/>
          <w:sz w:val="28"/>
          <w:szCs w:val="28"/>
          <w:highlight w:val="none"/>
          <w:lang w:val="en-US" w:eastAsia="zh-CN"/>
        </w:rPr>
      </w:pPr>
    </w:p>
    <w:p>
      <w:pPr>
        <w:pStyle w:val="2"/>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pStyle w:val="2"/>
        <w:ind w:left="0" w:leftChars="0" w:firstLine="0" w:firstLineChars="0"/>
        <w:rPr>
          <w:rFonts w:hint="eastAsia" w:ascii="宋体" w:hAnsi="宋体" w:eastAsia="宋体" w:cs="宋体"/>
          <w:color w:val="auto"/>
          <w:highlight w:val="none"/>
        </w:rPr>
      </w:pPr>
    </w:p>
    <w:p/>
    <w:sectPr>
      <w:headerReference r:id="rId3" w:type="default"/>
      <w:footerReference r:id="rId4" w:type="default"/>
      <w:pgSz w:w="11906" w:h="16838"/>
      <w:pgMar w:top="1440" w:right="1486" w:bottom="1440" w:left="1800" w:header="851" w:footer="1020"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宋体">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rFonts w:ascii="Times New Roman" w:hAnsi="Times New Roman" w:eastAsia="宋体"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1</w:t>
                          </w:r>
                          <w:r>
                            <w:rPr>
                              <w:rFonts w:hint="eastAsia"/>
                              <w:sz w:val="1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tabs>
        <w:tab w:val="left" w:pos="6787"/>
      </w:tabs>
      <w:jc w:val="left"/>
      <w:rPr>
        <w:rFonts w:hint="eastAsia" w:eastAsia="宋体"/>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C127ED"/>
    <w:multiLevelType w:val="multilevel"/>
    <w:tmpl w:val="8AC127ED"/>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0000007"/>
    <w:multiLevelType w:val="singleLevel"/>
    <w:tmpl w:val="00000007"/>
    <w:lvl w:ilvl="0" w:tentative="0">
      <w:start w:val="35"/>
      <w:numFmt w:val="decimal"/>
      <w:suff w:val="nothing"/>
      <w:lvlText w:val="%1、"/>
      <w:lvlJc w:val="left"/>
    </w:lvl>
  </w:abstractNum>
  <w:abstractNum w:abstractNumId="2">
    <w:nsid w:val="00000008"/>
    <w:multiLevelType w:val="singleLevel"/>
    <w:tmpl w:val="00000008"/>
    <w:lvl w:ilvl="0" w:tentative="0">
      <w:start w:val="1"/>
      <w:numFmt w:val="chineseCounting"/>
      <w:suff w:val="space"/>
      <w:lvlText w:val="第%1章"/>
      <w:lvlJc w:val="left"/>
    </w:lvl>
  </w:abstractNum>
  <w:abstractNum w:abstractNumId="3">
    <w:nsid w:val="049DD02D"/>
    <w:multiLevelType w:val="multilevel"/>
    <w:tmpl w:val="049DD02D"/>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4D9815A"/>
    <w:multiLevelType w:val="singleLevel"/>
    <w:tmpl w:val="54D9815A"/>
    <w:lvl w:ilvl="0" w:tentative="0">
      <w:start w:val="2"/>
      <w:numFmt w:val="decimal"/>
      <w:lvlText w:val="%1."/>
      <w:lvlJc w:val="left"/>
      <w:pPr>
        <w:tabs>
          <w:tab w:val="left" w:pos="312"/>
        </w:tabs>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gxOWU0ZGExN2Y4YjcwYzAxNjY1ZDBjNmQyNWIyNjkifQ=="/>
  </w:docVars>
  <w:rsids>
    <w:rsidRoot w:val="00000000"/>
    <w:rsid w:val="0080419F"/>
    <w:rsid w:val="490C7F41"/>
    <w:rsid w:val="76817185"/>
    <w:rsid w:val="7C7F3B64"/>
    <w:rsid w:val="7D9574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6">
    <w:name w:val="heading 2"/>
    <w:basedOn w:val="1"/>
    <w:next w:val="1"/>
    <w:qFormat/>
    <w:uiPriority w:val="0"/>
    <w:pPr>
      <w:keepNext/>
      <w:keepLines/>
      <w:spacing w:before="260" w:after="260" w:line="416" w:lineRule="auto"/>
      <w:outlineLvl w:val="1"/>
    </w:pPr>
    <w:rPr>
      <w:rFonts w:ascii="Arial" w:hAnsi="Arial" w:eastAsia="黑体" w:cs="Times New Roman"/>
      <w:b/>
      <w:bCs/>
      <w:sz w:val="32"/>
      <w:szCs w:val="32"/>
    </w:rPr>
  </w:style>
  <w:style w:type="character" w:default="1" w:styleId="13">
    <w:name w:val="Default Paragraph Font"/>
    <w:semiHidden/>
    <w:qFormat/>
    <w:uiPriority w:val="0"/>
  </w:style>
  <w:style w:type="table" w:default="1" w:styleId="12">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First Indent 2"/>
    <w:basedOn w:val="3"/>
    <w:next w:val="5"/>
    <w:qFormat/>
    <w:uiPriority w:val="0"/>
    <w:pPr>
      <w:ind w:left="420" w:firstLine="420" w:firstLineChars="200"/>
    </w:pPr>
  </w:style>
  <w:style w:type="paragraph" w:styleId="3">
    <w:name w:val="Body Text Indent"/>
    <w:basedOn w:val="1"/>
    <w:next w:val="4"/>
    <w:qFormat/>
    <w:uiPriority w:val="0"/>
    <w:pPr>
      <w:ind w:firstLine="630"/>
    </w:pPr>
    <w:rPr>
      <w:sz w:val="32"/>
      <w:szCs w:val="20"/>
    </w:rPr>
  </w:style>
  <w:style w:type="paragraph" w:styleId="4">
    <w:name w:val="envelope return"/>
    <w:basedOn w:val="1"/>
    <w:qFormat/>
    <w:uiPriority w:val="0"/>
    <w:pPr>
      <w:snapToGrid w:val="0"/>
    </w:pPr>
    <w:rPr>
      <w:rFonts w:ascii="Arial" w:hAnsi="Arial"/>
    </w:rPr>
  </w:style>
  <w:style w:type="paragraph" w:styleId="5">
    <w:name w:val="List"/>
    <w:basedOn w:val="1"/>
    <w:qFormat/>
    <w:uiPriority w:val="0"/>
    <w:pPr>
      <w:ind w:left="420" w:hanging="420"/>
    </w:pPr>
    <w:rPr>
      <w:rFonts w:ascii="Arial" w:hAnsi="Arial" w:eastAsia="楷体_GB2312"/>
      <w:kern w:val="2"/>
      <w:sz w:val="28"/>
    </w:rPr>
  </w:style>
  <w:style w:type="paragraph" w:styleId="7">
    <w:name w:val="annotation text"/>
    <w:basedOn w:val="1"/>
    <w:qFormat/>
    <w:uiPriority w:val="0"/>
    <w:pPr>
      <w:jc w:val="left"/>
    </w:pPr>
    <w:rPr>
      <w:rFonts w:eastAsia="宋体"/>
      <w:szCs w:val="24"/>
    </w:rPr>
  </w:style>
  <w:style w:type="paragraph" w:styleId="8">
    <w:name w:val="Body Text"/>
    <w:basedOn w:val="1"/>
    <w:qFormat/>
    <w:uiPriority w:val="0"/>
    <w:pPr>
      <w:spacing w:after="120"/>
    </w:pPr>
    <w:rPr>
      <w:rFonts w:ascii="Calibri" w:hAnsi="Calibri" w:eastAsia="宋体" w:cs="Times New Roman"/>
      <w:sz w:val="22"/>
      <w:szCs w:val="24"/>
    </w:rPr>
  </w:style>
  <w:style w:type="paragraph" w:styleId="9">
    <w:name w:val="footer"/>
    <w:basedOn w:val="1"/>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10">
    <w:name w:val="header"/>
    <w:basedOn w:val="1"/>
    <w:qFormat/>
    <w:uiPriority w:val="0"/>
    <w:pPr>
      <w:pBdr>
        <w:bottom w:val="single" w:color="auto" w:sz="12" w:space="1"/>
      </w:pBdr>
      <w:tabs>
        <w:tab w:val="center" w:pos="4153"/>
        <w:tab w:val="right" w:pos="8306"/>
      </w:tabs>
      <w:snapToGrid w:val="0"/>
      <w:jc w:val="center"/>
    </w:pPr>
    <w:rPr>
      <w:rFonts w:ascii="Times New Roman" w:hAnsi="Times New Roman" w:eastAsia="宋体" w:cs="Times New Roman"/>
      <w:sz w:val="18"/>
      <w:szCs w:val="18"/>
    </w:rPr>
  </w:style>
  <w:style w:type="paragraph" w:styleId="11">
    <w:name w:val="Normal (Web)"/>
    <w:basedOn w:val="1"/>
    <w:qFormat/>
    <w:uiPriority w:val="0"/>
    <w:pPr>
      <w:widowControl/>
      <w:spacing w:beforeAutospacing="1" w:afterAutospacing="1"/>
      <w:jc w:val="left"/>
    </w:pPr>
    <w:rPr>
      <w:rFonts w:ascii="宋体" w:hAnsi="宋体" w:cs="宋体"/>
      <w:kern w:val="0"/>
      <w:sz w:val="24"/>
    </w:rPr>
  </w:style>
  <w:style w:type="paragraph" w:customStyle="1" w:styleId="14">
    <w:name w:val="Plain Text"/>
    <w:basedOn w:val="1"/>
    <w:qFormat/>
    <w:uiPriority w:val="0"/>
    <w:rPr>
      <w:rFonts w:ascii="宋体" w:hAnsi="Courier New" w:eastAsia="华文宋体"/>
      <w:sz w:val="28"/>
    </w:rPr>
  </w:style>
  <w:style w:type="character" w:customStyle="1" w:styleId="15">
    <w:name w:val="NormalCharacter"/>
    <w:qFormat/>
    <w:uiPriority w:val="0"/>
    <w:rPr>
      <w:rFonts w:ascii="Times New Roman" w:hAnsi="Times New Roman" w:eastAsia="宋体" w:cs="Times New Roman"/>
      <w:kern w:val="2"/>
      <w:sz w:val="21"/>
      <w:szCs w:val="24"/>
      <w:lang w:val="en-US" w:eastAsia="zh-CN" w:bidi="ar-SA"/>
    </w:rPr>
  </w:style>
  <w:style w:type="paragraph" w:customStyle="1" w:styleId="16">
    <w:name w:val="00大标题"/>
    <w:basedOn w:val="1"/>
    <w:qFormat/>
    <w:uiPriority w:val="0"/>
    <w:pPr>
      <w:jc w:val="center"/>
    </w:pPr>
    <w:rPr>
      <w:rFonts w:ascii="宋体" w:hAnsi="宋体"/>
      <w:b/>
      <w:sz w:val="32"/>
      <w:szCs w:val="32"/>
    </w:rPr>
  </w:style>
  <w:style w:type="paragraph" w:customStyle="1" w:styleId="1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8">
    <w:name w:val="Body Text First Indent 2"/>
    <w:basedOn w:val="19"/>
    <w:qFormat/>
    <w:uiPriority w:val="0"/>
    <w:pPr>
      <w:ind w:firstLine="420" w:firstLineChars="200"/>
    </w:pPr>
    <w:rPr>
      <w:rFonts w:ascii="Times New Roman" w:hAnsi="Times New Roman" w:eastAsia="宋体" w:cs="Times New Roman"/>
      <w:szCs w:val="24"/>
    </w:rPr>
  </w:style>
  <w:style w:type="paragraph" w:customStyle="1" w:styleId="19">
    <w:name w:val="Body Text Indent"/>
    <w:basedOn w:val="1"/>
    <w:next w:val="20"/>
    <w:qFormat/>
    <w:uiPriority w:val="0"/>
    <w:pPr>
      <w:ind w:firstLine="630"/>
    </w:pPr>
    <w:rPr>
      <w:rFonts w:ascii="Times New Roman" w:hAnsi="Times New Roman" w:eastAsia="宋体" w:cs="Times New Roman"/>
      <w:szCs w:val="24"/>
    </w:rPr>
  </w:style>
  <w:style w:type="paragraph" w:customStyle="1" w:styleId="20">
    <w:name w:val="envelope return"/>
    <w:basedOn w:val="1"/>
    <w:qFormat/>
    <w:uiPriority w:val="0"/>
    <w:pPr>
      <w:snapToGrid w:val="0"/>
    </w:pPr>
    <w:rPr>
      <w:rFonts w:ascii="Arial" w:hAnsi="Arial"/>
    </w:rPr>
  </w:style>
  <w:style w:type="paragraph" w:customStyle="1" w:styleId="21">
    <w:name w:val="Table Paragraph"/>
    <w:basedOn w:val="1"/>
    <w:qFormat/>
    <w:uiPriority w:val="0"/>
    <w:pPr>
      <w:autoSpaceDE w:val="0"/>
      <w:autoSpaceDN w:val="0"/>
      <w:adjustRightInd w:val="0"/>
      <w:jc w:val="left"/>
    </w:pPr>
    <w:rPr>
      <w:kern w:val="0"/>
      <w:sz w:val="24"/>
    </w:rPr>
  </w:style>
  <w:style w:type="paragraph" w:customStyle="1" w:styleId="22">
    <w:name w:val="BodyText1I2"/>
    <w:basedOn w:val="23"/>
    <w:qFormat/>
    <w:uiPriority w:val="0"/>
    <w:pPr>
      <w:ind w:firstLine="420" w:firstLineChars="200"/>
      <w:jc w:val="both"/>
      <w:textAlignment w:val="baseline"/>
    </w:pPr>
  </w:style>
  <w:style w:type="paragraph" w:customStyle="1" w:styleId="23">
    <w:name w:val="BodyTextIndent"/>
    <w:basedOn w:val="1"/>
    <w:next w:val="24"/>
    <w:qFormat/>
    <w:uiPriority w:val="0"/>
    <w:pPr>
      <w:ind w:firstLine="630"/>
      <w:jc w:val="both"/>
      <w:textAlignment w:val="baseline"/>
    </w:pPr>
    <w:rPr>
      <w:kern w:val="2"/>
      <w:sz w:val="32"/>
      <w:szCs w:val="20"/>
      <w:lang w:val="en-US" w:eastAsia="zh-CN" w:bidi="ar-SA"/>
    </w:rPr>
  </w:style>
  <w:style w:type="paragraph" w:customStyle="1" w:styleId="24">
    <w:name w:val="EnvelopeReturn"/>
    <w:basedOn w:val="1"/>
    <w:qFormat/>
    <w:uiPriority w:val="0"/>
    <w:pPr>
      <w:snapToGrid w:val="0"/>
      <w:jc w:val="both"/>
      <w:textAlignment w:val="baseline"/>
    </w:pPr>
    <w:rPr>
      <w:rFonts w:ascii="Arial" w:hAnsi="Arial"/>
      <w:kern w:val="2"/>
      <w:sz w:val="21"/>
      <w:szCs w:val="24"/>
      <w:lang w:val="en-US" w:eastAsia="zh-CN" w:bidi="ar-SA"/>
    </w:rPr>
  </w:style>
  <w:style w:type="paragraph" w:customStyle="1" w:styleId="25">
    <w:name w:val="02标题二"/>
    <w:basedOn w:val="1"/>
    <w:qFormat/>
    <w:uiPriority w:val="0"/>
    <w:pPr>
      <w:ind w:firstLine="562" w:firstLineChars="200"/>
    </w:pPr>
    <w:rPr>
      <w:rFonts w:cs="华文仿宋"/>
      <w:b/>
      <w:bCs/>
      <w:sz w:val="28"/>
      <w:szCs w:val="28"/>
    </w:rPr>
  </w:style>
  <w:style w:type="paragraph" w:customStyle="1" w:styleId="26">
    <w:name w:val="样式 ！正文 + 首行缩进:  2 字符"/>
    <w:basedOn w:val="1"/>
    <w:next w:val="1"/>
    <w:qFormat/>
    <w:uiPriority w:val="0"/>
    <w:pPr>
      <w:ind w:firstLine="480" w:firstLineChars="200"/>
    </w:pPr>
    <w:rPr>
      <w:rFonts w:hint="eastAsia" w:ascii="Arial" w:hAnsi="Arial" w:cs="宋体"/>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34</Pages>
  <Words>19106</Words>
  <Characters>20196</Characters>
  <Lines>0</Lines>
  <Paragraphs>0</Paragraphs>
  <TotalTime>6</TotalTime>
  <ScaleCrop>false</ScaleCrop>
  <LinksUpToDate>false</LinksUpToDate>
  <CharactersWithSpaces>20864</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2022-06-14T05:58:00Z</dcterms:created>
  <dc:creator>Administrator</dc:creator>
  <cp:lastModifiedBy>Administrator</cp:lastModifiedBy>
  <dcterms:modified xsi:type="dcterms:W3CDTF">2022-06-14T09:28:50Z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1EE69212F91C46CD88C518E22E6530BD</vt:lpwstr>
  </property>
</Properties>
</file>