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4"/>
          <w:szCs w:val="24"/>
        </w:rPr>
      </w:pPr>
      <w:r>
        <w:rPr>
          <w:rFonts w:hint="eastAsia" w:ascii="宋体" w:hAnsi="宋体" w:cs="宋体"/>
          <w:b/>
          <w:bCs/>
          <w:kern w:val="0"/>
          <w:sz w:val="32"/>
        </w:rPr>
        <w:t>铜陵学院图书馆20</w:t>
      </w:r>
      <w:r>
        <w:rPr>
          <w:rFonts w:hint="eastAsia" w:ascii="宋体" w:hAnsi="宋体" w:cs="宋体"/>
          <w:b/>
          <w:bCs/>
          <w:kern w:val="0"/>
          <w:sz w:val="32"/>
          <w:lang w:val="en-US" w:eastAsia="zh-CN"/>
        </w:rPr>
        <w:t>20</w:t>
      </w:r>
      <w:r>
        <w:rPr>
          <w:rFonts w:hint="eastAsia" w:ascii="宋体" w:hAnsi="宋体" w:cs="宋体"/>
          <w:b/>
          <w:bCs/>
          <w:kern w:val="0"/>
          <w:sz w:val="32"/>
        </w:rPr>
        <w:t xml:space="preserve">年度外文原版期刊采购项目询价公告           </w:t>
      </w:r>
      <w:r>
        <w:rPr>
          <w:sz w:val="24"/>
          <w:szCs w:val="24"/>
        </w:rPr>
        <w:t>（项目编号:tlxyzb[</w:t>
      </w:r>
      <w:r>
        <w:rPr>
          <w:rFonts w:hint="eastAsia"/>
          <w:sz w:val="24"/>
          <w:szCs w:val="24"/>
          <w:lang w:eastAsia="zh-CN"/>
        </w:rPr>
        <w:t>20</w:t>
      </w:r>
      <w:r>
        <w:rPr>
          <w:rFonts w:hint="eastAsia"/>
          <w:sz w:val="24"/>
          <w:szCs w:val="24"/>
          <w:lang w:val="en-US" w:eastAsia="zh-CN"/>
        </w:rPr>
        <w:t>19</w:t>
      </w:r>
      <w:r>
        <w:rPr>
          <w:sz w:val="24"/>
          <w:szCs w:val="24"/>
        </w:rPr>
        <w:t>]</w:t>
      </w:r>
      <w:r>
        <w:rPr>
          <w:rFonts w:hint="eastAsia"/>
          <w:sz w:val="24"/>
          <w:szCs w:val="24"/>
          <w:lang w:val="en-US" w:eastAsia="zh-CN"/>
        </w:rPr>
        <w:t>99</w:t>
      </w:r>
      <w:r>
        <w:rPr>
          <w:sz w:val="24"/>
          <w:szCs w:val="24"/>
        </w:rPr>
        <w:t>号）</w:t>
      </w:r>
    </w:p>
    <w:p>
      <w:pPr>
        <w:pStyle w:val="5"/>
        <w:spacing w:before="0" w:beforeAutospacing="0" w:after="0" w:afterAutospacing="0" w:line="520" w:lineRule="exact"/>
        <w:jc w:val="both"/>
      </w:pPr>
      <w:r>
        <w:rPr>
          <w:rFonts w:hint="eastAsia"/>
        </w:rPr>
        <w:t>各潜在投标单位：</w:t>
      </w:r>
    </w:p>
    <w:p>
      <w:pPr>
        <w:pStyle w:val="5"/>
        <w:spacing w:before="0" w:beforeAutospacing="0" w:after="0" w:afterAutospacing="0" w:line="520" w:lineRule="exact"/>
        <w:ind w:firstLine="540" w:firstLineChars="225"/>
      </w:pPr>
      <w:r>
        <w:rPr>
          <w:rFonts w:hint="eastAsia"/>
        </w:rPr>
        <w:t>为了做好我校20</w:t>
      </w:r>
      <w:r>
        <w:rPr>
          <w:rFonts w:hint="eastAsia"/>
          <w:lang w:val="en-US" w:eastAsia="zh-CN"/>
        </w:rPr>
        <w:t>20</w:t>
      </w:r>
      <w:r>
        <w:rPr>
          <w:rFonts w:hint="eastAsia"/>
        </w:rPr>
        <w:t>年度外文原版期刊增订采购工作，经学校研究决定对此项工作进行公开询价招标。本着公开、公平、公正、择优的原则，通过规范招标程序选择承办单位。具体公告如下：</w:t>
      </w:r>
    </w:p>
    <w:p>
      <w:pPr>
        <w:widowControl/>
        <w:spacing w:line="420" w:lineRule="exact"/>
        <w:ind w:firstLine="482" w:firstLineChars="200"/>
        <w:jc w:val="left"/>
        <w:rPr>
          <w:rFonts w:ascii="宋体" w:hAnsi="宋体" w:cs="宋体"/>
          <w:b/>
          <w:kern w:val="0"/>
          <w:sz w:val="24"/>
        </w:rPr>
      </w:pPr>
      <w:r>
        <w:rPr>
          <w:rFonts w:ascii="宋体" w:hAnsi="宋体" w:cs="宋体"/>
          <w:b/>
          <w:kern w:val="0"/>
          <w:sz w:val="24"/>
        </w:rPr>
        <w:t>一、采购项目概况</w:t>
      </w:r>
    </w:p>
    <w:p>
      <w:pPr>
        <w:widowControl/>
        <w:spacing w:line="420" w:lineRule="exact"/>
        <w:ind w:firstLine="360" w:firstLineChars="150"/>
        <w:jc w:val="left"/>
        <w:rPr>
          <w:rFonts w:ascii="宋体" w:hAnsi="宋体" w:cs="宋体"/>
          <w:kern w:val="0"/>
          <w:sz w:val="24"/>
        </w:rPr>
      </w:pPr>
      <w:r>
        <w:rPr>
          <w:rFonts w:hint="eastAsia" w:ascii="宋体" w:hAnsi="宋体" w:cs="宋体"/>
          <w:kern w:val="0"/>
          <w:sz w:val="24"/>
        </w:rPr>
        <w:t>（一）</w:t>
      </w:r>
      <w:r>
        <w:rPr>
          <w:rFonts w:ascii="宋体" w:hAnsi="宋体" w:cs="宋体"/>
          <w:kern w:val="0"/>
          <w:sz w:val="24"/>
        </w:rPr>
        <w:t>项目名称：</w:t>
      </w:r>
      <w:r>
        <w:rPr>
          <w:rFonts w:hint="eastAsia" w:ascii="宋体" w:hAnsi="宋体" w:cs="宋体"/>
          <w:kern w:val="0"/>
          <w:sz w:val="24"/>
        </w:rPr>
        <w:t>铜陵学院图书馆20</w:t>
      </w:r>
      <w:r>
        <w:rPr>
          <w:rFonts w:hint="eastAsia" w:ascii="宋体" w:hAnsi="宋体" w:cs="宋体"/>
          <w:kern w:val="0"/>
          <w:sz w:val="24"/>
          <w:lang w:val="en-US" w:eastAsia="zh-CN"/>
        </w:rPr>
        <w:t>20</w:t>
      </w:r>
      <w:r>
        <w:rPr>
          <w:rFonts w:hint="eastAsia" w:ascii="宋体" w:hAnsi="宋体" w:cs="宋体"/>
          <w:kern w:val="0"/>
          <w:sz w:val="24"/>
        </w:rPr>
        <w:t>年度外文原版期刊采购</w:t>
      </w:r>
    </w:p>
    <w:p>
      <w:pPr>
        <w:widowControl/>
        <w:spacing w:line="420" w:lineRule="exact"/>
        <w:ind w:firstLine="360" w:firstLineChars="150"/>
        <w:jc w:val="left"/>
        <w:rPr>
          <w:rFonts w:ascii="宋体" w:hAnsi="宋体" w:cs="宋体"/>
          <w:kern w:val="0"/>
          <w:sz w:val="24"/>
        </w:rPr>
      </w:pPr>
      <w:r>
        <w:rPr>
          <w:rFonts w:hint="eastAsia" w:ascii="宋体" w:hAnsi="宋体" w:cs="宋体"/>
          <w:kern w:val="0"/>
          <w:sz w:val="24"/>
        </w:rPr>
        <w:t>（二）</w:t>
      </w:r>
      <w:r>
        <w:rPr>
          <w:rFonts w:ascii="宋体" w:hAnsi="宋体" w:cs="宋体"/>
          <w:kern w:val="0"/>
          <w:sz w:val="24"/>
        </w:rPr>
        <w:t>项目</w:t>
      </w:r>
      <w:r>
        <w:rPr>
          <w:rFonts w:hint="eastAsia" w:ascii="宋体" w:hAnsi="宋体" w:cs="宋体"/>
          <w:kern w:val="0"/>
          <w:sz w:val="24"/>
        </w:rPr>
        <w:t>内容 ：包括刊号、刊名、刊期、出版社和起止期等，详见下表</w:t>
      </w:r>
    </w:p>
    <w:tbl>
      <w:tblPr>
        <w:tblStyle w:val="9"/>
        <w:tblW w:w="9907" w:type="dxa"/>
        <w:tblInd w:w="-295" w:type="dxa"/>
        <w:tblLayout w:type="fixed"/>
        <w:tblCellMar>
          <w:top w:w="0" w:type="dxa"/>
          <w:left w:w="108" w:type="dxa"/>
          <w:bottom w:w="0" w:type="dxa"/>
          <w:right w:w="108" w:type="dxa"/>
        </w:tblCellMar>
      </w:tblPr>
      <w:tblGrid>
        <w:gridCol w:w="1332"/>
        <w:gridCol w:w="3750"/>
        <w:gridCol w:w="622"/>
        <w:gridCol w:w="2977"/>
        <w:gridCol w:w="1226"/>
      </w:tblGrid>
      <w:tr>
        <w:tblPrEx>
          <w:tblLayout w:type="fixed"/>
          <w:tblCellMar>
            <w:top w:w="0" w:type="dxa"/>
            <w:left w:w="108" w:type="dxa"/>
            <w:bottom w:w="0" w:type="dxa"/>
            <w:right w:w="108" w:type="dxa"/>
          </w:tblCellMar>
        </w:tblPrEx>
        <w:trPr>
          <w:trHeight w:val="312" w:hRule="atLeast"/>
        </w:trPr>
        <w:tc>
          <w:tcPr>
            <w:tcW w:w="1332" w:type="dxa"/>
            <w:tcBorders>
              <w:top w:val="single" w:color="auto" w:sz="4" w:space="0"/>
              <w:left w:val="single" w:color="auto" w:sz="4" w:space="0"/>
              <w:bottom w:val="single" w:color="auto" w:sz="4" w:space="0"/>
              <w:right w:val="single" w:color="auto" w:sz="4" w:space="0"/>
            </w:tcBorders>
            <w:shd w:val="clear" w:color="000000" w:fill="CCFFFF"/>
            <w:noWrap w:val="0"/>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报刊号</w:t>
            </w:r>
          </w:p>
        </w:tc>
        <w:tc>
          <w:tcPr>
            <w:tcW w:w="3750" w:type="dxa"/>
            <w:tcBorders>
              <w:top w:val="single" w:color="auto" w:sz="4" w:space="0"/>
              <w:left w:val="nil"/>
              <w:bottom w:val="single" w:color="auto" w:sz="4" w:space="0"/>
              <w:right w:val="single" w:color="auto" w:sz="4" w:space="0"/>
            </w:tcBorders>
            <w:shd w:val="clear" w:color="000000" w:fill="CCFFFF"/>
            <w:noWrap w:val="0"/>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报刊名称</w:t>
            </w:r>
          </w:p>
        </w:tc>
        <w:tc>
          <w:tcPr>
            <w:tcW w:w="622" w:type="dxa"/>
            <w:tcBorders>
              <w:top w:val="single" w:color="auto" w:sz="4" w:space="0"/>
              <w:left w:val="nil"/>
              <w:bottom w:val="single" w:color="auto" w:sz="4" w:space="0"/>
              <w:right w:val="single" w:color="auto" w:sz="4" w:space="0"/>
            </w:tcBorders>
            <w:shd w:val="clear" w:color="000000" w:fill="CCFFFF"/>
            <w:noWrap w:val="0"/>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刊期</w:t>
            </w:r>
          </w:p>
        </w:tc>
        <w:tc>
          <w:tcPr>
            <w:tcW w:w="2977" w:type="dxa"/>
            <w:tcBorders>
              <w:top w:val="single" w:color="auto" w:sz="4" w:space="0"/>
              <w:left w:val="nil"/>
              <w:bottom w:val="single" w:color="auto" w:sz="4" w:space="0"/>
              <w:right w:val="single" w:color="auto" w:sz="4" w:space="0"/>
            </w:tcBorders>
            <w:shd w:val="clear" w:color="000000" w:fill="CCFFFF"/>
            <w:noWrap w:val="0"/>
            <w:vAlign w:val="center"/>
          </w:tcPr>
          <w:p>
            <w:pPr>
              <w:widowControl/>
              <w:jc w:val="center"/>
              <w:rPr>
                <w:rFonts w:ascii="宋体" w:hAnsi="宋体" w:cs="宋体"/>
                <w:color w:val="000000"/>
                <w:kern w:val="0"/>
                <w:sz w:val="22"/>
              </w:rPr>
            </w:pPr>
            <w:r>
              <w:rPr>
                <w:rFonts w:hint="eastAsia" w:ascii="宋体" w:hAnsi="宋体" w:cs="宋体"/>
                <w:color w:val="000000"/>
                <w:kern w:val="0"/>
                <w:sz w:val="22"/>
              </w:rPr>
              <w:t>出版社</w:t>
            </w:r>
          </w:p>
        </w:tc>
        <w:tc>
          <w:tcPr>
            <w:tcW w:w="1226" w:type="dxa"/>
            <w:tcBorders>
              <w:top w:val="single" w:color="auto" w:sz="4" w:space="0"/>
              <w:left w:val="nil"/>
              <w:bottom w:val="single" w:color="auto" w:sz="4" w:space="0"/>
              <w:right w:val="single" w:color="auto" w:sz="4" w:space="0"/>
            </w:tcBorders>
            <w:shd w:val="clear" w:color="auto" w:fill="D5FAFF"/>
            <w:noWrap/>
            <w:vAlign w:val="center"/>
          </w:tcPr>
          <w:p>
            <w:pPr>
              <w:widowControl/>
              <w:jc w:val="center"/>
              <w:rPr>
                <w:rFonts w:ascii="宋体" w:hAnsi="宋体" w:cs="宋体"/>
                <w:kern w:val="0"/>
                <w:sz w:val="24"/>
                <w:szCs w:val="24"/>
              </w:rPr>
            </w:pPr>
            <w:r>
              <w:rPr>
                <w:rFonts w:hint="eastAsia" w:ascii="宋体" w:hAnsi="宋体" w:cs="宋体"/>
                <w:color w:val="000000"/>
                <w:kern w:val="0"/>
                <w:sz w:val="22"/>
              </w:rPr>
              <w:t>起止期</w:t>
            </w:r>
          </w:p>
        </w:tc>
      </w:tr>
      <w:tr>
        <w:tblPrEx>
          <w:tblLayout w:type="fixed"/>
          <w:tblCellMar>
            <w:top w:w="0" w:type="dxa"/>
            <w:left w:w="108" w:type="dxa"/>
            <w:bottom w:w="0" w:type="dxa"/>
            <w:right w:w="108" w:type="dxa"/>
          </w:tblCellMar>
        </w:tblPrEx>
        <w:trPr>
          <w:trHeight w:val="444"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Arial Narrow" w:hAnsi="Arial Narrow"/>
                <w:color w:val="000000"/>
                <w:kern w:val="0"/>
                <w:sz w:val="20"/>
                <w:szCs w:val="20"/>
              </w:rPr>
            </w:pPr>
            <w:r>
              <w:rPr>
                <w:rFonts w:ascii="Arial Narrow" w:hAnsi="Arial Narrow"/>
                <w:color w:val="000000"/>
                <w:sz w:val="20"/>
                <w:szCs w:val="20"/>
              </w:rPr>
              <w:t>290C0014</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Asian Business &amp; Management</w:t>
            </w:r>
          </w:p>
        </w:tc>
        <w:tc>
          <w:tcPr>
            <w:tcW w:w="622" w:type="dxa"/>
            <w:tcBorders>
              <w:top w:val="nil"/>
              <w:left w:val="nil"/>
              <w:bottom w:val="single" w:color="auto" w:sz="4" w:space="0"/>
              <w:right w:val="single" w:color="auto" w:sz="4" w:space="0"/>
            </w:tcBorders>
            <w:shd w:val="clear" w:color="auto" w:fill="auto"/>
            <w:noWrap w:val="0"/>
            <w:vAlign w:val="center"/>
          </w:tcPr>
          <w:p>
            <w:pPr>
              <w:widowControl/>
              <w:jc w:val="center"/>
              <w:rPr>
                <w:rFonts w:ascii="Arial Narrow" w:hAnsi="Arial Narrow"/>
                <w:color w:val="000000"/>
                <w:kern w:val="0"/>
                <w:sz w:val="20"/>
                <w:szCs w:val="20"/>
              </w:rPr>
            </w:pPr>
            <w:r>
              <w:rPr>
                <w:rFonts w:ascii="Arial Narrow" w:hAnsi="Arial Narrow"/>
                <w:color w:val="000000"/>
                <w:sz w:val="20"/>
                <w:szCs w:val="20"/>
              </w:rPr>
              <w:t>5</w:t>
            </w:r>
          </w:p>
        </w:tc>
        <w:tc>
          <w:tcPr>
            <w:tcW w:w="2977" w:type="dxa"/>
            <w:tcBorders>
              <w:top w:val="nil"/>
              <w:left w:val="nil"/>
              <w:bottom w:val="single" w:color="auto" w:sz="4" w:space="0"/>
              <w:right w:val="single" w:color="auto" w:sz="4" w:space="0"/>
            </w:tcBorders>
            <w:shd w:val="clear" w:color="auto" w:fill="auto"/>
            <w:noWrap w:val="0"/>
            <w:vAlign w:val="center"/>
          </w:tcPr>
          <w:p>
            <w:pPr>
              <w:widowControl/>
              <w:jc w:val="left"/>
              <w:rPr>
                <w:rFonts w:ascii="Arial Narrow" w:hAnsi="Arial Narrow"/>
                <w:color w:val="000000"/>
                <w:kern w:val="0"/>
                <w:sz w:val="20"/>
                <w:szCs w:val="20"/>
              </w:rPr>
            </w:pPr>
            <w:r>
              <w:rPr>
                <w:rFonts w:ascii="Arial Narrow" w:hAnsi="Arial Narrow"/>
                <w:color w:val="000000"/>
                <w:sz w:val="20"/>
                <w:szCs w:val="20"/>
              </w:rPr>
              <w:t>Palgrave Macmillan</w:t>
            </w:r>
          </w:p>
        </w:tc>
        <w:tc>
          <w:tcPr>
            <w:tcW w:w="1226"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both"/>
              <w:rPr>
                <w:rFonts w:ascii="Arial Narrow" w:hAnsi="Arial Narrow"/>
                <w:color w:val="000000"/>
                <w:sz w:val="20"/>
                <w:szCs w:val="20"/>
              </w:rPr>
            </w:pPr>
            <w:bookmarkStart w:id="0" w:name="_GoBack"/>
            <w:bookmarkEnd w:id="0"/>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3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297B0052</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Accounting Review</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American Accounting Association</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68"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297B0062/IP</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The Journal of Finance</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Wiley-Blackwell</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08"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297B0082</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Public Finance Review</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Sage Publications Ltd.</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56"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sz w:val="20"/>
                <w:szCs w:val="20"/>
              </w:rPr>
            </w:pPr>
            <w:r>
              <w:rPr>
                <w:rFonts w:ascii="Arial Narrow" w:hAnsi="Arial Narrow"/>
                <w:sz w:val="20"/>
                <w:szCs w:val="20"/>
              </w:rPr>
              <w:t>297B0249</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sz w:val="20"/>
                <w:szCs w:val="20"/>
              </w:rPr>
            </w:pPr>
            <w:r>
              <w:rPr>
                <w:rFonts w:ascii="Arial Narrow" w:hAnsi="Arial Narrow"/>
                <w:sz w:val="20"/>
                <w:szCs w:val="20"/>
              </w:rPr>
              <w:t>Global Finance Journal</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sz w:val="20"/>
                <w:szCs w:val="20"/>
              </w:rPr>
            </w:pPr>
            <w:r>
              <w:rPr>
                <w:rFonts w:ascii="Arial Narrow" w:hAnsi="Arial Narrow"/>
                <w:sz w:val="20"/>
                <w:szCs w:val="20"/>
              </w:rPr>
              <w:t>4</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sz w:val="20"/>
                <w:szCs w:val="20"/>
              </w:rPr>
            </w:pPr>
            <w:r>
              <w:rPr>
                <w:rFonts w:ascii="Arial Narrow" w:hAnsi="Arial Narrow"/>
                <w:sz w:val="20"/>
                <w:szCs w:val="20"/>
              </w:rPr>
              <w:t>Elsevier Science Inc.-Oxford</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sz w:val="20"/>
                <w:szCs w:val="20"/>
              </w:rPr>
              <w:t>2020全年</w:t>
            </w:r>
          </w:p>
        </w:tc>
      </w:tr>
      <w:tr>
        <w:tblPrEx>
          <w:tblLayout w:type="fixed"/>
          <w:tblCellMar>
            <w:top w:w="0" w:type="dxa"/>
            <w:left w:w="108" w:type="dxa"/>
            <w:bottom w:w="0" w:type="dxa"/>
            <w:right w:w="108" w:type="dxa"/>
          </w:tblCellMar>
        </w:tblPrEx>
        <w:trPr>
          <w:trHeight w:val="31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297B0263</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Journal of International Financial Markets, Institutions &amp; Money</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Elsevier Science Inc.-Oxford</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68"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297B0393</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International Journal of Finance &amp; Economics</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Wiley-Blackwell</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55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299B0057</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Journal of Business &amp; Economic Statistics</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Taylor &amp; Francis</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68"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340C0056</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Cambridge Law Journal</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3</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Cambridge University Press</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3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340</w:t>
            </w:r>
            <w:r>
              <w:rPr>
                <w:rFonts w:hint="eastAsia" w:ascii="Arial Narrow" w:hAnsi="Arial Narrow"/>
                <w:color w:val="000000"/>
                <w:sz w:val="20"/>
                <w:szCs w:val="20"/>
              </w:rPr>
              <w:t>E0381</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Netherlands International Law Review</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3</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Springer</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3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375B0063</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Library Trends</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Johns Hopkins University Press</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31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410B0004</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College English</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National Council of Teachers of English</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31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410C0002</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ELT Journal</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Oxford University Press</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55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420B0002</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Comparative Literature</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Duke University Press</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31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513B0056/IP</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SIAM Journal on Mathematical Analysis</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Society for Industrial and Applied Mathematics</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20"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714B0063-A/IP</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Management Science</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INFORMS</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444"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738B0008-2</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Communications of the ACM</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Association for Computing Machinery</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55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778B0003</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Corrosion</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National Association of Corrosion Engineers</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55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780B0017</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Journal of Mechanical Design</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American Society of Mechanical Engineers (ASME)</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55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780C0092</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Mechanical Systems and Signal Processing</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16</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Elsevier Science Inc.-Oxford</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55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860B0001</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Civil Engineering Magazine</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American Society of Civil Engineers</w:t>
            </w:r>
          </w:p>
        </w:tc>
        <w:tc>
          <w:tcPr>
            <w:tcW w:w="1226" w:type="dxa"/>
            <w:tcBorders>
              <w:top w:val="nil"/>
              <w:left w:val="nil"/>
              <w:bottom w:val="single" w:color="auto" w:sz="4" w:space="0"/>
              <w:right w:val="single" w:color="auto" w:sz="4" w:space="0"/>
            </w:tcBorders>
            <w:shd w:val="clear" w:color="000000" w:fill="FFFFFF"/>
            <w:noWrap w:val="0"/>
            <w:vAlign w:val="top"/>
          </w:tcPr>
          <w:p>
            <w:r>
              <w:rPr>
                <w:rFonts w:hint="eastAsia" w:ascii="Arial Narrow" w:hAnsi="Arial Narrow"/>
                <w:color w:val="000000"/>
                <w:sz w:val="20"/>
                <w:szCs w:val="20"/>
              </w:rPr>
              <w:t>2020全年</w:t>
            </w:r>
          </w:p>
        </w:tc>
      </w:tr>
      <w:tr>
        <w:tblPrEx>
          <w:tblLayout w:type="fixed"/>
          <w:tblCellMar>
            <w:top w:w="0" w:type="dxa"/>
            <w:left w:w="108" w:type="dxa"/>
            <w:bottom w:w="0" w:type="dxa"/>
            <w:right w:w="108" w:type="dxa"/>
          </w:tblCellMar>
        </w:tblPrEx>
        <w:trPr>
          <w:trHeight w:val="552" w:hRule="atLeast"/>
        </w:trPr>
        <w:tc>
          <w:tcPr>
            <w:tcW w:w="1332" w:type="dxa"/>
            <w:tcBorders>
              <w:top w:val="nil"/>
              <w:left w:val="single" w:color="auto" w:sz="4" w:space="0"/>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862B0</w:t>
            </w:r>
            <w:r>
              <w:rPr>
                <w:rFonts w:hint="eastAsia" w:ascii="Arial Narrow" w:hAnsi="Arial Narrow"/>
                <w:color w:val="000000"/>
                <w:sz w:val="20"/>
                <w:szCs w:val="20"/>
              </w:rPr>
              <w:t>17</w:t>
            </w:r>
          </w:p>
        </w:tc>
        <w:tc>
          <w:tcPr>
            <w:tcW w:w="3750"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hint="eastAsia" w:ascii="Arial Narrow" w:hAnsi="Arial Narrow"/>
                <w:color w:val="000000"/>
                <w:sz w:val="20"/>
                <w:szCs w:val="20"/>
                <w:highlight w:val="none"/>
                <w:shd w:val="clear" w:color="auto" w:fill="auto"/>
              </w:rPr>
              <w:t>Journal of Architectural Education and Technology, Architecture + Design，</w:t>
            </w:r>
          </w:p>
        </w:tc>
        <w:tc>
          <w:tcPr>
            <w:tcW w:w="622" w:type="dxa"/>
            <w:tcBorders>
              <w:top w:val="nil"/>
              <w:left w:val="nil"/>
              <w:bottom w:val="single" w:color="auto" w:sz="4" w:space="0"/>
              <w:right w:val="single" w:color="auto" w:sz="4" w:space="0"/>
            </w:tcBorders>
            <w:shd w:val="clear" w:color="auto" w:fill="auto"/>
            <w:noWrap w:val="0"/>
            <w:vAlign w:val="center"/>
          </w:tcPr>
          <w:p>
            <w:pPr>
              <w:jc w:val="center"/>
              <w:rPr>
                <w:rFonts w:ascii="Arial Narrow" w:hAnsi="Arial Narrow"/>
                <w:color w:val="000000"/>
                <w:sz w:val="20"/>
                <w:szCs w:val="20"/>
              </w:rPr>
            </w:pPr>
            <w:r>
              <w:rPr>
                <w:rFonts w:ascii="Arial Narrow" w:hAnsi="Arial Narrow"/>
                <w:color w:val="000000"/>
                <w:sz w:val="20"/>
                <w:szCs w:val="20"/>
              </w:rPr>
              <w:t>2</w:t>
            </w:r>
          </w:p>
        </w:tc>
        <w:tc>
          <w:tcPr>
            <w:tcW w:w="2977" w:type="dxa"/>
            <w:tcBorders>
              <w:top w:val="nil"/>
              <w:left w:val="nil"/>
              <w:bottom w:val="single" w:color="auto" w:sz="4" w:space="0"/>
              <w:right w:val="single" w:color="auto" w:sz="4" w:space="0"/>
            </w:tcBorders>
            <w:shd w:val="clear" w:color="auto" w:fill="auto"/>
            <w:noWrap w:val="0"/>
            <w:vAlign w:val="center"/>
          </w:tcPr>
          <w:p>
            <w:pPr>
              <w:rPr>
                <w:rFonts w:ascii="Arial Narrow" w:hAnsi="Arial Narrow"/>
                <w:color w:val="000000"/>
                <w:sz w:val="20"/>
                <w:szCs w:val="20"/>
              </w:rPr>
            </w:pPr>
            <w:r>
              <w:rPr>
                <w:rFonts w:ascii="Arial Narrow" w:hAnsi="Arial Narrow"/>
                <w:color w:val="000000"/>
                <w:sz w:val="20"/>
                <w:szCs w:val="20"/>
              </w:rPr>
              <w:t>Taylor &amp; Francis</w:t>
            </w:r>
          </w:p>
        </w:tc>
        <w:tc>
          <w:tcPr>
            <w:tcW w:w="1226" w:type="dxa"/>
            <w:tcBorders>
              <w:top w:val="nil"/>
              <w:left w:val="nil"/>
              <w:bottom w:val="single" w:color="auto" w:sz="4" w:space="0"/>
              <w:right w:val="single" w:color="auto" w:sz="4" w:space="0"/>
            </w:tcBorders>
            <w:shd w:val="clear" w:color="000000" w:fill="FFFFFF"/>
            <w:noWrap w:val="0"/>
            <w:vAlign w:val="top"/>
          </w:tcPr>
          <w:p>
            <w:pPr>
              <w:rPr>
                <w:highlight w:val="green"/>
              </w:rPr>
            </w:pPr>
            <w:r>
              <w:rPr>
                <w:rFonts w:hint="eastAsia" w:ascii="Arial Narrow" w:hAnsi="Arial Narrow"/>
                <w:color w:val="000000"/>
                <w:sz w:val="20"/>
                <w:szCs w:val="20"/>
              </w:rPr>
              <w:t>2020全年</w:t>
            </w:r>
          </w:p>
        </w:tc>
      </w:tr>
    </w:tbl>
    <w:p>
      <w:pPr>
        <w:widowControl/>
        <w:spacing w:line="420" w:lineRule="exact"/>
        <w:ind w:firstLine="360" w:firstLineChars="150"/>
        <w:jc w:val="left"/>
        <w:rPr>
          <w:rFonts w:hint="eastAsia" w:ascii="宋体" w:hAnsi="宋体" w:cs="宋体"/>
          <w:kern w:val="0"/>
          <w:sz w:val="24"/>
        </w:rPr>
      </w:pPr>
    </w:p>
    <w:p>
      <w:pPr>
        <w:widowControl/>
        <w:spacing w:line="420" w:lineRule="exact"/>
        <w:ind w:firstLine="360" w:firstLineChars="150"/>
        <w:jc w:val="left"/>
        <w:rPr>
          <w:rFonts w:ascii="宋体" w:hAnsi="宋体" w:cs="宋体"/>
          <w:kern w:val="0"/>
          <w:sz w:val="24"/>
        </w:rPr>
      </w:pPr>
      <w:r>
        <w:rPr>
          <w:rFonts w:hint="eastAsia" w:ascii="宋体" w:hAnsi="宋体" w:cs="宋体"/>
          <w:kern w:val="0"/>
          <w:sz w:val="24"/>
        </w:rPr>
        <w:t>（三）</w:t>
      </w:r>
      <w:r>
        <w:rPr>
          <w:rFonts w:hint="eastAsia" w:ascii="宋体" w:hAnsi="宋体"/>
          <w:sz w:val="24"/>
        </w:rPr>
        <w:t>本项目预算控制价：总控制价人民币</w:t>
      </w:r>
      <w:r>
        <w:rPr>
          <w:rFonts w:hint="eastAsia" w:ascii="宋体" w:hAnsi="宋体" w:cs="宋体"/>
          <w:kern w:val="0"/>
          <w:sz w:val="24"/>
        </w:rPr>
        <w:t>193000元。</w:t>
      </w:r>
    </w:p>
    <w:p>
      <w:pPr>
        <w:widowControl/>
        <w:spacing w:line="420" w:lineRule="exact"/>
        <w:ind w:firstLine="482" w:firstLineChars="200"/>
        <w:jc w:val="left"/>
        <w:rPr>
          <w:rFonts w:ascii="宋体" w:hAnsi="宋体" w:cs="宋体"/>
          <w:kern w:val="0"/>
          <w:sz w:val="24"/>
        </w:rPr>
      </w:pPr>
      <w:r>
        <w:rPr>
          <w:rFonts w:ascii="宋体" w:hAnsi="宋体" w:cs="宋体"/>
          <w:b/>
          <w:bCs/>
          <w:kern w:val="0"/>
          <w:sz w:val="24"/>
        </w:rPr>
        <w:t>二、投标人必须具备的条件</w:t>
      </w:r>
    </w:p>
    <w:p>
      <w:pPr>
        <w:widowControl/>
        <w:spacing w:line="420" w:lineRule="exact"/>
        <w:ind w:firstLine="480" w:firstLineChars="200"/>
        <w:jc w:val="left"/>
        <w:rPr>
          <w:rFonts w:ascii="宋体" w:hAnsi="宋体" w:cs="宋体"/>
          <w:kern w:val="0"/>
          <w:sz w:val="24"/>
        </w:rPr>
      </w:pPr>
      <w:r>
        <w:rPr>
          <w:rFonts w:hint="eastAsia" w:ascii="宋体" w:hAnsi="宋体" w:cs="宋体"/>
          <w:kern w:val="0"/>
          <w:sz w:val="24"/>
        </w:rPr>
        <w:t>1.须具备《中华人民共和国政府采购法》第二十二条规定的基本条件；</w:t>
      </w:r>
    </w:p>
    <w:p>
      <w:pPr>
        <w:widowControl/>
        <w:spacing w:line="460" w:lineRule="exact"/>
        <w:ind w:firstLine="480" w:firstLineChars="200"/>
        <w:rPr>
          <w:rFonts w:ascii="宋体" w:hAnsi="宋体" w:cs="宋体"/>
          <w:kern w:val="0"/>
          <w:sz w:val="24"/>
        </w:rPr>
      </w:pPr>
      <w:r>
        <w:rPr>
          <w:rFonts w:ascii="宋体" w:hAnsi="宋体" w:cs="宋体"/>
          <w:kern w:val="0"/>
          <w:sz w:val="24"/>
        </w:rPr>
        <w:t>2</w:t>
      </w:r>
      <w:r>
        <w:rPr>
          <w:rFonts w:hint="eastAsia" w:ascii="宋体" w:hAnsi="宋体" w:cs="宋体"/>
          <w:kern w:val="0"/>
          <w:sz w:val="24"/>
        </w:rPr>
        <w:t>.须具有本项目产品生产能力或授权经销资质的独立企业法人，具有省级以上（含省级）主管部门颁发的《出版物经营许可证》及外文期刊的进口经营许可证；</w:t>
      </w:r>
    </w:p>
    <w:p>
      <w:pPr>
        <w:pStyle w:val="5"/>
        <w:spacing w:before="0" w:beforeAutospacing="0" w:after="0" w:afterAutospacing="0" w:line="460" w:lineRule="exact"/>
        <w:ind w:firstLine="480" w:firstLineChars="200"/>
      </w:pPr>
      <w:r>
        <w:rPr>
          <w:rFonts w:hint="eastAsia"/>
        </w:rPr>
        <w:t>3.</w:t>
      </w:r>
      <w:r>
        <w:rPr>
          <w:rFonts w:hint="eastAsia" w:ascii="宋体" w:hAnsi="宋体"/>
        </w:rPr>
        <w:t>投标单位及其法定代表人无法律纠纷、无不良纪律，依法纳税，社会信誉良好；</w:t>
      </w:r>
    </w:p>
    <w:p>
      <w:pPr>
        <w:widowControl/>
        <w:spacing w:line="460" w:lineRule="exact"/>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认同并严格履行本询价函的各项规定，承诺遵守高校廉洁从业（政）的各项规章制度。</w:t>
      </w:r>
    </w:p>
    <w:p>
      <w:pPr>
        <w:widowControl/>
        <w:spacing w:line="460" w:lineRule="exact"/>
        <w:ind w:firstLine="479" w:firstLineChars="199"/>
        <w:jc w:val="left"/>
        <w:rPr>
          <w:rFonts w:ascii="宋体" w:hAnsi="宋体" w:cs="宋体"/>
          <w:kern w:val="0"/>
          <w:sz w:val="24"/>
          <w:szCs w:val="24"/>
        </w:rPr>
      </w:pPr>
      <w:r>
        <w:rPr>
          <w:b/>
          <w:sz w:val="24"/>
          <w:szCs w:val="24"/>
        </w:rPr>
        <w:t>三、产品质量及服务要求</w:t>
      </w:r>
    </w:p>
    <w:p>
      <w:pPr>
        <w:pStyle w:val="5"/>
        <w:spacing w:before="0" w:beforeAutospacing="0" w:after="0" w:afterAutospacing="0" w:line="440" w:lineRule="exact"/>
        <w:ind w:firstLine="540" w:firstLineChars="225"/>
      </w:pPr>
      <w:r>
        <w:rPr>
          <w:rFonts w:hint="eastAsia"/>
        </w:rPr>
        <w:t>1.订单管理能力：供应方应有明确的Email联系方式，并能及时回复用户信息需求；需有详细电子结算单内容项；每一条目包含刊名、中图刊号、ISSN、出版社、频次、价格等信息。免费提供期刊编目标准MARC数据。</w:t>
      </w:r>
    </w:p>
    <w:p>
      <w:pPr>
        <w:pStyle w:val="5"/>
        <w:spacing w:before="0" w:beforeAutospacing="0" w:after="0" w:afterAutospacing="0" w:line="440" w:lineRule="exact"/>
        <w:ind w:firstLine="540" w:firstLineChars="225"/>
      </w:pPr>
      <w:r>
        <w:rPr>
          <w:rFonts w:hint="eastAsia"/>
        </w:rPr>
        <w:t>2.订到率：对于需方提交的外文纸质期刊订单，供应方应承诺不低于98%的订到率和不低于98%的期刊到刊完整率。</w:t>
      </w:r>
    </w:p>
    <w:p>
      <w:pPr>
        <w:pStyle w:val="5"/>
        <w:spacing w:before="0" w:beforeAutospacing="0" w:after="0" w:afterAutospacing="0" w:line="440" w:lineRule="exact"/>
        <w:ind w:firstLine="540" w:firstLineChars="225"/>
      </w:pPr>
      <w:r>
        <w:rPr>
          <w:rFonts w:hint="eastAsia"/>
        </w:rPr>
        <w:t>3.及时通知服务：所订期刊如出现停止出版、合并、拆分、载体变化等情况，至本期刊开通电子版的信息，供应方通过Email或书面形式及时通知；当年任一本未到的期刊应单独开列清单及时通知用户并注明未到原因。</w:t>
      </w:r>
    </w:p>
    <w:p>
      <w:pPr>
        <w:pStyle w:val="5"/>
        <w:spacing w:before="0" w:beforeAutospacing="0" w:after="0" w:afterAutospacing="0" w:line="440" w:lineRule="exact"/>
        <w:ind w:firstLine="540" w:firstLineChars="225"/>
      </w:pPr>
      <w:r>
        <w:rPr>
          <w:rFonts w:hint="eastAsia"/>
        </w:rPr>
        <w:t>4.及时配送服务：供应方应及时、定期（至少每半月1次）向需方送货，同时提供发货清单。</w:t>
      </w:r>
    </w:p>
    <w:p>
      <w:pPr>
        <w:pStyle w:val="5"/>
        <w:spacing w:before="0" w:beforeAutospacing="0" w:after="0" w:afterAutospacing="0" w:line="440" w:lineRule="exact"/>
        <w:ind w:firstLine="540" w:firstLineChars="225"/>
      </w:pPr>
      <w:r>
        <w:rPr>
          <w:rFonts w:hint="eastAsia"/>
        </w:rPr>
        <w:t>5.补缺服务：供应方对需方的催缺请求应及时处理，对于未能补缺的期刊应提供复制服务，并退还相应款项差额；如到馆期刊有严重破损、污染情况，供应人应提供退换服务。</w:t>
      </w:r>
    </w:p>
    <w:p>
      <w:pPr>
        <w:pStyle w:val="5"/>
        <w:spacing w:before="0" w:beforeAutospacing="0" w:after="0" w:afterAutospacing="0" w:line="440" w:lineRule="exact"/>
        <w:ind w:firstLine="540" w:firstLineChars="225"/>
      </w:pPr>
      <w:r>
        <w:rPr>
          <w:rFonts w:hint="eastAsia"/>
        </w:rPr>
        <w:t>6.特别提醒业务：供应方在结算单上应明确标明期刊价格，当年价格超过上年15%以上的期刊、集团采购以及数据库绑定刊物需特别标注提醒以及说明原因。</w:t>
      </w:r>
    </w:p>
    <w:p>
      <w:pPr>
        <w:pStyle w:val="5"/>
        <w:spacing w:before="0" w:beforeAutospacing="0" w:after="0" w:afterAutospacing="0" w:line="440" w:lineRule="exact"/>
        <w:ind w:firstLine="540" w:firstLineChars="225"/>
      </w:pPr>
      <w:r>
        <w:rPr>
          <w:rFonts w:hint="eastAsia"/>
        </w:rPr>
        <w:t>7.其他服务：需方可依法申请免外文纸质期刊国内增值税，供应方应负责协助办理免税手续。</w:t>
      </w:r>
    </w:p>
    <w:p>
      <w:pPr>
        <w:pStyle w:val="5"/>
        <w:spacing w:before="0" w:beforeAutospacing="0" w:after="0" w:afterAutospacing="0" w:line="440" w:lineRule="exact"/>
        <w:ind w:firstLine="540" w:firstLineChars="225"/>
        <w:rPr>
          <w:b/>
        </w:rPr>
      </w:pPr>
      <w:r>
        <w:rPr>
          <w:rFonts w:hint="eastAsia"/>
        </w:rPr>
        <w:t>8.在安徽省范围内，如果存在购买同一种期刊而价格、服务不同的现象，需方有权享受优惠待遇。</w:t>
      </w:r>
    </w:p>
    <w:p>
      <w:pPr>
        <w:widowControl/>
        <w:shd w:val="clear" w:color="auto" w:fill="FFFFFF"/>
        <w:spacing w:line="400" w:lineRule="atLeast"/>
        <w:ind w:firstLine="470" w:firstLineChars="195"/>
        <w:jc w:val="left"/>
        <w:rPr>
          <w:rFonts w:hint="eastAsia" w:ascii="宋体" w:hAnsi="宋体" w:cs="宋体"/>
          <w:kern w:val="0"/>
          <w:szCs w:val="21"/>
        </w:rPr>
      </w:pPr>
      <w:r>
        <w:rPr>
          <w:rFonts w:hint="eastAsia" w:ascii="新宋体" w:hAnsi="新宋体" w:eastAsia="新宋体" w:cs="宋体"/>
          <w:b/>
          <w:bCs/>
          <w:kern w:val="0"/>
          <w:sz w:val="24"/>
          <w:szCs w:val="24"/>
        </w:rPr>
        <w:t>四、投标须知</w:t>
      </w:r>
    </w:p>
    <w:p>
      <w:pPr>
        <w:widowControl/>
        <w:shd w:val="clear" w:color="auto" w:fill="FFFFFF"/>
        <w:spacing w:line="400" w:lineRule="atLeast"/>
        <w:ind w:firstLine="470" w:firstLineChars="195"/>
        <w:jc w:val="left"/>
        <w:rPr>
          <w:rFonts w:hint="eastAsia" w:ascii="宋体" w:hAnsi="宋体" w:cs="宋体"/>
          <w:b/>
          <w:kern w:val="0"/>
          <w:szCs w:val="21"/>
        </w:rPr>
      </w:pPr>
      <w:r>
        <w:rPr>
          <w:rFonts w:hint="eastAsia" w:ascii="新宋体" w:hAnsi="新宋体" w:eastAsia="新宋体" w:cs="宋体"/>
          <w:b/>
          <w:kern w:val="0"/>
          <w:sz w:val="24"/>
          <w:szCs w:val="24"/>
        </w:rPr>
        <w:t xml:space="preserve">（一）报名事项： </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1.报名及投标时间：</w:t>
      </w:r>
      <w:r>
        <w:rPr>
          <w:rFonts w:hint="eastAsia" w:ascii="新宋体" w:hAnsi="新宋体" w:eastAsia="新宋体" w:cs="宋体"/>
          <w:kern w:val="0"/>
          <w:sz w:val="24"/>
          <w:szCs w:val="24"/>
          <w:lang w:eastAsia="zh-CN"/>
        </w:rPr>
        <w:t>20</w:t>
      </w:r>
      <w:r>
        <w:rPr>
          <w:rFonts w:hint="eastAsia" w:ascii="新宋体" w:hAnsi="新宋体" w:eastAsia="新宋体" w:cs="宋体"/>
          <w:kern w:val="0"/>
          <w:sz w:val="24"/>
          <w:szCs w:val="24"/>
          <w:lang w:val="en-US" w:eastAsia="zh-CN"/>
        </w:rPr>
        <w:t>19</w:t>
      </w:r>
      <w:r>
        <w:rPr>
          <w:rFonts w:hint="eastAsia" w:ascii="新宋体" w:hAnsi="新宋体" w:eastAsia="新宋体" w:cs="宋体"/>
          <w:kern w:val="0"/>
          <w:sz w:val="24"/>
          <w:szCs w:val="24"/>
        </w:rPr>
        <w:t>年1</w:t>
      </w:r>
      <w:r>
        <w:rPr>
          <w:rFonts w:hint="eastAsia" w:ascii="新宋体" w:hAnsi="新宋体" w:eastAsia="新宋体" w:cs="宋体"/>
          <w:kern w:val="0"/>
          <w:sz w:val="24"/>
          <w:szCs w:val="24"/>
          <w:lang w:val="en-US" w:eastAsia="zh-CN"/>
        </w:rPr>
        <w:t>1</w:t>
      </w:r>
      <w:r>
        <w:rPr>
          <w:rFonts w:hint="eastAsia" w:ascii="新宋体" w:hAnsi="新宋体" w:eastAsia="新宋体" w:cs="宋体"/>
          <w:kern w:val="0"/>
          <w:sz w:val="24"/>
          <w:szCs w:val="24"/>
        </w:rPr>
        <w:t>月</w:t>
      </w:r>
      <w:r>
        <w:rPr>
          <w:rFonts w:hint="eastAsia" w:ascii="新宋体" w:hAnsi="新宋体" w:eastAsia="新宋体" w:cs="宋体"/>
          <w:kern w:val="0"/>
          <w:sz w:val="24"/>
          <w:szCs w:val="24"/>
          <w:lang w:val="en-US" w:eastAsia="zh-CN"/>
        </w:rPr>
        <w:t>22</w:t>
      </w:r>
      <w:r>
        <w:rPr>
          <w:rFonts w:hint="eastAsia" w:ascii="新宋体" w:hAnsi="新宋体" w:eastAsia="新宋体" w:cs="宋体"/>
          <w:kern w:val="0"/>
          <w:sz w:val="24"/>
          <w:szCs w:val="24"/>
        </w:rPr>
        <w:t>日---</w:t>
      </w:r>
      <w:r>
        <w:rPr>
          <w:rFonts w:hint="eastAsia" w:ascii="新宋体" w:hAnsi="新宋体" w:eastAsia="新宋体" w:cs="宋体"/>
          <w:kern w:val="0"/>
          <w:sz w:val="24"/>
          <w:szCs w:val="24"/>
          <w:lang w:eastAsia="zh-CN"/>
        </w:rPr>
        <w:t>20</w:t>
      </w:r>
      <w:r>
        <w:rPr>
          <w:rFonts w:hint="eastAsia" w:ascii="新宋体" w:hAnsi="新宋体" w:eastAsia="新宋体" w:cs="宋体"/>
          <w:kern w:val="0"/>
          <w:sz w:val="24"/>
          <w:szCs w:val="24"/>
          <w:lang w:val="en-US" w:eastAsia="zh-CN"/>
        </w:rPr>
        <w:t>19</w:t>
      </w:r>
      <w:r>
        <w:rPr>
          <w:rFonts w:hint="eastAsia" w:ascii="新宋体" w:hAnsi="新宋体" w:eastAsia="新宋体" w:cs="宋体"/>
          <w:kern w:val="0"/>
          <w:sz w:val="24"/>
          <w:szCs w:val="24"/>
        </w:rPr>
        <w:t>年1</w:t>
      </w:r>
      <w:r>
        <w:rPr>
          <w:rFonts w:hint="eastAsia" w:ascii="新宋体" w:hAnsi="新宋体" w:eastAsia="新宋体" w:cs="宋体"/>
          <w:kern w:val="0"/>
          <w:sz w:val="24"/>
          <w:szCs w:val="24"/>
          <w:lang w:val="en-US" w:eastAsia="zh-CN"/>
        </w:rPr>
        <w:t>1</w:t>
      </w:r>
      <w:r>
        <w:rPr>
          <w:rFonts w:hint="eastAsia" w:ascii="新宋体" w:hAnsi="新宋体" w:eastAsia="新宋体" w:cs="宋体"/>
          <w:kern w:val="0"/>
          <w:sz w:val="24"/>
          <w:szCs w:val="24"/>
        </w:rPr>
        <w:t>月</w:t>
      </w:r>
      <w:r>
        <w:rPr>
          <w:rFonts w:hint="eastAsia" w:ascii="新宋体" w:hAnsi="新宋体" w:eastAsia="新宋体" w:cs="宋体"/>
          <w:kern w:val="0"/>
          <w:sz w:val="24"/>
          <w:szCs w:val="24"/>
          <w:lang w:val="en-US" w:eastAsia="zh-CN"/>
        </w:rPr>
        <w:t>29</w:t>
      </w:r>
      <w:r>
        <w:rPr>
          <w:rFonts w:hint="eastAsia" w:ascii="新宋体" w:hAnsi="新宋体" w:eastAsia="新宋体" w:cs="宋体"/>
          <w:kern w:val="0"/>
          <w:sz w:val="24"/>
          <w:szCs w:val="24"/>
        </w:rPr>
        <w:t>日上午11：00投标截止前（外地投标企业可在递交标书前办理报名手续），上午8:30—11:00，下午2:30—5:00（双休日及节假日不接待）。</w:t>
      </w:r>
    </w:p>
    <w:p>
      <w:pPr>
        <w:widowControl/>
        <w:shd w:val="clear" w:color="auto" w:fill="FFFFFF"/>
        <w:spacing w:line="400" w:lineRule="atLeast"/>
        <w:ind w:firstLine="480" w:firstLineChars="200"/>
        <w:jc w:val="left"/>
        <w:rPr>
          <w:rFonts w:ascii="新宋体" w:hAnsi="新宋体" w:eastAsia="新宋体" w:cs="宋体"/>
          <w:kern w:val="0"/>
          <w:sz w:val="24"/>
          <w:szCs w:val="24"/>
        </w:rPr>
      </w:pPr>
      <w:r>
        <w:rPr>
          <w:rFonts w:hint="eastAsia" w:ascii="新宋体" w:hAnsi="新宋体" w:eastAsia="新宋体" w:cs="宋体"/>
          <w:kern w:val="0"/>
          <w:sz w:val="24"/>
          <w:szCs w:val="24"/>
        </w:rPr>
        <w:t>2.报名地点：铜陵学院国资处招标采购管理科（图书馆807）。</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3.报名联系人：程老师（0562-5881058</w:t>
      </w:r>
      <w:r>
        <w:rPr>
          <w:rFonts w:ascii="新宋体" w:hAnsi="新宋体" w:eastAsia="新宋体" w:cs="宋体"/>
          <w:kern w:val="0"/>
          <w:sz w:val="24"/>
          <w:szCs w:val="24"/>
        </w:rPr>
        <w:t>）</w:t>
      </w:r>
      <w:r>
        <w:rPr>
          <w:rFonts w:hint="eastAsia" w:ascii="新宋体" w:hAnsi="新宋体" w:eastAsia="新宋体" w:cs="宋体"/>
          <w:kern w:val="0"/>
          <w:sz w:val="24"/>
          <w:szCs w:val="24"/>
        </w:rPr>
        <w:t>。</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4.报名资料：报名时请提供包括单位介绍信（原件）、企业（单位）简介，营业执照、税务登记证原件（三证合一的单位仅提供营业执照即可）及复印件(加盖公章）。</w:t>
      </w:r>
    </w:p>
    <w:p>
      <w:pPr>
        <w:widowControl/>
        <w:shd w:val="clear" w:color="auto" w:fill="FFFFFF"/>
        <w:spacing w:line="400" w:lineRule="atLeast"/>
        <w:ind w:firstLine="482" w:firstLineChars="200"/>
        <w:jc w:val="left"/>
        <w:rPr>
          <w:rFonts w:hint="eastAsia" w:ascii="宋体" w:hAnsi="宋体" w:cs="宋体"/>
          <w:b/>
          <w:kern w:val="0"/>
          <w:szCs w:val="21"/>
        </w:rPr>
      </w:pPr>
      <w:r>
        <w:rPr>
          <w:rFonts w:hint="eastAsia" w:ascii="新宋体" w:hAnsi="新宋体" w:eastAsia="新宋体" w:cs="宋体"/>
          <w:b/>
          <w:kern w:val="0"/>
          <w:sz w:val="24"/>
          <w:szCs w:val="24"/>
        </w:rPr>
        <w:t xml:space="preserve">（二）投标事项： </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1.投标人在投标之前，对本询价采购项目的一切情况，应详细研究和全面了解。投标后，投标人将被认为已充分了解并已接受本询价采购项目的相关条款，认同采购方的解释。</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2.投标报价为所投项目的最终报价（包括期刊与包装材料成本、运输费及其保险费、搬运力资费、利税和应承担的风险等一切费用）。</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3.如有疑问或需要采购方进一步澄清的事宜，请在</w:t>
      </w:r>
      <w:r>
        <w:rPr>
          <w:rFonts w:hint="eastAsia" w:ascii="新宋体" w:hAnsi="新宋体" w:eastAsia="新宋体" w:cs="宋体"/>
          <w:kern w:val="0"/>
          <w:sz w:val="24"/>
          <w:szCs w:val="24"/>
          <w:lang w:eastAsia="zh-CN"/>
        </w:rPr>
        <w:t>20</w:t>
      </w:r>
      <w:r>
        <w:rPr>
          <w:rFonts w:hint="eastAsia" w:ascii="新宋体" w:hAnsi="新宋体" w:eastAsia="新宋体" w:cs="宋体"/>
          <w:kern w:val="0"/>
          <w:sz w:val="24"/>
          <w:szCs w:val="24"/>
          <w:lang w:val="en-US" w:eastAsia="zh-CN"/>
        </w:rPr>
        <w:t>19</w:t>
      </w:r>
      <w:r>
        <w:rPr>
          <w:rFonts w:hint="eastAsia" w:ascii="新宋体" w:hAnsi="新宋体" w:eastAsia="新宋体" w:cs="宋体"/>
          <w:kern w:val="0"/>
          <w:sz w:val="24"/>
          <w:szCs w:val="24"/>
        </w:rPr>
        <w:t>年1</w:t>
      </w:r>
      <w:r>
        <w:rPr>
          <w:rFonts w:hint="eastAsia" w:ascii="新宋体" w:hAnsi="新宋体" w:eastAsia="新宋体" w:cs="宋体"/>
          <w:kern w:val="0"/>
          <w:sz w:val="24"/>
          <w:szCs w:val="24"/>
          <w:lang w:val="en-US" w:eastAsia="zh-CN"/>
        </w:rPr>
        <w:t>1</w:t>
      </w:r>
      <w:r>
        <w:rPr>
          <w:rFonts w:hint="eastAsia" w:ascii="新宋体" w:hAnsi="新宋体" w:eastAsia="新宋体" w:cs="宋体"/>
          <w:kern w:val="0"/>
          <w:sz w:val="24"/>
          <w:szCs w:val="24"/>
        </w:rPr>
        <w:t>月</w:t>
      </w:r>
      <w:r>
        <w:rPr>
          <w:rFonts w:hint="eastAsia" w:ascii="新宋体" w:hAnsi="新宋体" w:eastAsia="新宋体" w:cs="宋体"/>
          <w:kern w:val="0"/>
          <w:sz w:val="24"/>
          <w:szCs w:val="24"/>
          <w:lang w:val="en-US" w:eastAsia="zh-CN"/>
        </w:rPr>
        <w:t>25</w:t>
      </w:r>
      <w:r>
        <w:rPr>
          <w:rFonts w:hint="eastAsia" w:ascii="新宋体" w:hAnsi="新宋体" w:eastAsia="新宋体" w:cs="宋体"/>
          <w:kern w:val="0"/>
          <w:sz w:val="24"/>
          <w:szCs w:val="24"/>
        </w:rPr>
        <w:t>日上午11：00前，以书面形式向采购方提出或发电子邮件至gzc@tlu.edu.cn，如有答疑，采购方将于</w:t>
      </w:r>
      <w:r>
        <w:rPr>
          <w:rFonts w:hint="eastAsia" w:ascii="新宋体" w:hAnsi="新宋体" w:eastAsia="新宋体" w:cs="宋体"/>
          <w:kern w:val="0"/>
          <w:sz w:val="24"/>
          <w:szCs w:val="24"/>
          <w:lang w:eastAsia="zh-CN"/>
        </w:rPr>
        <w:t>20</w:t>
      </w:r>
      <w:r>
        <w:rPr>
          <w:rFonts w:hint="eastAsia" w:ascii="新宋体" w:hAnsi="新宋体" w:eastAsia="新宋体" w:cs="宋体"/>
          <w:kern w:val="0"/>
          <w:sz w:val="24"/>
          <w:szCs w:val="24"/>
          <w:lang w:val="en-US" w:eastAsia="zh-CN"/>
        </w:rPr>
        <w:t>19</w:t>
      </w:r>
      <w:r>
        <w:rPr>
          <w:rFonts w:hint="eastAsia" w:ascii="新宋体" w:hAnsi="新宋体" w:eastAsia="新宋体" w:cs="宋体"/>
          <w:kern w:val="0"/>
          <w:sz w:val="24"/>
          <w:szCs w:val="24"/>
        </w:rPr>
        <w:t>年1</w:t>
      </w:r>
      <w:r>
        <w:rPr>
          <w:rFonts w:hint="eastAsia" w:ascii="新宋体" w:hAnsi="新宋体" w:eastAsia="新宋体" w:cs="宋体"/>
          <w:kern w:val="0"/>
          <w:sz w:val="24"/>
          <w:szCs w:val="24"/>
          <w:lang w:val="en-US" w:eastAsia="zh-CN"/>
        </w:rPr>
        <w:t>1</w:t>
      </w:r>
      <w:r>
        <w:rPr>
          <w:rFonts w:hint="eastAsia" w:ascii="新宋体" w:hAnsi="新宋体" w:eastAsia="新宋体" w:cs="宋体"/>
          <w:kern w:val="0"/>
          <w:sz w:val="24"/>
          <w:szCs w:val="24"/>
        </w:rPr>
        <w:t>月</w:t>
      </w:r>
      <w:r>
        <w:rPr>
          <w:rFonts w:hint="eastAsia" w:ascii="新宋体" w:hAnsi="新宋体" w:eastAsia="新宋体" w:cs="宋体"/>
          <w:kern w:val="0"/>
          <w:sz w:val="24"/>
          <w:szCs w:val="24"/>
          <w:lang w:val="en-US" w:eastAsia="zh-CN"/>
        </w:rPr>
        <w:t>26</w:t>
      </w:r>
      <w:r>
        <w:rPr>
          <w:rFonts w:hint="eastAsia" w:ascii="新宋体" w:hAnsi="新宋体" w:eastAsia="新宋体" w:cs="宋体"/>
          <w:kern w:val="0"/>
          <w:sz w:val="24"/>
          <w:szCs w:val="24"/>
        </w:rPr>
        <w:t>日下午17：00前，在铜陵学院国资处网站（http://gzc.tlu.edu.cn/）予以公布。</w:t>
      </w:r>
    </w:p>
    <w:p>
      <w:pPr>
        <w:widowControl/>
        <w:shd w:val="clear" w:color="auto" w:fill="FFFFFF"/>
        <w:spacing w:line="400" w:lineRule="atLeast"/>
        <w:ind w:firstLine="482" w:firstLineChars="200"/>
        <w:jc w:val="left"/>
        <w:rPr>
          <w:rFonts w:hint="eastAsia" w:ascii="宋体" w:hAnsi="宋体" w:cs="宋体"/>
          <w:b/>
          <w:kern w:val="0"/>
          <w:szCs w:val="21"/>
        </w:rPr>
      </w:pPr>
      <w:r>
        <w:rPr>
          <w:rFonts w:hint="eastAsia" w:ascii="新宋体" w:hAnsi="新宋体" w:eastAsia="新宋体" w:cs="宋体"/>
          <w:b/>
          <w:kern w:val="0"/>
          <w:sz w:val="24"/>
          <w:szCs w:val="24"/>
        </w:rPr>
        <w:t xml:space="preserve">（三）投标函编制： </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投标人需提交一式两份（一份正本、一份副本）报价函，分别注明“正本”和“副本”（如报价不一致，以正本为准），且须密封并于密封处及封面加盖单位公章。报价函内需附以下资料并加盖单位公章：</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（1）投标承诺（针对本询价函提出的期刊、出版社、供货期等要求的响应）；</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（2）营业执照、</w:t>
      </w:r>
      <w:r>
        <w:rPr>
          <w:rFonts w:hint="eastAsia" w:ascii="宋体" w:hAnsi="宋体" w:cs="宋体"/>
          <w:kern w:val="0"/>
          <w:sz w:val="24"/>
        </w:rPr>
        <w:t>《出版物经营许可证》及《外文期刊的进口经营许可证》</w:t>
      </w:r>
      <w:r>
        <w:rPr>
          <w:rFonts w:hint="eastAsia" w:ascii="新宋体" w:hAnsi="新宋体" w:eastAsia="新宋体" w:cs="宋体"/>
          <w:kern w:val="0"/>
          <w:sz w:val="24"/>
          <w:szCs w:val="24"/>
        </w:rPr>
        <w:t>复印件；</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（3）法人授权书；</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（4）《铜陵学院20</w:t>
      </w:r>
      <w:r>
        <w:rPr>
          <w:rFonts w:hint="eastAsia" w:ascii="新宋体" w:hAnsi="新宋体" w:eastAsia="新宋体" w:cs="宋体"/>
          <w:kern w:val="0"/>
          <w:sz w:val="24"/>
          <w:szCs w:val="24"/>
          <w:lang w:val="en-US" w:eastAsia="zh-CN"/>
        </w:rPr>
        <w:t>20</w:t>
      </w:r>
      <w:r>
        <w:rPr>
          <w:rFonts w:hint="eastAsia" w:ascii="新宋体" w:hAnsi="新宋体" w:eastAsia="新宋体" w:cs="宋体"/>
          <w:kern w:val="0"/>
          <w:sz w:val="24"/>
          <w:szCs w:val="24"/>
        </w:rPr>
        <w:t>年度外文原版期刊采购项目报价表》，报价表需法人或授权人签字和盖投标单位公章；</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（5）免费售后服务、质保承诺函；</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（6）投标单位认为需要提供的其它资料。</w:t>
      </w:r>
    </w:p>
    <w:p>
      <w:pPr>
        <w:widowControl/>
        <w:shd w:val="clear" w:color="auto" w:fill="FFFFFF"/>
        <w:spacing w:line="400" w:lineRule="atLeast"/>
        <w:ind w:firstLine="482" w:firstLineChars="200"/>
        <w:jc w:val="left"/>
        <w:rPr>
          <w:rFonts w:hint="eastAsia" w:ascii="宋体" w:hAnsi="宋体" w:cs="宋体"/>
          <w:b/>
          <w:kern w:val="0"/>
          <w:szCs w:val="21"/>
        </w:rPr>
      </w:pPr>
      <w:r>
        <w:rPr>
          <w:rFonts w:hint="eastAsia" w:ascii="新宋体" w:hAnsi="新宋体" w:eastAsia="新宋体" w:cs="宋体"/>
          <w:b/>
          <w:kern w:val="0"/>
          <w:sz w:val="24"/>
          <w:szCs w:val="24"/>
        </w:rPr>
        <w:t xml:space="preserve">（四）标书投送： </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1.参与投标单位需在投标前通过企业（单位）账户向我校指定账户“户名：铜陵学院；</w:t>
      </w:r>
      <w:r>
        <w:rPr>
          <w:rFonts w:hint="eastAsia" w:ascii="宋体" w:hAnsi="宋体" w:cs="宋体"/>
          <w:sz w:val="24"/>
        </w:rPr>
        <w:t>账号：</w:t>
      </w:r>
      <w:r>
        <w:rPr>
          <w:rFonts w:ascii="宋体" w:hAnsi="宋体" w:cs="宋体"/>
          <w:sz w:val="24"/>
        </w:rPr>
        <w:t>1990301021000032836</w:t>
      </w:r>
      <w:r>
        <w:rPr>
          <w:rFonts w:hint="eastAsia" w:ascii="宋体" w:hAnsi="宋体" w:cs="宋体"/>
          <w:sz w:val="24"/>
        </w:rPr>
        <w:t>；开户行：徽商银行铜陵北京路支行”</w:t>
      </w:r>
      <w:r>
        <w:rPr>
          <w:rFonts w:hint="eastAsia" w:ascii="新宋体" w:hAnsi="新宋体" w:eastAsia="新宋体" w:cs="宋体"/>
          <w:kern w:val="0"/>
          <w:sz w:val="24"/>
          <w:szCs w:val="24"/>
        </w:rPr>
        <w:t>转账支付投标保证金（人民币）</w:t>
      </w:r>
      <w:r>
        <w:rPr>
          <w:rFonts w:hint="eastAsia" w:ascii="新宋体" w:hAnsi="新宋体" w:eastAsia="新宋体" w:cs="宋体"/>
          <w:kern w:val="0"/>
          <w:sz w:val="24"/>
          <w:szCs w:val="24"/>
          <w:lang w:eastAsia="zh-CN"/>
        </w:rPr>
        <w:t>壹</w:t>
      </w:r>
      <w:r>
        <w:rPr>
          <w:rFonts w:hint="eastAsia" w:ascii="新宋体" w:hAnsi="新宋体" w:eastAsia="新宋体" w:cs="宋体"/>
          <w:kern w:val="0"/>
          <w:sz w:val="24"/>
          <w:szCs w:val="24"/>
        </w:rPr>
        <w:t>仟元整（¥</w:t>
      </w:r>
      <w:r>
        <w:rPr>
          <w:rFonts w:hint="eastAsia" w:ascii="新宋体" w:hAnsi="新宋体" w:eastAsia="新宋体" w:cs="宋体"/>
          <w:kern w:val="0"/>
          <w:sz w:val="24"/>
          <w:szCs w:val="24"/>
          <w:lang w:val="en-US" w:eastAsia="zh-CN"/>
        </w:rPr>
        <w:t>1</w:t>
      </w:r>
      <w:r>
        <w:rPr>
          <w:rFonts w:hint="eastAsia" w:ascii="新宋体" w:hAnsi="新宋体" w:eastAsia="新宋体" w:cs="宋体"/>
          <w:kern w:val="0"/>
          <w:sz w:val="24"/>
          <w:szCs w:val="24"/>
        </w:rPr>
        <w:t>000元）</w:t>
      </w:r>
      <w:r>
        <w:rPr>
          <w:rFonts w:hint="eastAsia" w:ascii="新宋体" w:hAnsi="新宋体" w:eastAsia="新宋体" w:cs="宋体"/>
          <w:b/>
          <w:kern w:val="0"/>
          <w:sz w:val="24"/>
          <w:szCs w:val="24"/>
        </w:rPr>
        <w:t>注明：×××项目投标保证金</w:t>
      </w:r>
      <w:r>
        <w:rPr>
          <w:rFonts w:hint="eastAsia" w:ascii="新宋体" w:hAnsi="新宋体" w:eastAsia="新宋体" w:cs="宋体"/>
          <w:kern w:val="0"/>
          <w:sz w:val="24"/>
          <w:szCs w:val="24"/>
        </w:rPr>
        <w:t>。</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新宋体" w:hAnsi="新宋体" w:eastAsia="新宋体" w:cs="宋体"/>
          <w:kern w:val="0"/>
          <w:sz w:val="24"/>
          <w:szCs w:val="24"/>
        </w:rPr>
        <w:t>2.凡符合投标资格、有意向的投标单位，均为被询价对象。请有意参与投标报价的单位于</w:t>
      </w:r>
      <w:r>
        <w:rPr>
          <w:rFonts w:hint="eastAsia" w:ascii="新宋体" w:hAnsi="新宋体" w:eastAsia="新宋体" w:cs="宋体"/>
          <w:kern w:val="0"/>
          <w:sz w:val="24"/>
          <w:szCs w:val="24"/>
          <w:lang w:eastAsia="zh-CN"/>
        </w:rPr>
        <w:t>20</w:t>
      </w:r>
      <w:r>
        <w:rPr>
          <w:rFonts w:hint="eastAsia" w:ascii="新宋体" w:hAnsi="新宋体" w:eastAsia="新宋体" w:cs="宋体"/>
          <w:kern w:val="0"/>
          <w:sz w:val="24"/>
          <w:szCs w:val="24"/>
          <w:lang w:val="en-US" w:eastAsia="zh-CN"/>
        </w:rPr>
        <w:t>19</w:t>
      </w:r>
      <w:r>
        <w:rPr>
          <w:rFonts w:hint="eastAsia" w:ascii="新宋体" w:hAnsi="新宋体" w:eastAsia="新宋体" w:cs="宋体"/>
          <w:kern w:val="0"/>
          <w:sz w:val="24"/>
          <w:szCs w:val="24"/>
        </w:rPr>
        <w:t>年1</w:t>
      </w:r>
      <w:r>
        <w:rPr>
          <w:rFonts w:hint="eastAsia" w:ascii="新宋体" w:hAnsi="新宋体" w:eastAsia="新宋体" w:cs="宋体"/>
          <w:kern w:val="0"/>
          <w:sz w:val="24"/>
          <w:szCs w:val="24"/>
          <w:lang w:val="en-US" w:eastAsia="zh-CN"/>
        </w:rPr>
        <w:t>1</w:t>
      </w:r>
      <w:r>
        <w:rPr>
          <w:rFonts w:hint="eastAsia" w:ascii="新宋体" w:hAnsi="新宋体" w:eastAsia="新宋体" w:cs="宋体"/>
          <w:kern w:val="0"/>
          <w:sz w:val="24"/>
          <w:szCs w:val="24"/>
        </w:rPr>
        <w:t>月</w:t>
      </w:r>
      <w:r>
        <w:rPr>
          <w:rFonts w:hint="eastAsia" w:ascii="新宋体" w:hAnsi="新宋体" w:eastAsia="新宋体" w:cs="宋体"/>
          <w:kern w:val="0"/>
          <w:sz w:val="24"/>
          <w:szCs w:val="24"/>
          <w:lang w:val="en-US" w:eastAsia="zh-CN"/>
        </w:rPr>
        <w:t>29</w:t>
      </w:r>
      <w:r>
        <w:rPr>
          <w:rFonts w:hint="eastAsia" w:ascii="新宋体" w:hAnsi="新宋体" w:eastAsia="新宋体" w:cs="宋体"/>
          <w:kern w:val="0"/>
          <w:sz w:val="24"/>
          <w:szCs w:val="24"/>
        </w:rPr>
        <w:t>日上午11：00前，凭投标保证金（银行转账方式支付）缴纳凭证将投标报价函送达铜陵学院</w:t>
      </w:r>
      <w:r>
        <w:rPr>
          <w:rFonts w:hint="eastAsia" w:ascii="宋体" w:hAnsi="宋体" w:cs="宋体"/>
          <w:kern w:val="0"/>
          <w:sz w:val="24"/>
          <w:szCs w:val="24"/>
        </w:rPr>
        <w:t>招投标办公室</w:t>
      </w:r>
      <w:r>
        <w:rPr>
          <w:rFonts w:hint="eastAsia" w:ascii="新宋体" w:hAnsi="新宋体" w:eastAsia="新宋体" w:cs="宋体"/>
          <w:kern w:val="0"/>
          <w:sz w:val="24"/>
          <w:szCs w:val="24"/>
        </w:rPr>
        <w:t>投标室（新区图书馆八楼806室），联系人：胡老师（13955931061）。</w:t>
      </w:r>
    </w:p>
    <w:p>
      <w:pPr>
        <w:widowControl/>
        <w:shd w:val="clear" w:color="auto" w:fill="FFFFFF"/>
        <w:spacing w:line="400" w:lineRule="atLeast"/>
        <w:ind w:firstLine="482" w:firstLineChars="200"/>
        <w:rPr>
          <w:rFonts w:hint="eastAsia" w:ascii="宋体" w:hAnsi="宋体" w:cs="宋体"/>
          <w:b/>
          <w:kern w:val="0"/>
          <w:szCs w:val="21"/>
        </w:rPr>
      </w:pPr>
      <w:r>
        <w:rPr>
          <w:rFonts w:hint="eastAsia" w:ascii="新宋体" w:hAnsi="新宋体" w:eastAsia="新宋体" w:cs="宋体"/>
          <w:b/>
          <w:kern w:val="0"/>
          <w:sz w:val="24"/>
          <w:szCs w:val="24"/>
        </w:rPr>
        <w:t>（五</w:t>
      </w:r>
      <w:r>
        <w:rPr>
          <w:rFonts w:hint="eastAsia" w:ascii="宋体" w:hAnsi="宋体" w:cs="宋体"/>
          <w:b/>
          <w:kern w:val="0"/>
          <w:sz w:val="24"/>
          <w:szCs w:val="24"/>
        </w:rPr>
        <w:t xml:space="preserve">）其它事项： </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宋体" w:hAnsi="宋体" w:cs="宋体"/>
          <w:kern w:val="0"/>
          <w:sz w:val="24"/>
          <w:szCs w:val="24"/>
        </w:rPr>
        <w:t>1.采购人将综合报价、服务承诺等因素，按照有效、合理低价原则，确定中标单位。</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宋体" w:hAnsi="宋体" w:cs="宋体"/>
          <w:kern w:val="0"/>
          <w:sz w:val="24"/>
          <w:szCs w:val="24"/>
        </w:rPr>
        <w:t>2.中标结果将在铜陵学院国资处网站予以公布。</w:t>
      </w:r>
    </w:p>
    <w:p>
      <w:pPr>
        <w:widowControl/>
        <w:shd w:val="clear" w:color="auto" w:fill="FFFFFF"/>
        <w:spacing w:line="400" w:lineRule="atLeast"/>
        <w:ind w:firstLine="480" w:firstLineChars="200"/>
        <w:jc w:val="left"/>
        <w:rPr>
          <w:rFonts w:hint="eastAsia" w:ascii="宋体" w:hAnsi="宋体" w:cs="宋体"/>
          <w:kern w:val="0"/>
          <w:szCs w:val="21"/>
        </w:rPr>
      </w:pPr>
      <w:r>
        <w:rPr>
          <w:rFonts w:hint="eastAsia" w:ascii="宋体" w:hAnsi="宋体" w:cs="宋体"/>
          <w:kern w:val="0"/>
          <w:sz w:val="24"/>
          <w:szCs w:val="24"/>
        </w:rPr>
        <w:t>3.中标单位应及时与采购方联系，以满足我校图书馆需求为前提，进一步洽谈履约及相关事宜。如拟中标单位对中标结果不能及时作出响应，或响应程度可能影响到采购方的需求，采购方有权对该单位作出不予中标处理，从而选择其它的候选单位作为中标单位。</w:t>
      </w:r>
    </w:p>
    <w:p>
      <w:pPr>
        <w:widowControl/>
        <w:shd w:val="clear" w:color="auto" w:fill="FFFFFF"/>
        <w:spacing w:line="400" w:lineRule="atLeast"/>
        <w:ind w:firstLine="472"/>
        <w:jc w:val="left"/>
        <w:rPr>
          <w:rFonts w:hint="eastAsia" w:ascii="宋体" w:hAnsi="宋体" w:cs="宋体"/>
          <w:kern w:val="0"/>
          <w:szCs w:val="21"/>
        </w:rPr>
      </w:pPr>
      <w:r>
        <w:rPr>
          <w:rFonts w:hint="eastAsia" w:ascii="新宋体" w:hAnsi="新宋体" w:eastAsia="新宋体" w:cs="宋体"/>
          <w:b/>
          <w:bCs/>
          <w:kern w:val="0"/>
          <w:sz w:val="24"/>
          <w:szCs w:val="24"/>
        </w:rPr>
        <w:t>五、付款方式及投标保证金退付</w:t>
      </w:r>
    </w:p>
    <w:p>
      <w:pPr>
        <w:widowControl/>
        <w:shd w:val="clear" w:color="auto" w:fill="FFFFFF"/>
        <w:spacing w:line="400" w:lineRule="atLeast"/>
        <w:ind w:firstLine="480"/>
        <w:jc w:val="left"/>
        <w:rPr>
          <w:rFonts w:hint="eastAsia" w:ascii="宋体" w:hAnsi="宋体" w:cs="宋体"/>
          <w:kern w:val="0"/>
          <w:szCs w:val="21"/>
        </w:rPr>
      </w:pPr>
      <w:r>
        <w:rPr>
          <w:rFonts w:hint="eastAsia" w:ascii="新宋体" w:hAnsi="新宋体" w:eastAsia="新宋体" w:cs="宋体"/>
          <w:kern w:val="0"/>
          <w:sz w:val="24"/>
          <w:szCs w:val="24"/>
        </w:rPr>
        <w:t>1.付款方式：合同签订后在十个工作日内付合同价款。</w:t>
      </w:r>
    </w:p>
    <w:p>
      <w:pPr>
        <w:widowControl/>
        <w:shd w:val="clear" w:color="auto" w:fill="FFFFFF"/>
        <w:spacing w:line="400" w:lineRule="atLeast"/>
        <w:ind w:firstLine="480"/>
        <w:jc w:val="left"/>
        <w:rPr>
          <w:rFonts w:ascii="新宋体" w:hAnsi="新宋体" w:eastAsia="新宋体" w:cs="宋体"/>
          <w:kern w:val="0"/>
          <w:sz w:val="24"/>
          <w:szCs w:val="24"/>
        </w:rPr>
      </w:pPr>
      <w:r>
        <w:rPr>
          <w:rFonts w:hint="eastAsia" w:ascii="新宋体" w:hAnsi="新宋体" w:eastAsia="新宋体" w:cs="宋体"/>
          <w:kern w:val="0"/>
          <w:sz w:val="24"/>
          <w:szCs w:val="24"/>
        </w:rPr>
        <w:t>2.投标保证金退还：投标保证金在中标单位确定后十工作日内，按原转账账号予以无息退还。</w:t>
      </w:r>
    </w:p>
    <w:p>
      <w:pPr>
        <w:widowControl/>
        <w:shd w:val="clear" w:color="auto" w:fill="FFFFFF"/>
        <w:spacing w:line="400" w:lineRule="atLeast"/>
        <w:ind w:firstLine="472"/>
        <w:jc w:val="left"/>
        <w:rPr>
          <w:rFonts w:hint="eastAsia" w:ascii="宋体" w:hAnsi="宋体" w:cs="宋体"/>
          <w:kern w:val="0"/>
          <w:szCs w:val="21"/>
        </w:rPr>
      </w:pPr>
      <w:r>
        <w:rPr>
          <w:rFonts w:hint="eastAsia" w:ascii="新宋体" w:hAnsi="新宋体" w:eastAsia="新宋体" w:cs="宋体"/>
          <w:b/>
          <w:bCs/>
          <w:kern w:val="0"/>
          <w:sz w:val="24"/>
          <w:szCs w:val="24"/>
        </w:rPr>
        <w:t xml:space="preserve">六、业务联系 </w:t>
      </w:r>
    </w:p>
    <w:p>
      <w:pPr>
        <w:shd w:val="clear" w:color="auto" w:fill="FFFFFF"/>
        <w:spacing w:line="440" w:lineRule="atLeast"/>
        <w:ind w:firstLine="480"/>
        <w:rPr>
          <w:rFonts w:hint="eastAsia" w:ascii="宋体" w:hAnsi="宋体" w:cs="宋体"/>
          <w:kern w:val="0"/>
          <w:szCs w:val="21"/>
        </w:rPr>
      </w:pPr>
      <w:r>
        <w:rPr>
          <w:rFonts w:ascii="宋体" w:hAnsi="宋体"/>
          <w:shd w:val="clear" w:color="auto" w:fill="FFFFFF"/>
        </w:rPr>
        <w:t>1</w:t>
      </w:r>
      <w:r>
        <w:rPr>
          <w:rFonts w:hint="eastAsia" w:ascii="宋体" w:hAnsi="宋体"/>
          <w:shd w:val="clear" w:color="auto" w:fill="FFFFFF"/>
        </w:rPr>
        <w:t xml:space="preserve">. </w:t>
      </w:r>
      <w:r>
        <w:rPr>
          <w:rFonts w:ascii="宋体" w:hAnsi="宋体" w:cs="宋体"/>
          <w:kern w:val="0"/>
          <w:sz w:val="24"/>
          <w:szCs w:val="24"/>
        </w:rPr>
        <w:t>招标采购负责部门：涉及本询价函中的商务部分，请与铜陵学院招标采购管理科程老师（0562-5881058、图书馆807室）联系。</w:t>
      </w:r>
    </w:p>
    <w:p>
      <w:pPr>
        <w:widowControl/>
        <w:shd w:val="clear" w:color="auto" w:fill="FFFFFF"/>
        <w:spacing w:line="440" w:lineRule="atLeast"/>
        <w:ind w:firstLine="480"/>
        <w:jc w:val="left"/>
        <w:rPr>
          <w:rFonts w:hint="eastAsia" w:ascii="宋体" w:hAnsi="宋体" w:cs="宋体"/>
          <w:kern w:val="0"/>
          <w:szCs w:val="21"/>
        </w:rPr>
      </w:pPr>
      <w:r>
        <w:rPr>
          <w:rFonts w:ascii="宋体" w:hAnsi="宋体" w:cs="宋体"/>
          <w:kern w:val="0"/>
          <w:sz w:val="24"/>
          <w:szCs w:val="24"/>
        </w:rPr>
        <w:t>2</w:t>
      </w:r>
      <w:r>
        <w:rPr>
          <w:rFonts w:hint="eastAsia" w:ascii="宋体" w:hAnsi="宋体" w:cs="宋体"/>
          <w:kern w:val="0"/>
          <w:sz w:val="24"/>
          <w:szCs w:val="24"/>
        </w:rPr>
        <w:t xml:space="preserve">. </w:t>
      </w:r>
      <w:r>
        <w:rPr>
          <w:rFonts w:ascii="宋体" w:hAnsi="宋体" w:cs="宋体"/>
          <w:kern w:val="0"/>
          <w:sz w:val="24"/>
          <w:szCs w:val="24"/>
        </w:rPr>
        <w:t>使用（主管）部门：本项目为学校</w:t>
      </w:r>
      <w:r>
        <w:rPr>
          <w:rFonts w:hint="eastAsia" w:ascii="宋体" w:hAnsi="宋体" w:cs="宋体"/>
          <w:kern w:val="0"/>
          <w:sz w:val="24"/>
          <w:szCs w:val="24"/>
        </w:rPr>
        <w:t>图书馆</w:t>
      </w:r>
      <w:r>
        <w:rPr>
          <w:rFonts w:ascii="宋体" w:hAnsi="宋体" w:cs="宋体"/>
          <w:kern w:val="0"/>
          <w:sz w:val="24"/>
          <w:szCs w:val="24"/>
        </w:rPr>
        <w:t>负责项目，如需了解项目的具体情况、业务咨询等，请与</w:t>
      </w:r>
      <w:r>
        <w:rPr>
          <w:rFonts w:hint="eastAsia" w:ascii="宋体" w:hAnsi="宋体" w:cs="宋体"/>
          <w:kern w:val="0"/>
          <w:sz w:val="24"/>
          <w:szCs w:val="24"/>
        </w:rPr>
        <w:t>瞿馆长和徐老师</w:t>
      </w:r>
      <w:r>
        <w:rPr>
          <w:rFonts w:ascii="宋体" w:hAnsi="宋体" w:cs="宋体"/>
          <w:kern w:val="0"/>
          <w:sz w:val="24"/>
          <w:szCs w:val="24"/>
        </w:rPr>
        <w:t>联系（0562-</w:t>
      </w:r>
      <w:r>
        <w:rPr>
          <w:rFonts w:hint="eastAsia" w:ascii="宋体" w:hAnsi="宋体" w:cs="宋体"/>
          <w:kern w:val="0"/>
          <w:sz w:val="24"/>
          <w:szCs w:val="24"/>
        </w:rPr>
        <w:t>5881029</w:t>
      </w:r>
      <w:r>
        <w:rPr>
          <w:rFonts w:hint="eastAsia" w:ascii="宋体" w:hAnsi="宋体" w:cs="宋体"/>
          <w:kern w:val="0"/>
          <w:sz w:val="24"/>
          <w:szCs w:val="24"/>
          <w:lang w:eastAsia="zh-CN"/>
        </w:rPr>
        <w:t>；</w:t>
      </w:r>
      <w:r>
        <w:rPr>
          <w:rFonts w:hint="eastAsia" w:ascii="宋体" w:hAnsi="宋体" w:cs="宋体"/>
          <w:kern w:val="0"/>
          <w:sz w:val="24"/>
          <w:szCs w:val="24"/>
          <w:lang w:val="en-US" w:eastAsia="zh-CN"/>
        </w:rPr>
        <w:t>0562-5884412</w:t>
      </w:r>
      <w:r>
        <w:rPr>
          <w:rFonts w:ascii="宋体" w:hAnsi="宋体" w:cs="宋体"/>
          <w:kern w:val="0"/>
          <w:sz w:val="24"/>
          <w:szCs w:val="24"/>
        </w:rPr>
        <w:t>）。</w:t>
      </w:r>
    </w:p>
    <w:p>
      <w:pPr>
        <w:pStyle w:val="5"/>
        <w:spacing w:before="0" w:beforeAutospacing="0" w:after="0" w:afterAutospacing="0" w:line="440" w:lineRule="exact"/>
        <w:ind w:firstLine="420"/>
      </w:pPr>
      <w:r>
        <w:rPr>
          <w:rStyle w:val="7"/>
          <w:rFonts w:hint="eastAsia"/>
        </w:rPr>
        <w:t xml:space="preserve">七、监督电话 </w:t>
      </w:r>
    </w:p>
    <w:p>
      <w:pPr>
        <w:widowControl/>
        <w:spacing w:line="440" w:lineRule="exact"/>
        <w:ind w:firstLine="360" w:firstLineChars="150"/>
        <w:jc w:val="left"/>
      </w:pPr>
      <w:r>
        <w:rPr>
          <w:rFonts w:hint="eastAsia" w:ascii="宋体" w:hAnsi="宋体" w:cs="宋体"/>
          <w:kern w:val="0"/>
          <w:sz w:val="24"/>
        </w:rPr>
        <w:t>铜陵学院监审处：0562-588197</w:t>
      </w:r>
      <w:r>
        <w:rPr>
          <w:kern w:val="0"/>
          <w:sz w:val="24"/>
        </w:rPr>
        <w:t>7</w:t>
      </w:r>
      <w:r>
        <w:rPr>
          <w:rFonts w:hint="eastAsia"/>
          <w:kern w:val="0"/>
          <w:sz w:val="24"/>
        </w:rPr>
        <w:t xml:space="preserve">；0562-5881997；  </w:t>
      </w:r>
      <w:r>
        <w:fldChar w:fldCharType="begin"/>
      </w:r>
      <w:r>
        <w:instrText xml:space="preserve"> HYPERLINK "mailto:yjw@tlu.edu.cn" </w:instrText>
      </w:r>
      <w:r>
        <w:fldChar w:fldCharType="separate"/>
      </w:r>
      <w:r>
        <w:rPr>
          <w:rStyle w:val="8"/>
          <w:rFonts w:hint="eastAsia"/>
          <w:kern w:val="0"/>
          <w:sz w:val="24"/>
        </w:rPr>
        <w:t>yjw@tlu.edu.cn</w:t>
      </w:r>
      <w:r>
        <w:rPr>
          <w:rStyle w:val="8"/>
          <w:rFonts w:hint="eastAsia"/>
          <w:kern w:val="0"/>
          <w:sz w:val="24"/>
        </w:rPr>
        <w:fldChar w:fldCharType="end"/>
      </w:r>
      <w:r>
        <w:rPr>
          <w:rFonts w:hint="eastAsia"/>
          <w:kern w:val="0"/>
          <w:sz w:val="24"/>
        </w:rPr>
        <w:t xml:space="preserve"> </w:t>
      </w:r>
    </w:p>
    <w:p>
      <w:pPr>
        <w:widowControl/>
        <w:spacing w:line="440" w:lineRule="exact"/>
        <w:jc w:val="center"/>
      </w:pPr>
      <w:r>
        <w:rPr>
          <w:kern w:val="0"/>
          <w:sz w:val="24"/>
        </w:rPr>
        <w:t> </w:t>
      </w:r>
    </w:p>
    <w:p>
      <w:pPr>
        <w:widowControl/>
        <w:spacing w:line="440" w:lineRule="exact"/>
        <w:jc w:val="center"/>
      </w:pPr>
      <w:r>
        <w:rPr>
          <w:rFonts w:hint="eastAsia"/>
          <w:kern w:val="0"/>
          <w:sz w:val="24"/>
        </w:rPr>
        <w:t xml:space="preserve">                                               </w:t>
      </w:r>
      <w:r>
        <w:rPr>
          <w:rFonts w:hint="eastAsia" w:cs="宋体"/>
          <w:kern w:val="0"/>
          <w:sz w:val="24"/>
        </w:rPr>
        <w:t>铜陵学院</w:t>
      </w:r>
    </w:p>
    <w:p>
      <w:pPr>
        <w:widowControl/>
        <w:spacing w:line="440" w:lineRule="exact"/>
        <w:ind w:firstLine="480"/>
        <w:jc w:val="center"/>
        <w:sectPr>
          <w:footerReference r:id="rId3" w:type="default"/>
          <w:pgSz w:w="11906" w:h="16838"/>
          <w:pgMar w:top="1134" w:right="1418" w:bottom="1134" w:left="1418" w:header="851" w:footer="992" w:gutter="0"/>
          <w:cols w:space="425" w:num="1"/>
          <w:docGrid w:type="lines" w:linePitch="312" w:charSpace="0"/>
        </w:sectPr>
      </w:pPr>
      <w:r>
        <w:rPr>
          <w:rFonts w:hint="eastAsia"/>
          <w:kern w:val="0"/>
          <w:sz w:val="24"/>
        </w:rPr>
        <w:t xml:space="preserve">                                           </w:t>
      </w:r>
      <w:r>
        <w:rPr>
          <w:rFonts w:hint="eastAsia" w:cs="宋体"/>
          <w:kern w:val="0"/>
          <w:sz w:val="24"/>
        </w:rPr>
        <w:t>二〇一</w:t>
      </w:r>
      <w:r>
        <w:rPr>
          <w:rFonts w:hint="eastAsia" w:cs="宋体"/>
          <w:kern w:val="0"/>
          <w:sz w:val="24"/>
          <w:lang w:eastAsia="zh-CN"/>
        </w:rPr>
        <w:t>九</w:t>
      </w:r>
      <w:r>
        <w:rPr>
          <w:rFonts w:hint="eastAsia" w:cs="宋体"/>
          <w:kern w:val="0"/>
          <w:sz w:val="24"/>
        </w:rPr>
        <w:t>年十</w:t>
      </w:r>
      <w:r>
        <w:rPr>
          <w:rFonts w:hint="eastAsia" w:cs="宋体"/>
          <w:kern w:val="0"/>
          <w:sz w:val="24"/>
          <w:lang w:eastAsia="zh-CN"/>
        </w:rPr>
        <w:t>一</w:t>
      </w:r>
      <w:r>
        <w:rPr>
          <w:rFonts w:hint="eastAsia" w:cs="宋体"/>
          <w:kern w:val="0"/>
          <w:sz w:val="24"/>
        </w:rPr>
        <w:t>月</w:t>
      </w:r>
      <w:r>
        <w:rPr>
          <w:rFonts w:hint="eastAsia" w:cs="宋体"/>
          <w:kern w:val="0"/>
          <w:sz w:val="24"/>
          <w:lang w:eastAsia="zh-CN"/>
        </w:rPr>
        <w:t>二十一</w:t>
      </w:r>
      <w:r>
        <w:rPr>
          <w:rFonts w:hint="eastAsia" w:cs="宋体"/>
          <w:kern w:val="0"/>
          <w:sz w:val="24"/>
        </w:rPr>
        <w:t>日</w:t>
      </w:r>
    </w:p>
    <w:p>
      <w:pPr>
        <w:jc w:val="center"/>
        <w:rPr>
          <w:rFonts w:ascii="新宋体" w:hAnsi="新宋体" w:eastAsia="新宋体" w:cs="宋体"/>
          <w:kern w:val="0"/>
          <w:sz w:val="28"/>
          <w:szCs w:val="28"/>
        </w:rPr>
      </w:pPr>
      <w:r>
        <w:rPr>
          <w:rFonts w:hint="eastAsia" w:ascii="新宋体" w:hAnsi="新宋体" w:eastAsia="新宋体" w:cs="宋体"/>
          <w:kern w:val="0"/>
          <w:sz w:val="28"/>
          <w:szCs w:val="28"/>
        </w:rPr>
        <w:t>铜陵学院20</w:t>
      </w:r>
      <w:r>
        <w:rPr>
          <w:rFonts w:hint="eastAsia" w:ascii="新宋体" w:hAnsi="新宋体" w:eastAsia="新宋体" w:cs="宋体"/>
          <w:kern w:val="0"/>
          <w:sz w:val="28"/>
          <w:szCs w:val="28"/>
          <w:lang w:val="en-US" w:eastAsia="zh-CN"/>
        </w:rPr>
        <w:t>20</w:t>
      </w:r>
      <w:r>
        <w:rPr>
          <w:rFonts w:hint="eastAsia" w:ascii="新宋体" w:hAnsi="新宋体" w:eastAsia="新宋体" w:cs="宋体"/>
          <w:kern w:val="0"/>
          <w:sz w:val="28"/>
          <w:szCs w:val="28"/>
        </w:rPr>
        <w:t>年度外文原版期刊采购项目投标报价表</w:t>
      </w:r>
    </w:p>
    <w:tbl>
      <w:tblPr>
        <w:tblStyle w:val="9"/>
        <w:tblpPr w:leftFromText="180" w:rightFromText="180" w:vertAnchor="text" w:horzAnchor="margin" w:tblpY="230"/>
        <w:tblW w:w="13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02"/>
        <w:gridCol w:w="3701"/>
        <w:gridCol w:w="1701"/>
        <w:gridCol w:w="3686"/>
        <w:gridCol w:w="1458"/>
        <w:gridCol w:w="1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675" w:type="dxa"/>
            <w:shd w:val="clear" w:color="000000" w:fill="CCFFFF"/>
            <w:vAlign w:val="center"/>
          </w:tcPr>
          <w:p>
            <w:pPr>
              <w:widowControl/>
              <w:jc w:val="center"/>
              <w:rPr>
                <w:rFonts w:ascii="Arial" w:hAnsi="Arial" w:cs="Arial"/>
                <w:color w:val="auto"/>
                <w:kern w:val="0"/>
                <w:sz w:val="18"/>
                <w:szCs w:val="18"/>
                <w:shd w:val="clear" w:color="auto" w:fill="auto"/>
              </w:rPr>
            </w:pPr>
            <w:r>
              <w:rPr>
                <w:rFonts w:hint="eastAsia" w:ascii="Arial" w:hAnsi="Arial" w:cs="Arial"/>
                <w:color w:val="auto"/>
                <w:kern w:val="0"/>
                <w:sz w:val="18"/>
                <w:szCs w:val="18"/>
                <w:shd w:val="clear" w:color="auto" w:fill="auto"/>
              </w:rPr>
              <w:t>序号</w:t>
            </w:r>
          </w:p>
        </w:tc>
        <w:tc>
          <w:tcPr>
            <w:tcW w:w="1402" w:type="dxa"/>
            <w:shd w:val="clear" w:color="000000" w:fill="CCFFFF"/>
            <w:vAlign w:val="center"/>
          </w:tcPr>
          <w:p>
            <w:pPr>
              <w:widowControl/>
              <w:jc w:val="center"/>
              <w:rPr>
                <w:rFonts w:ascii="Arial" w:hAnsi="Arial" w:cs="Arial"/>
                <w:color w:val="auto"/>
                <w:kern w:val="0"/>
                <w:sz w:val="18"/>
                <w:szCs w:val="18"/>
                <w:shd w:val="clear" w:color="auto" w:fill="auto"/>
              </w:rPr>
            </w:pPr>
            <w:r>
              <w:rPr>
                <w:rFonts w:hint="eastAsia" w:ascii="Arial" w:hAnsi="Arial" w:cs="Arial"/>
                <w:color w:val="auto"/>
                <w:kern w:val="0"/>
                <w:sz w:val="18"/>
                <w:szCs w:val="18"/>
                <w:shd w:val="clear" w:color="auto" w:fill="auto"/>
              </w:rPr>
              <w:t>报 刊 号</w:t>
            </w:r>
          </w:p>
        </w:tc>
        <w:tc>
          <w:tcPr>
            <w:tcW w:w="3701" w:type="dxa"/>
            <w:shd w:val="clear" w:color="000000" w:fill="CCFFFF"/>
            <w:vAlign w:val="center"/>
          </w:tcPr>
          <w:p>
            <w:pPr>
              <w:widowControl/>
              <w:ind w:firstLine="630" w:firstLineChars="350"/>
              <w:jc w:val="center"/>
              <w:rPr>
                <w:rFonts w:ascii="Arial" w:hAnsi="Arial" w:cs="Arial"/>
                <w:color w:val="auto"/>
                <w:kern w:val="0"/>
                <w:sz w:val="18"/>
                <w:szCs w:val="18"/>
                <w:shd w:val="clear" w:color="auto" w:fill="auto"/>
              </w:rPr>
            </w:pPr>
            <w:r>
              <w:rPr>
                <w:rFonts w:hint="eastAsia" w:ascii="Arial" w:hAnsi="Arial" w:cs="Arial"/>
                <w:color w:val="auto"/>
                <w:kern w:val="0"/>
                <w:sz w:val="18"/>
                <w:szCs w:val="18"/>
                <w:shd w:val="clear" w:color="auto" w:fill="auto"/>
              </w:rPr>
              <w:t>报刊名称</w:t>
            </w:r>
          </w:p>
        </w:tc>
        <w:tc>
          <w:tcPr>
            <w:tcW w:w="1701" w:type="dxa"/>
            <w:shd w:val="clear" w:color="000000" w:fill="CCFFFF"/>
            <w:vAlign w:val="center"/>
          </w:tcPr>
          <w:p>
            <w:pPr>
              <w:widowControl/>
              <w:ind w:firstLine="540" w:firstLineChars="300"/>
              <w:jc w:val="both"/>
              <w:rPr>
                <w:rFonts w:ascii="Arial" w:hAnsi="Arial" w:cs="Arial"/>
                <w:color w:val="auto"/>
                <w:kern w:val="0"/>
                <w:sz w:val="18"/>
                <w:szCs w:val="18"/>
                <w:shd w:val="clear" w:color="auto" w:fill="auto"/>
              </w:rPr>
            </w:pPr>
            <w:r>
              <w:rPr>
                <w:rFonts w:hint="eastAsia" w:ascii="Arial" w:hAnsi="Arial" w:cs="Arial"/>
                <w:color w:val="auto"/>
                <w:kern w:val="0"/>
                <w:sz w:val="18"/>
                <w:szCs w:val="18"/>
                <w:shd w:val="clear" w:color="auto" w:fill="auto"/>
              </w:rPr>
              <w:t>刊期</w:t>
            </w:r>
          </w:p>
        </w:tc>
        <w:tc>
          <w:tcPr>
            <w:tcW w:w="3686" w:type="dxa"/>
            <w:shd w:val="clear" w:color="auto" w:fill="auto"/>
            <w:noWrap/>
            <w:vAlign w:val="center"/>
          </w:tcPr>
          <w:p>
            <w:pPr>
              <w:widowControl/>
              <w:ind w:firstLine="630" w:firstLineChars="350"/>
              <w:jc w:val="both"/>
              <w:rPr>
                <w:rFonts w:ascii="Arial" w:hAnsi="Arial" w:cs="Arial"/>
                <w:kern w:val="0"/>
                <w:sz w:val="18"/>
                <w:szCs w:val="18"/>
              </w:rPr>
            </w:pPr>
            <w:r>
              <w:rPr>
                <w:rFonts w:hint="eastAsia" w:ascii="Arial" w:hAnsi="Arial" w:cs="Arial"/>
                <w:kern w:val="0"/>
                <w:sz w:val="18"/>
                <w:szCs w:val="18"/>
              </w:rPr>
              <w:t>出版社</w:t>
            </w:r>
          </w:p>
        </w:tc>
        <w:tc>
          <w:tcPr>
            <w:tcW w:w="1458" w:type="dxa"/>
            <w:vAlign w:val="center"/>
          </w:tcPr>
          <w:p>
            <w:pPr>
              <w:widowControl/>
              <w:ind w:firstLine="180" w:firstLineChars="100"/>
              <w:jc w:val="center"/>
              <w:rPr>
                <w:rFonts w:ascii="Arial" w:hAnsi="Arial" w:cs="Arial"/>
                <w:kern w:val="0"/>
                <w:sz w:val="18"/>
                <w:szCs w:val="18"/>
              </w:rPr>
            </w:pPr>
            <w:r>
              <w:rPr>
                <w:rFonts w:hint="eastAsia" w:ascii="Arial" w:hAnsi="Arial" w:cs="Arial"/>
                <w:kern w:val="0"/>
                <w:sz w:val="18"/>
                <w:szCs w:val="18"/>
              </w:rPr>
              <w:t>全年定价</w:t>
            </w:r>
          </w:p>
        </w:tc>
        <w:tc>
          <w:tcPr>
            <w:tcW w:w="1224" w:type="dxa"/>
            <w:vAlign w:val="center"/>
          </w:tcPr>
          <w:p>
            <w:pPr>
              <w:widowControl/>
              <w:ind w:firstLine="180" w:firstLineChars="100"/>
              <w:jc w:val="center"/>
              <w:rPr>
                <w:rFonts w:ascii="Arial" w:hAnsi="Arial" w:cs="Arial"/>
                <w:kern w:val="0"/>
                <w:sz w:val="18"/>
                <w:szCs w:val="18"/>
              </w:rPr>
            </w:pPr>
            <w:r>
              <w:rPr>
                <w:rFonts w:hint="eastAsia" w:ascii="Arial" w:hAnsi="Arial" w:cs="Arial"/>
                <w:kern w:val="0"/>
                <w:sz w:val="18"/>
                <w:szCs w:val="1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w:t>
            </w:r>
          </w:p>
        </w:tc>
        <w:tc>
          <w:tcPr>
            <w:tcW w:w="1402" w:type="dxa"/>
            <w:shd w:val="clear" w:color="auto" w:fill="auto"/>
            <w:vAlign w:val="center"/>
          </w:tcPr>
          <w:p>
            <w:pPr>
              <w:widowControl/>
              <w:jc w:val="left"/>
              <w:rPr>
                <w:rFonts w:ascii="Arial Narrow" w:hAnsi="Arial Narrow"/>
                <w:color w:val="000000"/>
                <w:sz w:val="20"/>
                <w:szCs w:val="20"/>
              </w:rPr>
            </w:pPr>
            <w:r>
              <w:rPr>
                <w:rFonts w:ascii="Arial Narrow" w:hAnsi="Arial Narrow"/>
                <w:color w:val="000000"/>
                <w:sz w:val="20"/>
                <w:szCs w:val="20"/>
              </w:rPr>
              <w:t>290C0014</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Asian Business &amp; Management</w:t>
            </w:r>
          </w:p>
        </w:tc>
        <w:tc>
          <w:tcPr>
            <w:tcW w:w="1701" w:type="dxa"/>
            <w:shd w:val="clear" w:color="auto" w:fill="auto"/>
            <w:vAlign w:val="center"/>
          </w:tcPr>
          <w:p>
            <w:pPr>
              <w:widowControl/>
              <w:jc w:val="center"/>
              <w:rPr>
                <w:rFonts w:ascii="Arial Narrow" w:hAnsi="Arial Narrow"/>
                <w:color w:val="000000"/>
                <w:sz w:val="20"/>
                <w:szCs w:val="20"/>
              </w:rPr>
            </w:pPr>
            <w:r>
              <w:rPr>
                <w:rFonts w:ascii="Arial Narrow" w:hAnsi="Arial Narrow"/>
                <w:color w:val="000000"/>
                <w:sz w:val="20"/>
                <w:szCs w:val="20"/>
              </w:rPr>
              <w:t>5</w:t>
            </w:r>
          </w:p>
        </w:tc>
        <w:tc>
          <w:tcPr>
            <w:tcW w:w="3686" w:type="dxa"/>
            <w:shd w:val="clear" w:color="000000" w:fill="FFFFFF"/>
            <w:vAlign w:val="center"/>
          </w:tcPr>
          <w:p>
            <w:pPr>
              <w:widowControl/>
              <w:ind w:firstLine="630" w:firstLineChars="350"/>
              <w:jc w:val="both"/>
              <w:rPr>
                <w:rFonts w:ascii="Arial" w:hAnsi="Arial" w:cs="Arial"/>
                <w:kern w:val="0"/>
                <w:sz w:val="18"/>
                <w:szCs w:val="18"/>
              </w:rPr>
            </w:pPr>
            <w:r>
              <w:rPr>
                <w:rFonts w:ascii="Arial" w:hAnsi="Arial" w:cs="Arial"/>
                <w:kern w:val="0"/>
                <w:sz w:val="18"/>
                <w:szCs w:val="18"/>
              </w:rPr>
              <w:t>Palgrave Macmillan</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Arial" w:hAnsi="Arial"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2</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297B0052</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Accounting Review</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3686" w:type="dxa"/>
            <w:shd w:val="clear" w:color="000000" w:fill="FFFFFF"/>
            <w:vAlign w:val="center"/>
          </w:tcPr>
          <w:p>
            <w:pPr>
              <w:widowControl/>
              <w:ind w:firstLine="630" w:firstLineChars="350"/>
              <w:jc w:val="both"/>
              <w:rPr>
                <w:rFonts w:ascii="Arial" w:hAnsi="Arial" w:cs="Arial"/>
                <w:kern w:val="0"/>
                <w:sz w:val="18"/>
                <w:szCs w:val="18"/>
              </w:rPr>
            </w:pPr>
            <w:r>
              <w:rPr>
                <w:rFonts w:ascii="Arial" w:hAnsi="Arial" w:cs="Arial"/>
                <w:kern w:val="0"/>
                <w:sz w:val="18"/>
                <w:szCs w:val="18"/>
              </w:rPr>
              <w:t>American Accounting Association</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Arial" w:hAnsi="Arial"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3</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297B0062/IP</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The Journal of Finance</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Wiley-Blackwell</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Arial" w:hAnsi="Arial"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4</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297B0082</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Public Finance Review</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Sage Publications Ltd.</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Arial" w:hAnsi="Arial"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5</w:t>
            </w:r>
          </w:p>
        </w:tc>
        <w:tc>
          <w:tcPr>
            <w:tcW w:w="1402" w:type="dxa"/>
            <w:shd w:val="clear" w:color="auto" w:fill="auto"/>
            <w:vAlign w:val="center"/>
          </w:tcPr>
          <w:p>
            <w:pPr>
              <w:rPr>
                <w:rFonts w:ascii="Arial Narrow" w:hAnsi="Arial Narrow"/>
                <w:color w:val="000000"/>
                <w:sz w:val="20"/>
                <w:szCs w:val="20"/>
              </w:rPr>
            </w:pPr>
            <w:r>
              <w:rPr>
                <w:rFonts w:ascii="Arial Narrow" w:hAnsi="Arial Narrow"/>
                <w:sz w:val="20"/>
                <w:szCs w:val="20"/>
              </w:rPr>
              <w:t>297B0249</w:t>
            </w:r>
          </w:p>
        </w:tc>
        <w:tc>
          <w:tcPr>
            <w:tcW w:w="3701" w:type="dxa"/>
            <w:shd w:val="clear" w:color="auto" w:fill="auto"/>
            <w:vAlign w:val="center"/>
          </w:tcPr>
          <w:p>
            <w:pPr>
              <w:rPr>
                <w:rFonts w:ascii="Arial Narrow" w:hAnsi="Arial Narrow"/>
                <w:color w:val="000000"/>
                <w:sz w:val="20"/>
                <w:szCs w:val="20"/>
              </w:rPr>
            </w:pPr>
            <w:r>
              <w:rPr>
                <w:rFonts w:ascii="Arial Narrow" w:hAnsi="Arial Narrow"/>
                <w:sz w:val="20"/>
                <w:szCs w:val="20"/>
              </w:rPr>
              <w:t>Global Finance Journal</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sz w:val="20"/>
                <w:szCs w:val="20"/>
              </w:rPr>
              <w:t>4</w:t>
            </w:r>
          </w:p>
        </w:tc>
        <w:tc>
          <w:tcPr>
            <w:tcW w:w="3686" w:type="dxa"/>
            <w:shd w:val="clear" w:color="000000" w:fill="FFFFFF"/>
            <w:vAlign w:val="center"/>
          </w:tcPr>
          <w:p>
            <w:pPr>
              <w:rPr>
                <w:rFonts w:ascii="Arial Narrow" w:hAnsi="Arial Narrow"/>
                <w:color w:val="000000"/>
                <w:sz w:val="20"/>
                <w:szCs w:val="20"/>
              </w:rPr>
            </w:pPr>
            <w:r>
              <w:rPr>
                <w:rFonts w:ascii="Arial Narrow" w:hAnsi="Arial Narrow"/>
                <w:sz w:val="20"/>
                <w:szCs w:val="20"/>
              </w:rPr>
              <w:t>Elsevier Science Inc.-Oxford</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Arial" w:hAnsi="Arial"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6</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297B0263</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Journal of International Financial Markets, Institutions &amp; Money</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Elsevier Science Inc.-Oxford</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7</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297B0393</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International Journal of Finance &amp; Economics</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Wiley-Blackwell</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8</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299B0057</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Journal of Business &amp; Economic Statistics</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Taylor &amp; Francis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Arial" w:hAnsi="Arial"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9</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340C0056</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Cambridge Law Journal</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3</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Cambridge University Press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Arial" w:hAnsi="Arial"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10</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340</w:t>
            </w:r>
            <w:r>
              <w:rPr>
                <w:rFonts w:hint="eastAsia" w:ascii="Arial Narrow" w:hAnsi="Arial Narrow"/>
                <w:color w:val="000000"/>
                <w:sz w:val="20"/>
                <w:szCs w:val="20"/>
              </w:rPr>
              <w:t>E0381</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Netherlands International Law Review</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3</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Springer</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11</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375B0063</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Library Trends</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Johns Hopkins University Press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12</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410B0004</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College English</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National Council of Teachers of English</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13</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410C0002</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ELT Journal</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Oxford University Press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14</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420B0002</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Comparative Literature</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4</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Duke University Press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675" w:type="dxa"/>
            <w:vAlign w:val="center"/>
          </w:tcPr>
          <w:p>
            <w:pPr>
              <w:widowControl/>
              <w:jc w:val="center"/>
              <w:rPr>
                <w:rFonts w:hint="eastAsia" w:ascii="Arial" w:hAnsi="Arial" w:eastAsia="宋体" w:cs="Arial"/>
                <w:kern w:val="0"/>
                <w:sz w:val="18"/>
                <w:szCs w:val="18"/>
                <w:lang w:val="en-US" w:eastAsia="zh-CN"/>
              </w:rPr>
            </w:pPr>
            <w:r>
              <w:rPr>
                <w:rFonts w:hint="eastAsia" w:ascii="Arial" w:hAnsi="Arial" w:cs="Arial"/>
                <w:kern w:val="0"/>
                <w:sz w:val="18"/>
                <w:szCs w:val="18"/>
                <w:lang w:val="en-US" w:eastAsia="zh-CN"/>
              </w:rPr>
              <w:t>15</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513B0056/IP</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SIAM Journal on Mathematical Analysis</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6</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Society for Industrial and Applied Mathematics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16</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714B0063-A/IP</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Management Science</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INFORMS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Arial" w:hAnsi="Arial"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17</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738B0008-2</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Communications of the ACM</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Association for Computing Machinery</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Arial" w:hAnsi="Arial"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18</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778B0003</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Corrosion</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National Association of Corrosion Engineers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19</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780B0017</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Journal of Mechanical Design</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American Society of Mechanical Engineers (ASME)</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20</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780C0092</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Mechanical Systems and Signal Processing</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16</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Elsevier Science Inc.-Oxford</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21</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860B0001</w:t>
            </w:r>
          </w:p>
        </w:tc>
        <w:tc>
          <w:tcPr>
            <w:tcW w:w="3701"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Civil Engineering Magazine</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12</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American Society of Civil Engineers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675" w:type="dxa"/>
            <w:vAlign w:val="center"/>
          </w:tcPr>
          <w:p>
            <w:pPr>
              <w:widowControl/>
              <w:jc w:val="center"/>
              <w:rPr>
                <w:rFonts w:ascii="Arial" w:hAnsi="Arial" w:cs="Arial"/>
                <w:kern w:val="0"/>
                <w:sz w:val="18"/>
                <w:szCs w:val="18"/>
              </w:rPr>
            </w:pPr>
            <w:r>
              <w:rPr>
                <w:rFonts w:hint="eastAsia" w:ascii="Arial" w:hAnsi="Arial" w:cs="Arial"/>
                <w:kern w:val="0"/>
                <w:sz w:val="18"/>
                <w:szCs w:val="18"/>
              </w:rPr>
              <w:t>22</w:t>
            </w:r>
          </w:p>
        </w:tc>
        <w:tc>
          <w:tcPr>
            <w:tcW w:w="1402" w:type="dxa"/>
            <w:shd w:val="clear" w:color="auto" w:fill="auto"/>
            <w:vAlign w:val="center"/>
          </w:tcPr>
          <w:p>
            <w:pPr>
              <w:rPr>
                <w:rFonts w:ascii="Arial Narrow" w:hAnsi="Arial Narrow"/>
                <w:color w:val="000000"/>
                <w:sz w:val="20"/>
                <w:szCs w:val="20"/>
              </w:rPr>
            </w:pPr>
            <w:r>
              <w:rPr>
                <w:rFonts w:ascii="Arial Narrow" w:hAnsi="Arial Narrow"/>
                <w:color w:val="000000"/>
                <w:sz w:val="20"/>
                <w:szCs w:val="20"/>
              </w:rPr>
              <w:t>862B0</w:t>
            </w:r>
            <w:r>
              <w:rPr>
                <w:rFonts w:hint="eastAsia" w:ascii="Arial Narrow" w:hAnsi="Arial Narrow"/>
                <w:color w:val="000000"/>
                <w:sz w:val="20"/>
                <w:szCs w:val="20"/>
              </w:rPr>
              <w:t>17</w:t>
            </w:r>
          </w:p>
        </w:tc>
        <w:tc>
          <w:tcPr>
            <w:tcW w:w="3701" w:type="dxa"/>
            <w:shd w:val="clear" w:color="auto" w:fill="auto"/>
            <w:vAlign w:val="center"/>
          </w:tcPr>
          <w:p>
            <w:pPr>
              <w:rPr>
                <w:rFonts w:ascii="Arial Narrow" w:hAnsi="Arial Narrow"/>
                <w:color w:val="000000"/>
                <w:sz w:val="20"/>
                <w:szCs w:val="20"/>
              </w:rPr>
            </w:pPr>
            <w:r>
              <w:rPr>
                <w:rFonts w:hint="eastAsia" w:ascii="Arial Narrow" w:hAnsi="Arial Narrow"/>
                <w:color w:val="000000"/>
                <w:sz w:val="20"/>
                <w:szCs w:val="20"/>
                <w:highlight w:val="none"/>
                <w:shd w:val="clear" w:color="auto" w:fill="auto"/>
              </w:rPr>
              <w:t>Journal of Architectural Education and Technology, Architecture + Design，</w:t>
            </w:r>
          </w:p>
        </w:tc>
        <w:tc>
          <w:tcPr>
            <w:tcW w:w="1701" w:type="dxa"/>
            <w:shd w:val="clear" w:color="auto" w:fill="auto"/>
            <w:vAlign w:val="center"/>
          </w:tcPr>
          <w:p>
            <w:pPr>
              <w:jc w:val="center"/>
              <w:rPr>
                <w:rFonts w:ascii="Arial Narrow" w:hAnsi="Arial Narrow"/>
                <w:color w:val="000000"/>
                <w:sz w:val="20"/>
                <w:szCs w:val="20"/>
              </w:rPr>
            </w:pPr>
            <w:r>
              <w:rPr>
                <w:rFonts w:ascii="Arial Narrow" w:hAnsi="Arial Narrow"/>
                <w:color w:val="000000"/>
                <w:sz w:val="20"/>
                <w:szCs w:val="20"/>
              </w:rPr>
              <w:t>2</w:t>
            </w:r>
          </w:p>
        </w:tc>
        <w:tc>
          <w:tcPr>
            <w:tcW w:w="3686" w:type="dxa"/>
            <w:shd w:val="clear" w:color="000000" w:fill="FFFFFF"/>
            <w:vAlign w:val="center"/>
          </w:tcPr>
          <w:p>
            <w:pPr>
              <w:rPr>
                <w:rFonts w:ascii="Arial Narrow" w:hAnsi="Arial Narrow"/>
                <w:color w:val="000000"/>
                <w:sz w:val="20"/>
                <w:szCs w:val="20"/>
              </w:rPr>
            </w:pPr>
            <w:r>
              <w:rPr>
                <w:rFonts w:ascii="Arial Narrow" w:hAnsi="Arial Narrow"/>
                <w:color w:val="000000"/>
                <w:sz w:val="20"/>
                <w:szCs w:val="20"/>
              </w:rPr>
              <w:t>Taylor &amp; Francis</w:t>
            </w: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ascii="Arial" w:hAnsi="Arial" w:cs="Arial"/>
                <w:kern w:val="0"/>
                <w:sz w:val="18"/>
                <w:szCs w:val="18"/>
              </w:rPr>
            </w:pPr>
            <w:r>
              <w:rPr>
                <w:rFonts w:hint="eastAsia" w:ascii="Arial" w:hAnsi="Arial" w:cs="Arial"/>
                <w:kern w:val="0"/>
                <w:sz w:val="18"/>
                <w:szCs w:val="18"/>
                <w:lang w:eastAsia="zh-CN"/>
              </w:rPr>
              <w:t>2020</w:t>
            </w:r>
            <w:r>
              <w:rPr>
                <w:rFonts w:hint="eastAsia" w:ascii="宋体" w:hAnsi="宋体" w:cs="Arial"/>
                <w:kern w:val="0"/>
                <w:sz w:val="18"/>
                <w:szCs w:val="18"/>
              </w:rPr>
              <w:t>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675" w:type="dxa"/>
            <w:vAlign w:val="center"/>
          </w:tcPr>
          <w:p>
            <w:pPr>
              <w:widowControl/>
              <w:jc w:val="center"/>
              <w:rPr>
                <w:rFonts w:hint="eastAsia" w:ascii="Arial" w:hAnsi="Arial" w:cs="Arial"/>
                <w:kern w:val="0"/>
                <w:sz w:val="18"/>
                <w:szCs w:val="18"/>
              </w:rPr>
            </w:pPr>
          </w:p>
        </w:tc>
        <w:tc>
          <w:tcPr>
            <w:tcW w:w="1402" w:type="dxa"/>
            <w:shd w:val="clear" w:color="auto" w:fill="auto"/>
            <w:vAlign w:val="center"/>
          </w:tcPr>
          <w:p>
            <w:pPr>
              <w:rPr>
                <w:rFonts w:ascii="Arial Narrow" w:hAnsi="Arial Narrow"/>
                <w:color w:val="000000"/>
                <w:sz w:val="20"/>
                <w:szCs w:val="20"/>
              </w:rPr>
            </w:pPr>
          </w:p>
        </w:tc>
        <w:tc>
          <w:tcPr>
            <w:tcW w:w="3701" w:type="dxa"/>
            <w:shd w:val="clear" w:color="auto" w:fill="auto"/>
            <w:vAlign w:val="center"/>
          </w:tcPr>
          <w:p>
            <w:pPr>
              <w:ind w:firstLine="1200" w:firstLineChars="600"/>
              <w:rPr>
                <w:rFonts w:hint="eastAsia" w:ascii="Arial Narrow" w:hAnsi="Arial Narrow" w:eastAsia="宋体"/>
                <w:color w:val="000000"/>
                <w:sz w:val="20"/>
                <w:szCs w:val="20"/>
                <w:highlight w:val="none"/>
                <w:shd w:val="clear" w:color="auto" w:fill="auto"/>
                <w:lang w:eastAsia="zh-CN"/>
              </w:rPr>
            </w:pPr>
            <w:r>
              <w:rPr>
                <w:rFonts w:hint="eastAsia" w:ascii="Arial Narrow" w:hAnsi="Arial Narrow"/>
                <w:color w:val="000000"/>
                <w:sz w:val="20"/>
                <w:szCs w:val="20"/>
                <w:highlight w:val="none"/>
                <w:shd w:val="clear" w:color="auto" w:fill="auto"/>
                <w:lang w:eastAsia="zh-CN"/>
              </w:rPr>
              <w:t>合</w:t>
            </w:r>
            <w:r>
              <w:rPr>
                <w:rFonts w:hint="eastAsia" w:ascii="Arial Narrow" w:hAnsi="Arial Narrow"/>
                <w:color w:val="000000"/>
                <w:sz w:val="20"/>
                <w:szCs w:val="20"/>
                <w:highlight w:val="none"/>
                <w:shd w:val="clear" w:color="auto" w:fill="auto"/>
                <w:lang w:val="en-US" w:eastAsia="zh-CN"/>
              </w:rPr>
              <w:t xml:space="preserve">          </w:t>
            </w:r>
            <w:r>
              <w:rPr>
                <w:rFonts w:hint="eastAsia" w:ascii="Arial Narrow" w:hAnsi="Arial Narrow"/>
                <w:color w:val="000000"/>
                <w:sz w:val="20"/>
                <w:szCs w:val="20"/>
                <w:highlight w:val="none"/>
                <w:shd w:val="clear" w:color="auto" w:fill="auto"/>
                <w:lang w:eastAsia="zh-CN"/>
              </w:rPr>
              <w:t>计</w:t>
            </w:r>
          </w:p>
        </w:tc>
        <w:tc>
          <w:tcPr>
            <w:tcW w:w="1701" w:type="dxa"/>
            <w:shd w:val="clear" w:color="auto" w:fill="auto"/>
            <w:vAlign w:val="center"/>
          </w:tcPr>
          <w:p>
            <w:pPr>
              <w:jc w:val="center"/>
              <w:rPr>
                <w:rFonts w:ascii="Arial Narrow" w:hAnsi="Arial Narrow"/>
                <w:color w:val="000000"/>
                <w:sz w:val="20"/>
                <w:szCs w:val="20"/>
              </w:rPr>
            </w:pPr>
          </w:p>
        </w:tc>
        <w:tc>
          <w:tcPr>
            <w:tcW w:w="3686" w:type="dxa"/>
            <w:shd w:val="clear" w:color="000000" w:fill="FFFFFF"/>
            <w:vAlign w:val="center"/>
          </w:tcPr>
          <w:p>
            <w:pPr>
              <w:rPr>
                <w:rFonts w:ascii="Arial Narrow" w:hAnsi="Arial Narrow"/>
                <w:color w:val="000000"/>
                <w:sz w:val="20"/>
                <w:szCs w:val="20"/>
              </w:rPr>
            </w:pPr>
          </w:p>
        </w:tc>
        <w:tc>
          <w:tcPr>
            <w:tcW w:w="1458" w:type="dxa"/>
            <w:shd w:val="clear" w:color="000000" w:fill="FFFFFF"/>
            <w:vAlign w:val="center"/>
          </w:tcPr>
          <w:p>
            <w:pPr>
              <w:widowControl/>
              <w:jc w:val="center"/>
              <w:rPr>
                <w:rFonts w:ascii="Arial" w:hAnsi="Arial" w:cs="Arial"/>
                <w:kern w:val="0"/>
                <w:sz w:val="18"/>
                <w:szCs w:val="18"/>
              </w:rPr>
            </w:pPr>
          </w:p>
        </w:tc>
        <w:tc>
          <w:tcPr>
            <w:tcW w:w="1224" w:type="dxa"/>
            <w:shd w:val="clear" w:color="000000" w:fill="FFFFFF"/>
            <w:vAlign w:val="center"/>
          </w:tcPr>
          <w:p>
            <w:pPr>
              <w:widowControl/>
              <w:jc w:val="center"/>
              <w:rPr>
                <w:rFonts w:hint="eastAsia" w:ascii="Arial" w:hAnsi="Arial" w:cs="Arial"/>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675" w:type="dxa"/>
            <w:vAlign w:val="center"/>
          </w:tcPr>
          <w:p>
            <w:pPr>
              <w:widowControl/>
              <w:jc w:val="center"/>
              <w:rPr>
                <w:rFonts w:ascii="Arial" w:hAnsi="Arial" w:cs="Arial"/>
                <w:kern w:val="0"/>
                <w:sz w:val="18"/>
                <w:szCs w:val="18"/>
              </w:rPr>
            </w:pPr>
          </w:p>
        </w:tc>
        <w:tc>
          <w:tcPr>
            <w:tcW w:w="1402" w:type="dxa"/>
            <w:shd w:val="clear" w:color="auto" w:fill="auto"/>
            <w:vAlign w:val="center"/>
          </w:tcPr>
          <w:p>
            <w:pPr>
              <w:widowControl/>
              <w:jc w:val="center"/>
              <w:rPr>
                <w:rFonts w:ascii="Arial" w:hAnsi="Arial" w:cs="Arial"/>
                <w:kern w:val="0"/>
                <w:sz w:val="18"/>
                <w:szCs w:val="18"/>
              </w:rPr>
            </w:pPr>
          </w:p>
        </w:tc>
        <w:tc>
          <w:tcPr>
            <w:tcW w:w="3701" w:type="dxa"/>
            <w:shd w:val="clear" w:color="auto" w:fill="auto"/>
            <w:vAlign w:val="center"/>
          </w:tcPr>
          <w:p>
            <w:pPr>
              <w:widowControl/>
              <w:ind w:firstLine="1260" w:firstLineChars="700"/>
              <w:jc w:val="both"/>
              <w:rPr>
                <w:rFonts w:ascii="Arial" w:hAnsi="Arial" w:cs="Arial"/>
                <w:kern w:val="0"/>
                <w:sz w:val="18"/>
                <w:szCs w:val="18"/>
              </w:rPr>
            </w:pPr>
            <w:r>
              <w:rPr>
                <w:rFonts w:hint="eastAsia" w:ascii="Arial" w:hAnsi="Arial" w:cs="Arial"/>
                <w:kern w:val="0"/>
                <w:sz w:val="18"/>
                <w:szCs w:val="18"/>
              </w:rPr>
              <w:t>大          写</w:t>
            </w:r>
          </w:p>
        </w:tc>
        <w:tc>
          <w:tcPr>
            <w:tcW w:w="8069" w:type="dxa"/>
            <w:gridSpan w:val="4"/>
            <w:shd w:val="clear" w:color="auto" w:fill="auto"/>
            <w:vAlign w:val="center"/>
          </w:tcPr>
          <w:p>
            <w:pPr>
              <w:widowControl/>
              <w:jc w:val="center"/>
              <w:rPr>
                <w:rFonts w:ascii="Arial" w:hAnsi="Arial" w:cs="Arial"/>
                <w:kern w:val="0"/>
                <w:sz w:val="18"/>
                <w:szCs w:val="18"/>
              </w:rPr>
            </w:pPr>
          </w:p>
        </w:tc>
      </w:tr>
    </w:tbl>
    <w:p>
      <w:pPr>
        <w:pStyle w:val="2"/>
        <w:spacing w:line="480" w:lineRule="auto"/>
        <w:ind w:firstLine="600" w:firstLineChars="250"/>
        <w:rPr>
          <w:rFonts w:hint="eastAsia" w:eastAsia="宋体"/>
          <w:kern w:val="0"/>
          <w:sz w:val="24"/>
          <w:szCs w:val="24"/>
        </w:rPr>
      </w:pPr>
    </w:p>
    <w:p>
      <w:pPr>
        <w:pStyle w:val="2"/>
        <w:spacing w:line="480" w:lineRule="auto"/>
        <w:ind w:firstLine="600" w:firstLineChars="250"/>
        <w:rPr>
          <w:rFonts w:eastAsia="宋体"/>
          <w:kern w:val="0"/>
          <w:sz w:val="24"/>
          <w:szCs w:val="24"/>
        </w:rPr>
      </w:pPr>
      <w:r>
        <w:rPr>
          <w:rFonts w:hint="eastAsia" w:eastAsia="宋体"/>
          <w:kern w:val="0"/>
          <w:sz w:val="24"/>
          <w:szCs w:val="24"/>
        </w:rPr>
        <w:t>投标单位名称：</w:t>
      </w:r>
      <w:r>
        <w:rPr>
          <w:rFonts w:eastAsia="宋体"/>
          <w:kern w:val="0"/>
          <w:sz w:val="24"/>
          <w:szCs w:val="24"/>
          <w:u w:val="single"/>
        </w:rPr>
        <w:t xml:space="preserve">                              </w:t>
      </w:r>
      <w:r>
        <w:rPr>
          <w:rFonts w:hint="eastAsia" w:eastAsia="宋体"/>
          <w:kern w:val="0"/>
          <w:sz w:val="24"/>
          <w:szCs w:val="24"/>
        </w:rPr>
        <w:t xml:space="preserve">（公章）    </w:t>
      </w:r>
      <w:r>
        <w:rPr>
          <w:rFonts w:hint="eastAsia" w:eastAsia="宋体"/>
          <w:sz w:val="24"/>
          <w:szCs w:val="24"/>
        </w:rPr>
        <w:t>法定代表人</w:t>
      </w:r>
      <w:r>
        <w:rPr>
          <w:rFonts w:hint="eastAsia" w:eastAsia="宋体"/>
          <w:kern w:val="0"/>
          <w:sz w:val="24"/>
          <w:szCs w:val="24"/>
        </w:rPr>
        <w:t>签字或盖章：</w:t>
      </w:r>
      <w:r>
        <w:rPr>
          <w:rFonts w:eastAsia="宋体"/>
          <w:kern w:val="0"/>
          <w:sz w:val="24"/>
          <w:szCs w:val="24"/>
          <w:u w:val="single"/>
        </w:rPr>
        <w:t>            </w:t>
      </w:r>
    </w:p>
    <w:p>
      <w:pPr>
        <w:widowControl/>
        <w:spacing w:line="480" w:lineRule="auto"/>
        <w:ind w:firstLine="600" w:firstLineChars="250"/>
        <w:rPr>
          <w:rFonts w:ascii="宋体" w:hAnsi="宋体"/>
          <w:kern w:val="0"/>
          <w:sz w:val="24"/>
        </w:rPr>
      </w:pPr>
      <w:r>
        <w:rPr>
          <w:rFonts w:hint="eastAsia" w:ascii="宋体" w:hAnsi="宋体" w:cs="宋体"/>
          <w:kern w:val="0"/>
          <w:sz w:val="24"/>
        </w:rPr>
        <w:t>代理人（被授权人）签字或盖章：</w:t>
      </w:r>
      <w:r>
        <w:rPr>
          <w:rFonts w:ascii="宋体" w:hAnsi="宋体"/>
          <w:kern w:val="0"/>
          <w:sz w:val="24"/>
          <w:u w:val="single"/>
        </w:rPr>
        <w:t>        </w:t>
      </w:r>
      <w:r>
        <w:rPr>
          <w:rFonts w:ascii="宋体" w:hAnsi="宋体" w:cs="宋体"/>
          <w:kern w:val="0"/>
          <w:sz w:val="24"/>
          <w:u w:val="single"/>
        </w:rPr>
        <w:t xml:space="preserve"> </w:t>
      </w:r>
      <w:r>
        <w:rPr>
          <w:rFonts w:hint="eastAsia" w:ascii="宋体" w:hAnsi="宋体"/>
          <w:kern w:val="0"/>
          <w:sz w:val="24"/>
        </w:rPr>
        <w:t xml:space="preserve">                    </w:t>
      </w:r>
      <w:r>
        <w:rPr>
          <w:rFonts w:hint="eastAsia" w:ascii="宋体" w:hAnsi="宋体" w:cs="宋体"/>
          <w:kern w:val="0"/>
          <w:sz w:val="24"/>
        </w:rPr>
        <w:t>联系电话：</w:t>
      </w:r>
      <w:r>
        <w:rPr>
          <w:rFonts w:ascii="宋体" w:hAnsi="宋体"/>
          <w:kern w:val="0"/>
          <w:sz w:val="24"/>
          <w:u w:val="single"/>
        </w:rPr>
        <w:t>             </w:t>
      </w:r>
    </w:p>
    <w:p>
      <w:pPr>
        <w:widowControl/>
        <w:spacing w:line="480" w:lineRule="auto"/>
        <w:ind w:firstLine="8640" w:firstLineChars="3600"/>
        <w:rPr>
          <w:rFonts w:ascii="宋体" w:hAnsi="宋体"/>
          <w:kern w:val="0"/>
          <w:sz w:val="24"/>
        </w:rPr>
      </w:pPr>
      <w:r>
        <w:rPr>
          <w:rFonts w:hint="eastAsia" w:ascii="宋体" w:hAnsi="宋体" w:cs="宋体"/>
          <w:kern w:val="0"/>
          <w:sz w:val="24"/>
        </w:rPr>
        <w:t>日    期：</w:t>
      </w:r>
      <w:r>
        <w:rPr>
          <w:rFonts w:ascii="宋体" w:hAnsi="宋体"/>
          <w:kern w:val="0"/>
          <w:sz w:val="24"/>
          <w:u w:val="single"/>
        </w:rPr>
        <w:t>             </w:t>
      </w: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Arial Narrow">
    <w:panose1 w:val="020B0606020202030204"/>
    <w:charset w:val="00"/>
    <w:family w:val="swiss"/>
    <w:pitch w:val="default"/>
    <w:sig w:usb0="00000287" w:usb1="00000800" w:usb2="00000000" w:usb3="00000000" w:csb0="2000009F" w:csb1="DFD7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w:t>
    </w:r>
    <w:r>
      <w:rPr>
        <w:b/>
        <w:sz w:val="24"/>
        <w:szCs w:val="24"/>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07AA0"/>
    <w:rsid w:val="0001455E"/>
    <w:rsid w:val="00014E2A"/>
    <w:rsid w:val="00015515"/>
    <w:rsid w:val="000329F6"/>
    <w:rsid w:val="000632B4"/>
    <w:rsid w:val="000D252C"/>
    <w:rsid w:val="000D7672"/>
    <w:rsid w:val="002418CD"/>
    <w:rsid w:val="002472E8"/>
    <w:rsid w:val="00296F44"/>
    <w:rsid w:val="002C262F"/>
    <w:rsid w:val="002E408C"/>
    <w:rsid w:val="002F3988"/>
    <w:rsid w:val="003210CD"/>
    <w:rsid w:val="00357EA8"/>
    <w:rsid w:val="003648EC"/>
    <w:rsid w:val="00380EBE"/>
    <w:rsid w:val="0039156B"/>
    <w:rsid w:val="003C1A8D"/>
    <w:rsid w:val="003D28A3"/>
    <w:rsid w:val="00404C83"/>
    <w:rsid w:val="00437A32"/>
    <w:rsid w:val="00463990"/>
    <w:rsid w:val="00467508"/>
    <w:rsid w:val="004D2946"/>
    <w:rsid w:val="004D396E"/>
    <w:rsid w:val="004E5B98"/>
    <w:rsid w:val="00507AA0"/>
    <w:rsid w:val="00553E02"/>
    <w:rsid w:val="00594681"/>
    <w:rsid w:val="006D6D72"/>
    <w:rsid w:val="006F079E"/>
    <w:rsid w:val="006F3950"/>
    <w:rsid w:val="00715C64"/>
    <w:rsid w:val="00793461"/>
    <w:rsid w:val="00830E49"/>
    <w:rsid w:val="00831C2A"/>
    <w:rsid w:val="0087331D"/>
    <w:rsid w:val="008E0BAE"/>
    <w:rsid w:val="009C45D3"/>
    <w:rsid w:val="00A2045C"/>
    <w:rsid w:val="00A55FAB"/>
    <w:rsid w:val="00A734B8"/>
    <w:rsid w:val="00A758CD"/>
    <w:rsid w:val="00A934C8"/>
    <w:rsid w:val="00AB6C9A"/>
    <w:rsid w:val="00AC32B9"/>
    <w:rsid w:val="00B90816"/>
    <w:rsid w:val="00BA6019"/>
    <w:rsid w:val="00BE79E8"/>
    <w:rsid w:val="00C03168"/>
    <w:rsid w:val="00C46C8A"/>
    <w:rsid w:val="00C47DC0"/>
    <w:rsid w:val="00C608F7"/>
    <w:rsid w:val="00CD6C31"/>
    <w:rsid w:val="00D61FD1"/>
    <w:rsid w:val="00D86A22"/>
    <w:rsid w:val="00DB5C94"/>
    <w:rsid w:val="00DE7BE0"/>
    <w:rsid w:val="00E4046A"/>
    <w:rsid w:val="00F027B1"/>
    <w:rsid w:val="00F02C0E"/>
    <w:rsid w:val="402A3EAB"/>
    <w:rsid w:val="42040E23"/>
    <w:rsid w:val="73C85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2"/>
    <w:qFormat/>
    <w:uiPriority w:val="0"/>
    <w:pPr>
      <w:ind w:firstLine="420" w:firstLineChars="150"/>
    </w:pPr>
    <w:rPr>
      <w:rFonts w:ascii="宋体" w:hAnsi="宋体" w:eastAsia="华文中宋" w:cs="宋体"/>
      <w:sz w:val="28"/>
      <w:szCs w:val="28"/>
    </w:rPr>
  </w:style>
  <w:style w:type="paragraph" w:styleId="3">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Strong"/>
    <w:basedOn w:val="6"/>
    <w:qFormat/>
    <w:uiPriority w:val="0"/>
    <w:rPr>
      <w:b/>
      <w:bCs/>
    </w:rPr>
  </w:style>
  <w:style w:type="character" w:styleId="8">
    <w:name w:val="Hyperlink"/>
    <w:basedOn w:val="6"/>
    <w:unhideWhenUsed/>
    <w:qFormat/>
    <w:uiPriority w:val="99"/>
    <w:rPr>
      <w:color w:val="0000FF" w:themeColor="hyperlink"/>
      <w:u w:val="single"/>
    </w:rPr>
  </w:style>
  <w:style w:type="character" w:customStyle="1" w:styleId="10">
    <w:name w:val="页眉 Char"/>
    <w:basedOn w:val="6"/>
    <w:link w:val="4"/>
    <w:semiHidden/>
    <w:uiPriority w:val="99"/>
    <w:rPr>
      <w:sz w:val="18"/>
      <w:szCs w:val="18"/>
    </w:rPr>
  </w:style>
  <w:style w:type="character" w:customStyle="1" w:styleId="11">
    <w:name w:val="页脚 Char"/>
    <w:basedOn w:val="6"/>
    <w:link w:val="3"/>
    <w:qFormat/>
    <w:uiPriority w:val="99"/>
    <w:rPr>
      <w:sz w:val="18"/>
      <w:szCs w:val="18"/>
    </w:rPr>
  </w:style>
  <w:style w:type="character" w:customStyle="1" w:styleId="12">
    <w:name w:val="正文文本缩进 Char"/>
    <w:basedOn w:val="6"/>
    <w:link w:val="2"/>
    <w:qFormat/>
    <w:uiPriority w:val="0"/>
    <w:rPr>
      <w:rFonts w:ascii="宋体" w:hAnsi="宋体" w:eastAsia="华文中宋" w:cs="宋体"/>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1018</Words>
  <Characters>5808</Characters>
  <Lines>48</Lines>
  <Paragraphs>13</Paragraphs>
  <TotalTime>10</TotalTime>
  <ScaleCrop>false</ScaleCrop>
  <LinksUpToDate>false</LinksUpToDate>
  <CharactersWithSpaces>6813</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2017-10-18T07:55:00Z</dcterms:created>
  <dc:creator>acer</dc:creator>
  <cp:lastModifiedBy>acer</cp:lastModifiedBy>
  <cp:lastPrinted>2018-12-06T06:48:00Z</cp:lastPrinted>
  <dcterms:modified xsi:type="dcterms:W3CDTF">2019-11-21T02:58:11Z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