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1ABA05">
      <w:pPr>
        <w:jc w:val="center"/>
        <w:rPr>
          <w:rFonts w:hint="eastAsia" w:ascii="宋体" w:hAnsi="宋体"/>
          <w:b/>
          <w:sz w:val="30"/>
          <w:szCs w:val="30"/>
          <w:lang w:eastAsia="zh-CN"/>
        </w:rPr>
      </w:pPr>
      <w:r>
        <w:rPr>
          <w:rFonts w:hint="eastAsia" w:ascii="宋体" w:hAnsi="宋体"/>
          <w:b/>
          <w:sz w:val="30"/>
          <w:szCs w:val="30"/>
        </w:rPr>
        <w:t>铜陵学院官网主页改版服务</w:t>
      </w:r>
      <w:r>
        <w:rPr>
          <w:rFonts w:hint="eastAsia" w:ascii="宋体" w:hAnsi="宋体"/>
          <w:b/>
          <w:sz w:val="30"/>
          <w:szCs w:val="30"/>
          <w:lang w:eastAsia="zh-CN"/>
        </w:rPr>
        <w:t>项目</w:t>
      </w:r>
    </w:p>
    <w:p w14:paraId="1FBB221B">
      <w:pPr>
        <w:jc w:val="center"/>
        <w:rPr>
          <w:rFonts w:ascii="宋体" w:hAnsi="宋体"/>
          <w:sz w:val="24"/>
          <w:szCs w:val="24"/>
        </w:rPr>
      </w:pPr>
      <w:r>
        <w:rPr>
          <w:rFonts w:hint="eastAsia" w:ascii="宋体" w:hAnsi="宋体"/>
          <w:b/>
          <w:sz w:val="30"/>
          <w:szCs w:val="30"/>
          <w:lang w:eastAsia="zh-CN"/>
        </w:rPr>
        <w:t>市场比价</w:t>
      </w:r>
      <w:r>
        <w:rPr>
          <w:rFonts w:hint="eastAsia" w:ascii="宋体" w:hAnsi="宋体"/>
          <w:b/>
          <w:sz w:val="30"/>
          <w:szCs w:val="30"/>
        </w:rPr>
        <w:t>文件</w:t>
      </w:r>
    </w:p>
    <w:p w14:paraId="1902A028">
      <w:pPr>
        <w:spacing w:line="360" w:lineRule="auto"/>
        <w:jc w:val="center"/>
        <w:rPr>
          <w:rFonts w:ascii="宋体" w:hAnsi="宋体"/>
          <w:sz w:val="24"/>
          <w:szCs w:val="24"/>
        </w:rPr>
      </w:pPr>
      <w:r>
        <w:rPr>
          <w:rFonts w:hint="eastAsia" w:ascii="宋体" w:hAnsi="宋体"/>
          <w:sz w:val="24"/>
          <w:szCs w:val="24"/>
        </w:rPr>
        <w:t>项目编号：</w:t>
      </w:r>
      <w:r>
        <w:rPr>
          <w:rFonts w:ascii="宋体" w:hAnsi="宋体"/>
          <w:sz w:val="24"/>
          <w:szCs w:val="24"/>
        </w:rPr>
        <w:t>tlxyzb[</w:t>
      </w:r>
      <w:r>
        <w:rPr>
          <w:rFonts w:hint="eastAsia" w:ascii="宋体" w:hAnsi="宋体"/>
          <w:sz w:val="24"/>
          <w:szCs w:val="24"/>
        </w:rPr>
        <w:t>202</w:t>
      </w:r>
      <w:r>
        <w:rPr>
          <w:rFonts w:hint="eastAsia" w:ascii="宋体" w:hAnsi="宋体"/>
          <w:sz w:val="24"/>
          <w:szCs w:val="24"/>
          <w:lang w:val="en-US" w:eastAsia="zh-CN"/>
        </w:rPr>
        <w:t>4</w:t>
      </w:r>
      <w:r>
        <w:rPr>
          <w:rFonts w:ascii="宋体" w:hAnsi="宋体"/>
          <w:sz w:val="24"/>
          <w:szCs w:val="24"/>
        </w:rPr>
        <w:t>]</w:t>
      </w:r>
      <w:r>
        <w:rPr>
          <w:rFonts w:hint="eastAsia" w:ascii="宋体" w:hAnsi="宋体"/>
          <w:sz w:val="24"/>
          <w:szCs w:val="24"/>
          <w:lang w:val="en-US" w:eastAsia="zh-CN"/>
        </w:rPr>
        <w:t>65</w:t>
      </w:r>
      <w:r>
        <w:rPr>
          <w:rFonts w:hint="eastAsia" w:ascii="宋体" w:hAnsi="宋体"/>
          <w:sz w:val="24"/>
          <w:szCs w:val="24"/>
        </w:rPr>
        <w:t>号</w:t>
      </w:r>
    </w:p>
    <w:p w14:paraId="1204CCE4">
      <w:pPr>
        <w:adjustRightInd w:val="0"/>
        <w:snapToGrid w:val="0"/>
        <w:spacing w:line="420" w:lineRule="exact"/>
        <w:ind w:firstLine="482" w:firstLineChars="200"/>
        <w:jc w:val="left"/>
        <w:rPr>
          <w:rFonts w:ascii="宋体" w:hAnsi="宋体"/>
          <w:b/>
          <w:sz w:val="24"/>
          <w:szCs w:val="24"/>
        </w:rPr>
      </w:pPr>
      <w:r>
        <w:rPr>
          <w:rFonts w:hint="eastAsia" w:ascii="宋体" w:hAnsi="宋体"/>
          <w:b/>
          <w:sz w:val="24"/>
          <w:szCs w:val="24"/>
        </w:rPr>
        <w:t>一、项目概述</w:t>
      </w:r>
    </w:p>
    <w:p w14:paraId="0680C637">
      <w:pPr>
        <w:adjustRightInd w:val="0"/>
        <w:snapToGrid w:val="0"/>
        <w:spacing w:line="420" w:lineRule="exact"/>
        <w:ind w:firstLine="480" w:firstLineChars="200"/>
        <w:jc w:val="left"/>
        <w:rPr>
          <w:rFonts w:ascii="宋体" w:hAnsi="宋体"/>
          <w:sz w:val="24"/>
          <w:szCs w:val="24"/>
        </w:rPr>
      </w:pPr>
      <w:r>
        <w:rPr>
          <w:rFonts w:ascii="宋体" w:hAnsi="宋体"/>
          <w:sz w:val="24"/>
          <w:szCs w:val="24"/>
        </w:rPr>
        <w:t>1</w:t>
      </w:r>
      <w:r>
        <w:rPr>
          <w:rFonts w:hint="eastAsia" w:ascii="宋体" w:hAnsi="宋体"/>
          <w:sz w:val="24"/>
          <w:szCs w:val="24"/>
        </w:rPr>
        <w:t>.项目</w:t>
      </w:r>
      <w:r>
        <w:rPr>
          <w:rFonts w:hint="eastAsia" w:ascii="宋体" w:hAnsi="宋体"/>
          <w:sz w:val="24"/>
          <w:szCs w:val="24"/>
          <w:lang w:eastAsia="zh-CN"/>
        </w:rPr>
        <w:t>基本情况</w:t>
      </w:r>
      <w:r>
        <w:rPr>
          <w:rFonts w:hint="eastAsia" w:ascii="宋体" w:hAnsi="宋体"/>
          <w:sz w:val="24"/>
          <w:szCs w:val="24"/>
        </w:rPr>
        <w:t>：铜陵学院官网主站作为学校对外展示其“明德尚能、博学日新”教育理念的核心窗口，不仅是招生宣传与品牌塑造的关键平台，也是体现学校综合办学实力、服务能力和深厚文化底蕴的重要载体。面对教育信息化的迅猛发展，铜陵学院官网的改版与升级势在必行，旨在通过全面而前瞻性的设计规划，进一步强化其在线形象与功能实用性。</w:t>
      </w:r>
    </w:p>
    <w:p w14:paraId="364484BA">
      <w:pPr>
        <w:adjustRightInd w:val="0"/>
        <w:snapToGrid w:val="0"/>
        <w:spacing w:line="420" w:lineRule="exact"/>
        <w:ind w:firstLine="480" w:firstLineChars="200"/>
        <w:jc w:val="left"/>
        <w:rPr>
          <w:rFonts w:hint="eastAsia" w:ascii="宋体" w:hAnsi="宋体" w:eastAsia="宋体"/>
          <w:sz w:val="24"/>
          <w:szCs w:val="24"/>
          <w:lang w:eastAsia="zh-CN"/>
        </w:rPr>
      </w:pPr>
      <w:r>
        <w:rPr>
          <w:rFonts w:ascii="宋体" w:hAnsi="宋体"/>
          <w:sz w:val="24"/>
          <w:szCs w:val="24"/>
        </w:rPr>
        <w:t>2</w:t>
      </w:r>
      <w:r>
        <w:rPr>
          <w:rFonts w:hint="eastAsia" w:ascii="宋体" w:hAnsi="宋体"/>
          <w:sz w:val="24"/>
          <w:szCs w:val="24"/>
        </w:rPr>
        <w:t>.</w:t>
      </w:r>
      <w:r>
        <w:rPr>
          <w:rFonts w:hint="eastAsia" w:ascii="宋体" w:hAnsi="宋体"/>
          <w:sz w:val="24"/>
          <w:szCs w:val="24"/>
          <w:lang w:eastAsia="zh-CN"/>
        </w:rPr>
        <w:t>项目名称：</w:t>
      </w:r>
      <w:r>
        <w:rPr>
          <w:rFonts w:hint="eastAsia" w:ascii="宋体" w:hAnsi="宋体"/>
          <w:sz w:val="24"/>
          <w:szCs w:val="24"/>
          <w:lang w:val="en-US" w:eastAsia="zh-CN"/>
        </w:rPr>
        <w:t>铜陵学院官网主页改版服务</w:t>
      </w:r>
      <w:r>
        <w:rPr>
          <w:rFonts w:hint="eastAsia" w:ascii="宋体" w:hAnsi="宋体"/>
          <w:sz w:val="24"/>
          <w:szCs w:val="24"/>
        </w:rPr>
        <w:t>。</w:t>
      </w:r>
    </w:p>
    <w:p w14:paraId="0113096F">
      <w:pPr>
        <w:adjustRightInd w:val="0"/>
        <w:snapToGrid w:val="0"/>
        <w:spacing w:line="420" w:lineRule="exact"/>
        <w:ind w:firstLine="480" w:firstLineChars="200"/>
        <w:jc w:val="left"/>
        <w:rPr>
          <w:rFonts w:ascii="宋体" w:hAnsi="宋体"/>
          <w:sz w:val="24"/>
          <w:szCs w:val="24"/>
        </w:rPr>
      </w:pPr>
      <w:r>
        <w:rPr>
          <w:rFonts w:hint="eastAsia" w:ascii="宋体" w:hAnsi="宋体"/>
          <w:sz w:val="24"/>
          <w:szCs w:val="24"/>
          <w:lang w:val="en-US" w:eastAsia="zh-CN"/>
        </w:rPr>
        <w:t>3.</w:t>
      </w:r>
      <w:r>
        <w:rPr>
          <w:rFonts w:hint="eastAsia" w:ascii="宋体" w:hAnsi="宋体"/>
          <w:sz w:val="24"/>
          <w:szCs w:val="24"/>
          <w:lang w:eastAsia="zh-CN"/>
        </w:rPr>
        <w:t>预算金额</w:t>
      </w:r>
      <w:r>
        <w:rPr>
          <w:rFonts w:hint="eastAsia" w:ascii="宋体" w:hAnsi="宋体"/>
          <w:sz w:val="24"/>
          <w:szCs w:val="24"/>
        </w:rPr>
        <w:t>：</w:t>
      </w:r>
      <w:r>
        <w:rPr>
          <w:rFonts w:hint="eastAsia" w:ascii="宋体" w:hAnsi="宋体"/>
          <w:sz w:val="24"/>
          <w:szCs w:val="24"/>
          <w:lang w:val="en-US" w:eastAsia="zh-CN"/>
        </w:rPr>
        <w:t>5万元</w:t>
      </w:r>
      <w:r>
        <w:rPr>
          <w:rFonts w:hint="eastAsia" w:ascii="宋体" w:hAnsi="宋体"/>
          <w:sz w:val="24"/>
          <w:szCs w:val="24"/>
        </w:rPr>
        <w:t>。</w:t>
      </w:r>
    </w:p>
    <w:p w14:paraId="13D40E85">
      <w:pPr>
        <w:adjustRightInd w:val="0"/>
        <w:snapToGrid w:val="0"/>
        <w:spacing w:line="420" w:lineRule="exact"/>
        <w:ind w:firstLine="480" w:firstLineChars="200"/>
        <w:jc w:val="left"/>
        <w:rPr>
          <w:rFonts w:ascii="宋体" w:hAnsi="宋体"/>
          <w:sz w:val="24"/>
          <w:szCs w:val="24"/>
        </w:rPr>
      </w:pPr>
      <w:r>
        <w:rPr>
          <w:rFonts w:ascii="宋体" w:hAnsi="宋体"/>
          <w:sz w:val="24"/>
          <w:szCs w:val="24"/>
        </w:rPr>
        <w:t>4</w:t>
      </w:r>
      <w:r>
        <w:rPr>
          <w:rFonts w:hint="eastAsia" w:ascii="宋体" w:hAnsi="宋体"/>
          <w:sz w:val="24"/>
          <w:szCs w:val="24"/>
        </w:rPr>
        <w:t>.服务期限：</w:t>
      </w:r>
      <w:r>
        <w:rPr>
          <w:rFonts w:ascii="宋体" w:hAnsi="宋体"/>
          <w:sz w:val="24"/>
          <w:szCs w:val="24"/>
        </w:rPr>
        <w:t>合同签订后1年。</w:t>
      </w:r>
    </w:p>
    <w:p w14:paraId="1F65AA18">
      <w:pPr>
        <w:pStyle w:val="2"/>
        <w:rPr>
          <w:rFonts w:hint="default" w:eastAsia="宋体"/>
          <w:lang w:val="en-US" w:eastAsia="zh-CN"/>
        </w:rPr>
      </w:pPr>
      <w:r>
        <w:rPr>
          <w:rFonts w:hint="eastAsia" w:ascii="宋体" w:hAnsi="宋体"/>
          <w:sz w:val="24"/>
          <w:szCs w:val="24"/>
          <w:lang w:val="en-US" w:eastAsia="zh-CN"/>
        </w:rPr>
        <w:t>5.售后服务：自合同签订之日起30日内完成网页设计升级服务，后续维护服务期1年，自验收合格之日起；具体以合同签订为准。</w:t>
      </w:r>
    </w:p>
    <w:p w14:paraId="718B3DBC">
      <w:pPr>
        <w:pStyle w:val="11"/>
        <w:widowControl/>
        <w:spacing w:line="420" w:lineRule="exact"/>
        <w:ind w:firstLine="472" w:firstLineChars="196"/>
        <w:rPr>
          <w:rFonts w:hint="eastAsia" w:ascii="宋体" w:hAnsi="宋体"/>
          <w:b/>
          <w:bCs w:val="0"/>
          <w:sz w:val="24"/>
        </w:rPr>
      </w:pPr>
      <w:r>
        <w:rPr>
          <w:rFonts w:hint="eastAsia" w:ascii="宋体" w:hAnsi="宋体"/>
          <w:b/>
          <w:bCs w:val="0"/>
          <w:sz w:val="24"/>
          <w:szCs w:val="24"/>
        </w:rPr>
        <w:t>二、</w:t>
      </w:r>
      <w:r>
        <w:rPr>
          <w:rFonts w:hint="eastAsia" w:ascii="宋体" w:hAnsi="宋体"/>
          <w:b/>
          <w:bCs w:val="0"/>
          <w:sz w:val="24"/>
        </w:rPr>
        <w:t>技术方案或服务的内容、范围</w:t>
      </w:r>
    </w:p>
    <w:p w14:paraId="1B44B080">
      <w:pPr>
        <w:pStyle w:val="11"/>
        <w:widowControl/>
        <w:spacing w:line="420" w:lineRule="exact"/>
        <w:ind w:firstLine="470" w:firstLineChars="196"/>
        <w:rPr>
          <w:rFonts w:hint="eastAsia" w:ascii="宋体" w:hAnsi="宋体"/>
          <w:sz w:val="24"/>
        </w:rPr>
      </w:pPr>
      <w:r>
        <w:rPr>
          <w:rFonts w:hint="eastAsia" w:ascii="宋体" w:hAnsi="宋体"/>
          <w:sz w:val="24"/>
        </w:rPr>
        <w:t>（一）网站改版总体技术要求</w:t>
      </w:r>
    </w:p>
    <w:p w14:paraId="3DF0E6CB">
      <w:pPr>
        <w:pStyle w:val="11"/>
        <w:widowControl/>
        <w:spacing w:line="420" w:lineRule="exact"/>
        <w:ind w:firstLine="470" w:firstLineChars="196"/>
        <w:rPr>
          <w:rFonts w:hint="eastAsia" w:ascii="宋体" w:hAnsi="宋体"/>
          <w:sz w:val="24"/>
        </w:rPr>
      </w:pPr>
      <w:r>
        <w:rPr>
          <w:rFonts w:hint="eastAsia" w:ascii="宋体" w:hAnsi="宋体"/>
          <w:sz w:val="24"/>
        </w:rPr>
        <w:t>1.响应式设计</w:t>
      </w:r>
    </w:p>
    <w:p w14:paraId="34B2BE3A">
      <w:pPr>
        <w:pStyle w:val="11"/>
        <w:widowControl/>
        <w:spacing w:line="420" w:lineRule="exact"/>
        <w:ind w:firstLine="470" w:firstLineChars="196"/>
        <w:rPr>
          <w:rFonts w:hint="eastAsia" w:ascii="宋体" w:hAnsi="宋体"/>
          <w:sz w:val="24"/>
        </w:rPr>
      </w:pPr>
      <w:r>
        <w:rPr>
          <w:rFonts w:hint="eastAsia" w:ascii="宋体" w:hAnsi="宋体"/>
          <w:sz w:val="24"/>
        </w:rPr>
        <w:t>采用网页设计新技术Html5+Css3，支持多屏融合，网页、文章内容、视频和图片等资源能够根据来访终端不同、分辨率的不一样，自动跳转页面布局，以适配来访终端分辨率。</w:t>
      </w:r>
    </w:p>
    <w:p w14:paraId="13B3BBFB">
      <w:pPr>
        <w:pStyle w:val="11"/>
        <w:widowControl/>
        <w:spacing w:line="420" w:lineRule="exact"/>
        <w:ind w:firstLine="470" w:firstLineChars="196"/>
        <w:rPr>
          <w:rFonts w:hint="eastAsia" w:ascii="宋体" w:hAnsi="宋体"/>
          <w:sz w:val="24"/>
        </w:rPr>
      </w:pPr>
      <w:r>
        <w:rPr>
          <w:rFonts w:hint="eastAsia" w:ascii="宋体" w:hAnsi="宋体"/>
          <w:sz w:val="24"/>
        </w:rPr>
        <w:t>提供响应式模版（H5+CSS3），非技术人员可以通过简单的改变各组件的参数进行快速修改，满足不同管理人员的网站建设需求。确保网站在不同设备和屏幕尺寸上均能完美展示，包括桌面、平板、手机等，提升跨平台用户体验。</w:t>
      </w:r>
    </w:p>
    <w:p w14:paraId="420242DC">
      <w:pPr>
        <w:pStyle w:val="11"/>
        <w:widowControl/>
        <w:spacing w:line="420" w:lineRule="exact"/>
        <w:ind w:firstLine="470" w:firstLineChars="196"/>
        <w:rPr>
          <w:rFonts w:hint="eastAsia" w:ascii="宋体" w:hAnsi="宋体"/>
          <w:sz w:val="24"/>
        </w:rPr>
      </w:pPr>
      <w:r>
        <w:rPr>
          <w:rFonts w:hint="eastAsia" w:ascii="宋体" w:hAnsi="宋体"/>
          <w:sz w:val="24"/>
        </w:rPr>
        <w:t>2.兼容性</w:t>
      </w:r>
    </w:p>
    <w:p w14:paraId="6BE82CBF">
      <w:pPr>
        <w:pStyle w:val="11"/>
        <w:widowControl/>
        <w:spacing w:line="420" w:lineRule="exact"/>
        <w:ind w:firstLine="470" w:firstLineChars="196"/>
        <w:rPr>
          <w:rFonts w:hint="eastAsia" w:ascii="宋体" w:hAnsi="宋体"/>
          <w:sz w:val="24"/>
        </w:rPr>
      </w:pPr>
      <w:r>
        <w:rPr>
          <w:rFonts w:hint="eastAsia" w:ascii="宋体" w:hAnsi="宋体"/>
          <w:sz w:val="24"/>
        </w:rPr>
        <w:t>网站兼容主流浏览及（IE8以上及IE内核浏览器，Webkit 内核浏览器，Gecko内核浏览器）。例如：Firefox、Edge、Chrome、Safari、IE（8，9，10，11）、360浏览器、百度浏览器、遨游、搜狗、猎豹等。浏览器支持完全保证前台浏览和后台管理的所有功能，如文章编辑、office导入等。手机版支持安卓设备、苹果设备的浏览器，兼容不同设备的分辨率。</w:t>
      </w:r>
    </w:p>
    <w:p w14:paraId="59A3D950">
      <w:pPr>
        <w:pStyle w:val="11"/>
        <w:widowControl/>
        <w:spacing w:line="420" w:lineRule="exact"/>
        <w:ind w:firstLine="470" w:firstLineChars="196"/>
        <w:rPr>
          <w:rFonts w:hint="eastAsia" w:ascii="宋体" w:hAnsi="宋体"/>
          <w:sz w:val="24"/>
        </w:rPr>
      </w:pPr>
      <w:r>
        <w:rPr>
          <w:rFonts w:hint="eastAsia" w:ascii="宋体" w:hAnsi="宋体"/>
          <w:sz w:val="24"/>
        </w:rPr>
        <w:t>同时要求基于学校原网站群管理平台（WebPlus Pro）基础上进行建设，开发设计页面需满足原站群平台架构及安全要求。</w:t>
      </w:r>
    </w:p>
    <w:p w14:paraId="7B602CA1">
      <w:pPr>
        <w:pStyle w:val="11"/>
        <w:widowControl/>
        <w:spacing w:line="420" w:lineRule="exact"/>
        <w:ind w:firstLine="470" w:firstLineChars="196"/>
        <w:rPr>
          <w:rFonts w:hint="eastAsia" w:ascii="宋体" w:hAnsi="宋体"/>
          <w:sz w:val="24"/>
        </w:rPr>
      </w:pPr>
      <w:r>
        <w:rPr>
          <w:rFonts w:hint="eastAsia" w:ascii="宋体" w:hAnsi="宋体"/>
          <w:sz w:val="24"/>
        </w:rPr>
        <w:t>官网主站需要实现面向站群内各站跨站点跨栏目信息便捷投递，并保留跨站流程历史及备查日志，同时无需调用任何接口即可实现站群的信息互通。</w:t>
      </w:r>
    </w:p>
    <w:p w14:paraId="514413FE">
      <w:pPr>
        <w:pStyle w:val="11"/>
        <w:widowControl/>
        <w:spacing w:line="420" w:lineRule="exact"/>
        <w:ind w:firstLine="470" w:firstLineChars="196"/>
        <w:rPr>
          <w:rFonts w:hint="eastAsia" w:ascii="宋体" w:hAnsi="宋体"/>
          <w:sz w:val="24"/>
        </w:rPr>
      </w:pPr>
      <w:r>
        <w:rPr>
          <w:rFonts w:hint="eastAsia" w:ascii="宋体" w:hAnsi="宋体"/>
          <w:sz w:val="24"/>
        </w:rPr>
        <w:t>3.高性能与速度</w:t>
      </w:r>
    </w:p>
    <w:p w14:paraId="23B61ED7">
      <w:pPr>
        <w:pStyle w:val="11"/>
        <w:widowControl/>
        <w:spacing w:line="420" w:lineRule="exact"/>
        <w:ind w:firstLine="470" w:firstLineChars="196"/>
        <w:rPr>
          <w:rFonts w:hint="eastAsia" w:ascii="宋体" w:hAnsi="宋体"/>
          <w:sz w:val="24"/>
        </w:rPr>
      </w:pPr>
      <w:r>
        <w:rPr>
          <w:rFonts w:hint="eastAsia" w:ascii="宋体" w:hAnsi="宋体"/>
          <w:sz w:val="24"/>
        </w:rPr>
        <w:t>优化图片、视频等媒体资源的加载，使用CDN（内容分发网络）加速静态资源的分发，实施服务器端渲染（SSR）或预渲染策略提升首屏加载速度。</w:t>
      </w:r>
    </w:p>
    <w:p w14:paraId="4E19AB4B">
      <w:pPr>
        <w:pStyle w:val="11"/>
        <w:widowControl/>
        <w:spacing w:line="420" w:lineRule="exact"/>
        <w:ind w:firstLine="470" w:firstLineChars="196"/>
        <w:rPr>
          <w:rFonts w:hint="eastAsia" w:ascii="宋体" w:hAnsi="宋体"/>
          <w:sz w:val="24"/>
        </w:rPr>
      </w:pPr>
      <w:r>
        <w:rPr>
          <w:rFonts w:hint="eastAsia" w:ascii="宋体" w:hAnsi="宋体"/>
          <w:sz w:val="24"/>
        </w:rPr>
        <w:t>4.安全措施</w:t>
      </w:r>
    </w:p>
    <w:p w14:paraId="12377B52">
      <w:pPr>
        <w:pStyle w:val="11"/>
        <w:widowControl/>
        <w:spacing w:line="420" w:lineRule="exact"/>
        <w:ind w:firstLine="470" w:firstLineChars="196"/>
        <w:rPr>
          <w:rFonts w:hint="eastAsia" w:ascii="宋体" w:hAnsi="宋体"/>
          <w:sz w:val="24"/>
        </w:rPr>
      </w:pPr>
      <w:r>
        <w:rPr>
          <w:rFonts w:hint="eastAsia" w:ascii="宋体" w:hAnsi="宋体"/>
          <w:sz w:val="24"/>
        </w:rPr>
        <w:t>加强网站的安全防护，包括HTTPS加密传输、SQL注入和XSS攻击防护、DDoS防御等，确保用户数据和交易安全。同时，定期进行安全审计和漏洞扫描。</w:t>
      </w:r>
    </w:p>
    <w:p w14:paraId="31C89A72">
      <w:pPr>
        <w:pStyle w:val="11"/>
        <w:widowControl/>
        <w:spacing w:line="420" w:lineRule="exact"/>
        <w:ind w:firstLine="470" w:firstLineChars="196"/>
        <w:rPr>
          <w:rFonts w:hint="eastAsia" w:ascii="宋体" w:hAnsi="宋体"/>
          <w:sz w:val="24"/>
        </w:rPr>
      </w:pPr>
      <w:r>
        <w:rPr>
          <w:rFonts w:hint="eastAsia" w:ascii="宋体" w:hAnsi="宋体"/>
          <w:sz w:val="24"/>
        </w:rPr>
        <w:t>（二）网站设计风格要求</w:t>
      </w:r>
    </w:p>
    <w:p w14:paraId="14546592">
      <w:pPr>
        <w:pStyle w:val="11"/>
        <w:widowControl/>
        <w:spacing w:line="420" w:lineRule="exact"/>
        <w:ind w:firstLine="470" w:firstLineChars="196"/>
        <w:rPr>
          <w:rFonts w:hint="eastAsia" w:ascii="宋体" w:hAnsi="宋体"/>
          <w:sz w:val="24"/>
        </w:rPr>
      </w:pPr>
      <w:r>
        <w:rPr>
          <w:rFonts w:hint="eastAsia" w:ascii="宋体" w:hAnsi="宋体"/>
          <w:sz w:val="24"/>
        </w:rPr>
        <w:t>1．门户网站页面设计需要与学校的定位相吻合，体现学校的办学特色和办学理念，展现出学校师生的精神风貌。</w:t>
      </w:r>
    </w:p>
    <w:p w14:paraId="746C5AA8">
      <w:pPr>
        <w:pStyle w:val="11"/>
        <w:widowControl/>
        <w:spacing w:line="420" w:lineRule="exact"/>
        <w:ind w:firstLine="470" w:firstLineChars="196"/>
        <w:rPr>
          <w:rFonts w:hint="eastAsia" w:ascii="宋体" w:hAnsi="宋体"/>
          <w:sz w:val="24"/>
        </w:rPr>
      </w:pPr>
      <w:r>
        <w:rPr>
          <w:rFonts w:hint="eastAsia" w:ascii="宋体" w:hAnsi="宋体"/>
          <w:sz w:val="24"/>
        </w:rPr>
        <w:t>2．网站设计必须能够体现学校独特的文化符号，使网站所呈现出的视觉感受不同于其他相关类别的院校，具有原创性和代表性。</w:t>
      </w:r>
    </w:p>
    <w:p w14:paraId="316B0008">
      <w:pPr>
        <w:pStyle w:val="11"/>
        <w:widowControl/>
        <w:spacing w:line="420" w:lineRule="exact"/>
        <w:ind w:firstLine="470" w:firstLineChars="196"/>
        <w:rPr>
          <w:rFonts w:hint="eastAsia" w:ascii="宋体" w:hAnsi="宋体"/>
          <w:sz w:val="24"/>
        </w:rPr>
      </w:pPr>
      <w:r>
        <w:rPr>
          <w:rFonts w:hint="eastAsia" w:ascii="宋体" w:hAnsi="宋体"/>
          <w:sz w:val="24"/>
        </w:rPr>
        <w:t>3．对国内外同类院校及兄弟院校进行分析，规划出采购单位网站栏目内容。</w:t>
      </w:r>
    </w:p>
    <w:p w14:paraId="79515226">
      <w:pPr>
        <w:pStyle w:val="11"/>
        <w:widowControl/>
        <w:spacing w:line="420" w:lineRule="exact"/>
        <w:ind w:firstLine="470" w:firstLineChars="196"/>
        <w:rPr>
          <w:rFonts w:hint="eastAsia" w:ascii="宋体" w:hAnsi="宋体"/>
          <w:sz w:val="24"/>
        </w:rPr>
      </w:pPr>
      <w:r>
        <w:rPr>
          <w:rFonts w:hint="eastAsia" w:ascii="宋体" w:hAnsi="宋体"/>
          <w:sz w:val="24"/>
        </w:rPr>
        <w:t>4．根据不同栏目的属性，设计与之相匹配的界面，按照模板，栏目，资料库分离模式建设。</w:t>
      </w:r>
    </w:p>
    <w:p w14:paraId="783ECD04">
      <w:pPr>
        <w:pStyle w:val="11"/>
        <w:widowControl/>
        <w:spacing w:line="420" w:lineRule="exact"/>
        <w:ind w:firstLine="470" w:firstLineChars="196"/>
        <w:rPr>
          <w:rFonts w:hint="eastAsia" w:ascii="宋体" w:hAnsi="宋体"/>
          <w:sz w:val="24"/>
        </w:rPr>
      </w:pPr>
      <w:r>
        <w:rPr>
          <w:rFonts w:hint="eastAsia" w:ascii="宋体" w:hAnsi="宋体"/>
          <w:sz w:val="24"/>
        </w:rPr>
        <w:t>5．官网的设计要求能够条理清楚的组合安排学校众多门类的新闻公告，体现时效性和综合性，能够整合学校各方面的信息资源。</w:t>
      </w:r>
    </w:p>
    <w:p w14:paraId="296DB70D">
      <w:pPr>
        <w:pStyle w:val="11"/>
        <w:widowControl/>
        <w:spacing w:line="420" w:lineRule="exact"/>
        <w:ind w:firstLine="470" w:firstLineChars="196"/>
        <w:rPr>
          <w:rFonts w:hint="eastAsia" w:ascii="宋体" w:hAnsi="宋体"/>
          <w:sz w:val="24"/>
        </w:rPr>
      </w:pPr>
      <w:r>
        <w:rPr>
          <w:rFonts w:hint="eastAsia" w:ascii="宋体" w:hAnsi="宋体"/>
          <w:sz w:val="24"/>
        </w:rPr>
        <w:t>6．网站的设计思路必须明确清晰。要能够分析学校官网用户的访问路径和浏览习惯，有效的引导用户访问，最终实现信息找人。</w:t>
      </w:r>
    </w:p>
    <w:p w14:paraId="114C5A7C">
      <w:pPr>
        <w:pStyle w:val="11"/>
        <w:widowControl/>
        <w:spacing w:line="420" w:lineRule="exact"/>
        <w:ind w:firstLine="470" w:firstLineChars="196"/>
        <w:rPr>
          <w:rFonts w:hint="eastAsia" w:ascii="宋体" w:hAnsi="宋体"/>
          <w:sz w:val="24"/>
        </w:rPr>
      </w:pPr>
      <w:r>
        <w:rPr>
          <w:rFonts w:hint="eastAsia" w:ascii="宋体" w:hAnsi="宋体"/>
          <w:sz w:val="24"/>
        </w:rPr>
        <w:t>7．网站的设计采用非线性布局，风格要体现国际化视野，符合国际主流的设计趋势，使网站的整体风格典雅、大气。</w:t>
      </w:r>
    </w:p>
    <w:p w14:paraId="49DFA31E">
      <w:pPr>
        <w:pStyle w:val="11"/>
        <w:widowControl/>
        <w:spacing w:line="420" w:lineRule="exact"/>
        <w:ind w:firstLine="470" w:firstLineChars="196"/>
        <w:rPr>
          <w:rFonts w:hint="eastAsia" w:ascii="宋体" w:hAnsi="宋体"/>
          <w:sz w:val="24"/>
        </w:rPr>
      </w:pPr>
      <w:r>
        <w:rPr>
          <w:rFonts w:hint="eastAsia" w:ascii="宋体" w:hAnsi="宋体"/>
          <w:sz w:val="24"/>
        </w:rPr>
        <w:t>8．文字，图形色彩搭配合理规范，界面清楚整洁，层次结构清楚。</w:t>
      </w:r>
    </w:p>
    <w:p w14:paraId="510C1D3C">
      <w:pPr>
        <w:pStyle w:val="11"/>
        <w:widowControl/>
        <w:spacing w:line="420" w:lineRule="exact"/>
        <w:ind w:firstLine="470" w:firstLineChars="196"/>
        <w:rPr>
          <w:rFonts w:hint="eastAsia" w:ascii="宋体" w:hAnsi="宋体"/>
          <w:sz w:val="24"/>
        </w:rPr>
      </w:pPr>
      <w:r>
        <w:rPr>
          <w:rFonts w:hint="eastAsia" w:ascii="宋体" w:hAnsi="宋体"/>
          <w:sz w:val="24"/>
        </w:rPr>
        <w:t>9．官方网站的设计风格（配色、排版、文字使用等）需要和学校官方的视觉识别系统相一致。</w:t>
      </w:r>
    </w:p>
    <w:p w14:paraId="35920F21">
      <w:pPr>
        <w:pStyle w:val="11"/>
        <w:widowControl/>
        <w:spacing w:line="420" w:lineRule="exact"/>
        <w:ind w:firstLine="470" w:firstLineChars="196"/>
        <w:rPr>
          <w:rFonts w:hint="eastAsia" w:ascii="宋体" w:hAnsi="宋体"/>
          <w:sz w:val="24"/>
        </w:rPr>
      </w:pPr>
      <w:r>
        <w:rPr>
          <w:rFonts w:hint="eastAsia" w:ascii="宋体" w:hAnsi="宋体"/>
          <w:sz w:val="24"/>
        </w:rPr>
        <w:t>10．页面富有时代气息和美感，色彩搭配稳重、合理。</w:t>
      </w:r>
    </w:p>
    <w:p w14:paraId="4CE35E19">
      <w:pPr>
        <w:pStyle w:val="11"/>
        <w:widowControl/>
        <w:spacing w:line="420" w:lineRule="exact"/>
        <w:ind w:firstLine="470" w:firstLineChars="196"/>
        <w:rPr>
          <w:rFonts w:hint="eastAsia" w:ascii="宋体" w:hAnsi="宋体"/>
          <w:sz w:val="24"/>
        </w:rPr>
      </w:pPr>
      <w:r>
        <w:rPr>
          <w:rFonts w:hint="eastAsia" w:ascii="宋体" w:hAnsi="宋体"/>
          <w:sz w:val="24"/>
        </w:rPr>
        <w:t>11．支持多媒体展示，动画和视频效果丰富而生动。</w:t>
      </w:r>
    </w:p>
    <w:p w14:paraId="32DE1EB8">
      <w:pPr>
        <w:pStyle w:val="11"/>
        <w:widowControl/>
        <w:spacing w:line="420" w:lineRule="exact"/>
        <w:ind w:firstLine="470" w:firstLineChars="196"/>
        <w:rPr>
          <w:rFonts w:hint="eastAsia" w:ascii="宋体" w:hAnsi="宋体"/>
          <w:sz w:val="24"/>
        </w:rPr>
      </w:pPr>
      <w:r>
        <w:rPr>
          <w:rFonts w:hint="eastAsia" w:ascii="宋体" w:hAnsi="宋体"/>
          <w:sz w:val="24"/>
        </w:rPr>
        <w:t>12．网站所有设计元素，包括图像、视频、字体需要保证版权合法。</w:t>
      </w:r>
    </w:p>
    <w:p w14:paraId="6C689C10">
      <w:pPr>
        <w:pStyle w:val="11"/>
        <w:widowControl/>
        <w:spacing w:line="420" w:lineRule="exact"/>
        <w:ind w:firstLine="470" w:firstLineChars="196"/>
        <w:rPr>
          <w:rFonts w:hint="eastAsia" w:ascii="宋体" w:hAnsi="宋体"/>
          <w:sz w:val="24"/>
        </w:rPr>
      </w:pPr>
      <w:r>
        <w:rPr>
          <w:rFonts w:hint="eastAsia" w:ascii="宋体" w:hAnsi="宋体"/>
          <w:sz w:val="24"/>
        </w:rPr>
        <w:t>（三）网站适配要求</w:t>
      </w:r>
    </w:p>
    <w:p w14:paraId="606791A1">
      <w:pPr>
        <w:pStyle w:val="11"/>
        <w:widowControl/>
        <w:spacing w:line="420" w:lineRule="exact"/>
        <w:ind w:firstLine="470" w:firstLineChars="196"/>
        <w:rPr>
          <w:rFonts w:hint="eastAsia" w:ascii="宋体" w:hAnsi="宋体"/>
          <w:sz w:val="24"/>
        </w:rPr>
      </w:pPr>
      <w:r>
        <w:rPr>
          <w:rFonts w:hint="eastAsia" w:ascii="宋体" w:hAnsi="宋体"/>
          <w:sz w:val="24"/>
        </w:rPr>
        <w:t>1．兼容主流操作系统和浏览器，至少包括 IE9+，Edge，Chrome，Firefox，Safari。</w:t>
      </w:r>
    </w:p>
    <w:p w14:paraId="5FED53BE">
      <w:pPr>
        <w:pStyle w:val="11"/>
        <w:widowControl/>
        <w:spacing w:line="420" w:lineRule="exact"/>
        <w:ind w:firstLine="470" w:firstLineChars="196"/>
        <w:rPr>
          <w:rFonts w:hint="eastAsia" w:ascii="宋体" w:hAnsi="宋体"/>
          <w:sz w:val="24"/>
        </w:rPr>
      </w:pPr>
      <w:r>
        <w:rPr>
          <w:rFonts w:hint="eastAsia" w:ascii="宋体" w:hAnsi="宋体"/>
          <w:sz w:val="24"/>
        </w:rPr>
        <w:t>2．与学校原网站群管理平台（WebPlus Pro）进行深度对接，开发设计页面需满足原站群平台架构及安全要求。</w:t>
      </w:r>
    </w:p>
    <w:p w14:paraId="288A2759">
      <w:pPr>
        <w:pStyle w:val="11"/>
        <w:widowControl/>
        <w:spacing w:line="420" w:lineRule="exact"/>
        <w:ind w:firstLine="470" w:firstLineChars="196"/>
        <w:rPr>
          <w:rFonts w:hint="eastAsia" w:ascii="宋体" w:hAnsi="宋体"/>
          <w:sz w:val="24"/>
        </w:rPr>
      </w:pPr>
      <w:r>
        <w:rPr>
          <w:rFonts w:hint="eastAsia" w:ascii="宋体" w:hAnsi="宋体"/>
          <w:sz w:val="24"/>
        </w:rPr>
        <w:t>提供包括PC端，手机端、PAD端的多终端页面响应式设计，要求能够自动识别并适配用户终端，确保不同访客都能获得出色的浏览体验。</w:t>
      </w:r>
    </w:p>
    <w:p w14:paraId="6121E1AA">
      <w:pPr>
        <w:pStyle w:val="11"/>
        <w:widowControl/>
        <w:spacing w:line="420" w:lineRule="exact"/>
        <w:ind w:firstLine="470" w:firstLineChars="196"/>
        <w:rPr>
          <w:rFonts w:hint="eastAsia" w:ascii="宋体" w:hAnsi="宋体"/>
          <w:sz w:val="24"/>
        </w:rPr>
      </w:pPr>
      <w:r>
        <w:rPr>
          <w:rFonts w:hint="eastAsia" w:ascii="宋体" w:hAnsi="宋体"/>
          <w:sz w:val="24"/>
        </w:rPr>
        <w:t>3．门户网站需要实现面向站群内各站跨站点跨栏目信息便捷投递，并保留跨站流程历史及备查日志，同时无需调用任何接口即可实现站群的信息互通。</w:t>
      </w:r>
    </w:p>
    <w:p w14:paraId="32C03DFF">
      <w:pPr>
        <w:pStyle w:val="11"/>
        <w:widowControl/>
        <w:spacing w:line="420" w:lineRule="exact"/>
        <w:ind w:firstLine="470" w:firstLineChars="196"/>
        <w:rPr>
          <w:rFonts w:hint="eastAsia" w:ascii="宋体" w:hAnsi="宋体"/>
          <w:sz w:val="24"/>
        </w:rPr>
      </w:pPr>
      <w:r>
        <w:rPr>
          <w:rFonts w:hint="eastAsia" w:ascii="宋体" w:hAnsi="宋体"/>
          <w:sz w:val="24"/>
        </w:rPr>
        <w:t>（四）栏目设计要求</w:t>
      </w:r>
    </w:p>
    <w:p w14:paraId="569BFC1A">
      <w:pPr>
        <w:pStyle w:val="11"/>
        <w:widowControl/>
        <w:spacing w:line="420" w:lineRule="exact"/>
        <w:ind w:firstLine="470" w:firstLineChars="196"/>
        <w:rPr>
          <w:rFonts w:hint="eastAsia" w:ascii="宋体" w:hAnsi="宋体"/>
          <w:sz w:val="24"/>
        </w:rPr>
      </w:pPr>
      <w:r>
        <w:rPr>
          <w:rFonts w:hint="eastAsia" w:ascii="宋体" w:hAnsi="宋体"/>
          <w:sz w:val="24"/>
        </w:rPr>
        <w:t>1．网站的所有栏目都体现“简约、实用、重点突出”的特征。内容具体包含但不仅限于概况类、图文类、服务类、导航和检索类等。</w:t>
      </w:r>
    </w:p>
    <w:p w14:paraId="025F37B3">
      <w:pPr>
        <w:pStyle w:val="11"/>
        <w:widowControl/>
        <w:spacing w:line="420" w:lineRule="exact"/>
        <w:ind w:firstLine="470" w:firstLineChars="196"/>
        <w:rPr>
          <w:rFonts w:hint="eastAsia" w:ascii="宋体" w:hAnsi="宋体"/>
          <w:sz w:val="24"/>
        </w:rPr>
      </w:pPr>
      <w:r>
        <w:rPr>
          <w:rFonts w:hint="eastAsia" w:ascii="宋体" w:hAnsi="宋体"/>
          <w:sz w:val="24"/>
        </w:rPr>
        <w:t>2．对于学校现有主页栏目发布量、访问量进行统计，并将相关统计数据进行导出，根据统计结果对栏目进行合理性规划，并规划设计新媒体展示版块。</w:t>
      </w:r>
    </w:p>
    <w:p w14:paraId="00500ED4">
      <w:pPr>
        <w:pStyle w:val="11"/>
        <w:widowControl/>
        <w:spacing w:line="420" w:lineRule="exact"/>
        <w:ind w:firstLine="470" w:firstLineChars="196"/>
        <w:rPr>
          <w:rFonts w:hint="eastAsia" w:ascii="宋体" w:hAnsi="宋体"/>
          <w:sz w:val="24"/>
        </w:rPr>
      </w:pPr>
      <w:r>
        <w:rPr>
          <w:rFonts w:hint="eastAsia" w:ascii="宋体" w:hAnsi="宋体"/>
          <w:sz w:val="24"/>
        </w:rPr>
        <w:t>3．概况类：关于院系或机关部处的简介和概况介绍。</w:t>
      </w:r>
    </w:p>
    <w:p w14:paraId="58873ED6">
      <w:pPr>
        <w:pStyle w:val="11"/>
        <w:widowControl/>
        <w:spacing w:line="420" w:lineRule="exact"/>
        <w:ind w:firstLine="470" w:firstLineChars="196"/>
        <w:rPr>
          <w:rFonts w:hint="eastAsia" w:ascii="宋体" w:hAnsi="宋体"/>
          <w:sz w:val="24"/>
        </w:rPr>
      </w:pPr>
      <w:r>
        <w:rPr>
          <w:rFonts w:hint="eastAsia" w:ascii="宋体" w:hAnsi="宋体"/>
          <w:sz w:val="24"/>
        </w:rPr>
        <w:t>4．图文类：图文混排，使用媒体手段展示信息。</w:t>
      </w:r>
    </w:p>
    <w:p w14:paraId="0F69B864">
      <w:pPr>
        <w:pStyle w:val="11"/>
        <w:widowControl/>
        <w:spacing w:line="420" w:lineRule="exact"/>
        <w:ind w:firstLine="470" w:firstLineChars="196"/>
        <w:rPr>
          <w:rFonts w:hint="eastAsia" w:ascii="宋体" w:hAnsi="宋体"/>
          <w:sz w:val="24"/>
        </w:rPr>
      </w:pPr>
      <w:r>
        <w:rPr>
          <w:rFonts w:hint="eastAsia" w:ascii="宋体" w:hAnsi="宋体"/>
          <w:sz w:val="24"/>
        </w:rPr>
        <w:t>5．服务类：主要提供与校友生活密切相关的各类生活与办事信息。</w:t>
      </w:r>
    </w:p>
    <w:p w14:paraId="7A9647EF">
      <w:pPr>
        <w:pStyle w:val="11"/>
        <w:widowControl/>
        <w:spacing w:line="420" w:lineRule="exact"/>
        <w:ind w:firstLine="470" w:firstLineChars="196"/>
        <w:rPr>
          <w:rFonts w:hint="eastAsia" w:ascii="宋体" w:hAnsi="宋体"/>
          <w:sz w:val="24"/>
        </w:rPr>
      </w:pPr>
      <w:r>
        <w:rPr>
          <w:rFonts w:hint="eastAsia" w:ascii="宋体" w:hAnsi="宋体"/>
          <w:sz w:val="24"/>
        </w:rPr>
        <w:t>6．综合类：将二级栏目内容做总结性设计展示在一级栏目内容里，让整个网站更丰富。</w:t>
      </w:r>
    </w:p>
    <w:p w14:paraId="5C34B94C">
      <w:pPr>
        <w:pStyle w:val="11"/>
        <w:widowControl/>
        <w:spacing w:line="420" w:lineRule="exact"/>
        <w:ind w:firstLine="470" w:firstLineChars="196"/>
        <w:rPr>
          <w:rFonts w:hint="eastAsia" w:ascii="宋体" w:hAnsi="宋体"/>
          <w:sz w:val="24"/>
        </w:rPr>
      </w:pPr>
      <w:r>
        <w:rPr>
          <w:rFonts w:hint="eastAsia" w:ascii="宋体" w:hAnsi="宋体"/>
          <w:sz w:val="24"/>
        </w:rPr>
        <w:t>（四）交付期限：2024年</w:t>
      </w:r>
      <w:r>
        <w:rPr>
          <w:rFonts w:hint="eastAsia" w:ascii="宋体" w:hAnsi="宋体"/>
          <w:sz w:val="24"/>
          <w:lang w:val="en-US" w:eastAsia="zh-CN"/>
        </w:rPr>
        <w:t>9</w:t>
      </w:r>
      <w:r>
        <w:rPr>
          <w:rFonts w:hint="eastAsia" w:ascii="宋体" w:hAnsi="宋体"/>
          <w:sz w:val="24"/>
        </w:rPr>
        <w:t>月30日之前；</w:t>
      </w:r>
    </w:p>
    <w:p w14:paraId="072475DA">
      <w:pPr>
        <w:pStyle w:val="11"/>
        <w:widowControl/>
        <w:spacing w:line="420" w:lineRule="exact"/>
        <w:ind w:firstLine="472" w:firstLineChars="196"/>
        <w:rPr>
          <w:rFonts w:ascii="宋体" w:hAnsi="宋体" w:cs="宋体"/>
          <w:sz w:val="24"/>
          <w:szCs w:val="24"/>
        </w:rPr>
      </w:pPr>
      <w:r>
        <w:rPr>
          <w:rStyle w:val="9"/>
          <w:rFonts w:hint="eastAsia" w:ascii="宋体" w:hAnsi="宋体" w:cs="宋体"/>
          <w:kern w:val="0"/>
          <w:sz w:val="24"/>
          <w:szCs w:val="24"/>
        </w:rPr>
        <w:t>三、投标资格条件</w:t>
      </w:r>
    </w:p>
    <w:p w14:paraId="17181DB6">
      <w:pPr>
        <w:widowControl/>
        <w:shd w:val="clear" w:color="auto" w:fill="FFFFFF"/>
        <w:spacing w:line="420" w:lineRule="exact"/>
        <w:ind w:firstLine="480"/>
        <w:jc w:val="left"/>
        <w:rPr>
          <w:rFonts w:ascii="宋体" w:hAnsi="宋体" w:cs="宋体"/>
          <w:sz w:val="24"/>
          <w:szCs w:val="24"/>
        </w:rPr>
      </w:pPr>
      <w:r>
        <w:rPr>
          <w:rFonts w:ascii="宋体" w:hAnsi="宋体" w:cs="宋体"/>
          <w:kern w:val="0"/>
          <w:sz w:val="24"/>
          <w:szCs w:val="24"/>
          <w:shd w:val="clear" w:color="auto" w:fill="FFFFFF"/>
        </w:rPr>
        <w:t>1.</w:t>
      </w:r>
      <w:r>
        <w:rPr>
          <w:rFonts w:hint="eastAsia" w:ascii="宋体" w:hAnsi="宋体" w:cs="宋体"/>
          <w:kern w:val="0"/>
          <w:sz w:val="24"/>
          <w:szCs w:val="24"/>
          <w:shd w:val="clear" w:color="auto" w:fill="FFFFFF"/>
        </w:rPr>
        <w:t>具备《中华人民共和国政府采购法》第二十二条规定的条件；</w:t>
      </w:r>
    </w:p>
    <w:p w14:paraId="36A4F2F3">
      <w:pPr>
        <w:widowControl/>
        <w:shd w:val="clear" w:color="auto" w:fill="FFFFFF"/>
        <w:spacing w:line="420" w:lineRule="exact"/>
        <w:ind w:firstLine="480"/>
        <w:jc w:val="left"/>
        <w:rPr>
          <w:rFonts w:ascii="宋体" w:hAnsi="宋体" w:cs="宋体"/>
          <w:kern w:val="0"/>
          <w:sz w:val="24"/>
          <w:szCs w:val="24"/>
          <w:shd w:val="clear" w:color="auto" w:fill="FFFFFF"/>
        </w:rPr>
      </w:pPr>
      <w:r>
        <w:rPr>
          <w:rFonts w:ascii="宋体" w:hAnsi="宋体" w:cs="宋体"/>
          <w:kern w:val="0"/>
          <w:sz w:val="24"/>
          <w:szCs w:val="24"/>
          <w:shd w:val="clear" w:color="auto" w:fill="FFFFFF"/>
        </w:rPr>
        <w:t>2</w:t>
      </w:r>
      <w:r>
        <w:rPr>
          <w:rFonts w:hint="eastAsia" w:ascii="宋体" w:hAnsi="宋体" w:cs="宋体"/>
          <w:kern w:val="0"/>
          <w:sz w:val="24"/>
          <w:szCs w:val="24"/>
          <w:shd w:val="clear" w:color="auto" w:fill="FFFFFF"/>
        </w:rPr>
        <w:t>.投标单位及其法人近三年内无违纪违法行为，自觉遵守高校廉洁从业（政）规定；</w:t>
      </w:r>
    </w:p>
    <w:p w14:paraId="7261E690">
      <w:pPr>
        <w:spacing w:line="420" w:lineRule="exact"/>
        <w:ind w:firstLine="480" w:firstLineChars="200"/>
        <w:jc w:val="left"/>
        <w:rPr>
          <w:rFonts w:ascii="宋体" w:hAnsi="宋体"/>
          <w:sz w:val="24"/>
          <w:szCs w:val="24"/>
        </w:rPr>
      </w:pPr>
      <w:r>
        <w:rPr>
          <w:rFonts w:ascii="宋体" w:hAnsi="宋体"/>
          <w:sz w:val="24"/>
          <w:szCs w:val="24"/>
        </w:rPr>
        <w:t>3</w:t>
      </w:r>
      <w:r>
        <w:rPr>
          <w:rFonts w:hint="eastAsia" w:ascii="宋体" w:hAnsi="宋体"/>
          <w:sz w:val="24"/>
          <w:szCs w:val="24"/>
        </w:rPr>
        <w:t>.投标单位应承担投标及履约中应承担的全部责任与义务，不允许投标单位中标后分包或转包。</w:t>
      </w:r>
    </w:p>
    <w:p w14:paraId="4DCDA10F">
      <w:pPr>
        <w:spacing w:line="420" w:lineRule="exact"/>
        <w:ind w:firstLine="482" w:firstLineChars="200"/>
        <w:jc w:val="left"/>
        <w:rPr>
          <w:rFonts w:ascii="宋体" w:hAnsi="宋体" w:cs="宋体"/>
          <w:b/>
          <w:bCs/>
          <w:kern w:val="0"/>
          <w:sz w:val="24"/>
          <w:szCs w:val="24"/>
        </w:rPr>
      </w:pPr>
      <w:r>
        <w:rPr>
          <w:rFonts w:hint="eastAsia" w:ascii="宋体" w:hAnsi="宋体"/>
          <w:b/>
          <w:sz w:val="24"/>
          <w:szCs w:val="24"/>
        </w:rPr>
        <w:t>四、</w:t>
      </w:r>
      <w:r>
        <w:rPr>
          <w:rFonts w:hint="eastAsia" w:ascii="宋体" w:hAnsi="宋体" w:cs="宋体"/>
          <w:b/>
          <w:bCs/>
          <w:kern w:val="0"/>
          <w:sz w:val="24"/>
          <w:szCs w:val="24"/>
        </w:rPr>
        <w:t>服务质量及验收标准</w:t>
      </w:r>
    </w:p>
    <w:p w14:paraId="5D217B92">
      <w:pPr>
        <w:widowControl/>
        <w:spacing w:line="420" w:lineRule="exact"/>
        <w:ind w:firstLine="480" w:firstLineChars="200"/>
        <w:rPr>
          <w:rFonts w:hint="eastAsia" w:ascii="宋体" w:hAnsi="宋体" w:cs="宋体"/>
          <w:b w:val="0"/>
          <w:bCs/>
          <w:kern w:val="0"/>
          <w:sz w:val="24"/>
          <w:szCs w:val="24"/>
          <w:lang w:eastAsia="zh-CN"/>
        </w:rPr>
      </w:pPr>
      <w:r>
        <w:rPr>
          <w:rFonts w:hint="eastAsia" w:ascii="宋体" w:hAnsi="宋体" w:cs="宋体"/>
          <w:b w:val="0"/>
          <w:bCs/>
          <w:kern w:val="0"/>
          <w:sz w:val="24"/>
          <w:szCs w:val="24"/>
          <w:lang w:eastAsia="zh-CN"/>
        </w:rPr>
        <w:t>改版的官网设计符合采购文件所有功能及服务等要求且达到采购人使用管理部门宣传部期望。</w:t>
      </w:r>
    </w:p>
    <w:p w14:paraId="5A92E04F">
      <w:pPr>
        <w:widowControl/>
        <w:spacing w:line="420" w:lineRule="exact"/>
        <w:ind w:firstLine="482" w:firstLineChars="200"/>
        <w:rPr>
          <w:rFonts w:ascii="宋体" w:hAnsi="宋体" w:cs="宋体"/>
          <w:b/>
          <w:kern w:val="0"/>
          <w:sz w:val="24"/>
          <w:szCs w:val="24"/>
        </w:rPr>
      </w:pPr>
      <w:r>
        <w:rPr>
          <w:rFonts w:hint="eastAsia" w:ascii="宋体" w:hAnsi="宋体" w:cs="宋体"/>
          <w:b/>
          <w:kern w:val="0"/>
          <w:sz w:val="24"/>
          <w:szCs w:val="24"/>
        </w:rPr>
        <w:t>五、招标</w:t>
      </w:r>
      <w:r>
        <w:rPr>
          <w:rFonts w:hint="eastAsia" w:ascii="宋体" w:hAnsi="宋体" w:cs="宋体"/>
          <w:b/>
          <w:kern w:val="0"/>
          <w:sz w:val="24"/>
          <w:szCs w:val="24"/>
          <w:lang w:eastAsia="zh-CN"/>
        </w:rPr>
        <w:t>采购</w:t>
      </w:r>
      <w:r>
        <w:rPr>
          <w:rFonts w:hint="eastAsia" w:ascii="宋体" w:hAnsi="宋体" w:cs="宋体"/>
          <w:b/>
          <w:kern w:val="0"/>
          <w:sz w:val="24"/>
          <w:szCs w:val="24"/>
        </w:rPr>
        <w:t>文件的获取</w:t>
      </w:r>
    </w:p>
    <w:p w14:paraId="0023A96E">
      <w:pPr>
        <w:widowControl/>
        <w:spacing w:line="420" w:lineRule="exact"/>
        <w:ind w:firstLine="480"/>
        <w:rPr>
          <w:rFonts w:ascii="宋体" w:hAnsi="宋体" w:cs="宋体"/>
          <w:kern w:val="0"/>
          <w:sz w:val="24"/>
          <w:szCs w:val="24"/>
        </w:rPr>
      </w:pPr>
      <w:r>
        <w:rPr>
          <w:rFonts w:hint="eastAsia" w:ascii="宋体" w:hAnsi="宋体" w:cs="宋体"/>
          <w:kern w:val="0"/>
          <w:sz w:val="24"/>
          <w:szCs w:val="24"/>
        </w:rPr>
        <w:t>请有意参与投标的单位自行在铜陵学院国资处网站（</w:t>
      </w:r>
      <w:r>
        <w:rPr>
          <w:rFonts w:ascii="宋体" w:hAnsi="宋体" w:cs="宋体"/>
          <w:kern w:val="0"/>
          <w:sz w:val="24"/>
          <w:szCs w:val="24"/>
        </w:rPr>
        <w:t>http://gzc.tlu.edu.cn/</w:t>
      </w:r>
      <w:r>
        <w:rPr>
          <w:rFonts w:hint="eastAsia" w:ascii="宋体" w:hAnsi="宋体" w:cs="宋体"/>
          <w:kern w:val="0"/>
          <w:sz w:val="24"/>
          <w:szCs w:val="24"/>
        </w:rPr>
        <w:t>）下载。</w:t>
      </w:r>
    </w:p>
    <w:p w14:paraId="1B579C7F">
      <w:pPr>
        <w:widowControl/>
        <w:spacing w:line="420" w:lineRule="exact"/>
        <w:ind w:firstLine="600"/>
        <w:rPr>
          <w:rFonts w:ascii="宋体" w:hAnsi="宋体" w:cs="宋体"/>
          <w:b/>
          <w:kern w:val="0"/>
          <w:sz w:val="24"/>
          <w:szCs w:val="24"/>
        </w:rPr>
      </w:pPr>
      <w:r>
        <w:rPr>
          <w:rFonts w:hint="eastAsia" w:ascii="宋体" w:hAnsi="宋体" w:cs="宋体"/>
          <w:b/>
          <w:kern w:val="0"/>
          <w:sz w:val="24"/>
          <w:szCs w:val="24"/>
        </w:rPr>
        <w:t>六、投标相关事项：</w:t>
      </w:r>
    </w:p>
    <w:p w14:paraId="5DAB6F3C">
      <w:pPr>
        <w:widowControl/>
        <w:spacing w:line="420" w:lineRule="exact"/>
        <w:ind w:firstLine="352" w:firstLineChars="147"/>
        <w:rPr>
          <w:rFonts w:ascii="宋体" w:hAnsi="宋体" w:cs="宋体"/>
          <w:b/>
          <w:kern w:val="0"/>
          <w:sz w:val="24"/>
          <w:szCs w:val="24"/>
        </w:rPr>
      </w:pPr>
      <w:r>
        <w:rPr>
          <w:rFonts w:hint="eastAsia" w:ascii="宋体" w:hAnsi="宋体" w:cs="宋体"/>
          <w:kern w:val="0"/>
          <w:sz w:val="24"/>
        </w:rPr>
        <w:t>（一）投标函编制：</w:t>
      </w:r>
    </w:p>
    <w:p w14:paraId="684486BF">
      <w:pPr>
        <w:widowControl/>
        <w:spacing w:line="420" w:lineRule="exact"/>
        <w:ind w:firstLine="600"/>
        <w:rPr>
          <w:rFonts w:ascii="宋体" w:hAnsi="宋体" w:cs="宋体"/>
          <w:kern w:val="0"/>
          <w:szCs w:val="21"/>
        </w:rPr>
      </w:pPr>
      <w:r>
        <w:rPr>
          <w:rFonts w:hint="eastAsia" w:ascii="宋体" w:hAnsi="宋体" w:cs="宋体"/>
          <w:kern w:val="0"/>
          <w:sz w:val="24"/>
        </w:rPr>
        <w:t>投标人需提交一式两份（一份正本、一份副本）报价函，分别注明“正本”和“副本”（如报价不一致，以正本为准），且须密封并于密封处及封面加盖单位公章。报价函内需附以下资料并加盖单位公章：</w:t>
      </w:r>
    </w:p>
    <w:p w14:paraId="1BA408CA">
      <w:pPr>
        <w:widowControl/>
        <w:spacing w:line="420" w:lineRule="exact"/>
        <w:ind w:firstLine="480" w:firstLineChars="200"/>
        <w:rPr>
          <w:rFonts w:ascii="宋体" w:hAnsi="宋体" w:cs="宋体"/>
          <w:kern w:val="0"/>
          <w:szCs w:val="21"/>
        </w:rPr>
      </w:pPr>
      <w:r>
        <w:rPr>
          <w:rFonts w:hint="eastAsia" w:ascii="宋体" w:hAnsi="宋体" w:cs="宋体"/>
          <w:kern w:val="0"/>
          <w:sz w:val="24"/>
        </w:rPr>
        <w:t>1.投标承诺（针对本</w:t>
      </w:r>
      <w:r>
        <w:rPr>
          <w:rFonts w:hint="eastAsia" w:ascii="宋体" w:hAnsi="宋体" w:cs="宋体"/>
          <w:kern w:val="0"/>
          <w:sz w:val="24"/>
          <w:lang w:eastAsia="zh-CN"/>
        </w:rPr>
        <w:t>市场比价文件</w:t>
      </w:r>
      <w:r>
        <w:rPr>
          <w:rFonts w:hint="eastAsia" w:ascii="宋体" w:hAnsi="宋体" w:cs="宋体"/>
          <w:kern w:val="0"/>
          <w:sz w:val="24"/>
        </w:rPr>
        <w:t>提出的服务质量、服务期等要求的响应）；</w:t>
      </w:r>
    </w:p>
    <w:p w14:paraId="4C3ECE2B">
      <w:pPr>
        <w:widowControl/>
        <w:spacing w:line="420" w:lineRule="exact"/>
        <w:ind w:firstLine="480" w:firstLineChars="200"/>
        <w:rPr>
          <w:rFonts w:ascii="宋体" w:hAnsi="宋体" w:cs="宋体"/>
          <w:kern w:val="0"/>
          <w:szCs w:val="21"/>
        </w:rPr>
      </w:pPr>
      <w:r>
        <w:rPr>
          <w:rFonts w:hint="eastAsia" w:ascii="宋体" w:hAnsi="宋体" w:cs="宋体"/>
          <w:kern w:val="0"/>
          <w:sz w:val="24"/>
        </w:rPr>
        <w:t>2.法人授权书原件；</w:t>
      </w:r>
    </w:p>
    <w:p w14:paraId="73D9D9A2">
      <w:pPr>
        <w:widowControl/>
        <w:spacing w:line="420" w:lineRule="exact"/>
        <w:ind w:firstLine="480" w:firstLineChars="200"/>
        <w:rPr>
          <w:rFonts w:ascii="宋体" w:hAnsi="宋体" w:cs="宋体"/>
          <w:kern w:val="0"/>
          <w:szCs w:val="21"/>
        </w:rPr>
      </w:pPr>
      <w:r>
        <w:rPr>
          <w:rFonts w:hint="eastAsia" w:ascii="宋体" w:hAnsi="宋体" w:cs="宋体"/>
          <w:kern w:val="0"/>
          <w:sz w:val="24"/>
        </w:rPr>
        <w:t>3.营业执照复印件；</w:t>
      </w:r>
    </w:p>
    <w:p w14:paraId="5465E8BB">
      <w:pPr>
        <w:spacing w:line="420" w:lineRule="exact"/>
        <w:ind w:firstLine="480" w:firstLineChars="200"/>
        <w:jc w:val="left"/>
        <w:rPr>
          <w:rFonts w:ascii="宋体" w:hAnsi="宋体"/>
          <w:sz w:val="24"/>
          <w:szCs w:val="24"/>
        </w:rPr>
      </w:pPr>
      <w:r>
        <w:rPr>
          <w:rFonts w:hint="eastAsia" w:ascii="宋体" w:hAnsi="宋体" w:cs="宋体"/>
          <w:kern w:val="0"/>
          <w:sz w:val="24"/>
        </w:rPr>
        <w:t>4.</w:t>
      </w:r>
      <w:r>
        <w:rPr>
          <w:rFonts w:hint="eastAsia" w:ascii="宋体" w:hAnsi="宋体"/>
          <w:sz w:val="24"/>
          <w:szCs w:val="24"/>
        </w:rPr>
        <w:t>铜陵学院</w:t>
      </w:r>
      <w:r>
        <w:rPr>
          <w:rFonts w:hint="eastAsia" w:ascii="宋体" w:hAnsi="宋体"/>
          <w:sz w:val="24"/>
          <w:szCs w:val="24"/>
          <w:lang w:eastAsia="zh-CN"/>
        </w:rPr>
        <w:t>官网主页改版服务</w:t>
      </w:r>
      <w:r>
        <w:rPr>
          <w:rFonts w:hint="eastAsia" w:ascii="宋体" w:hAnsi="宋体"/>
          <w:sz w:val="24"/>
          <w:szCs w:val="24"/>
        </w:rPr>
        <w:t>投标报价表；</w:t>
      </w:r>
    </w:p>
    <w:p w14:paraId="361F5782">
      <w:pPr>
        <w:widowControl/>
        <w:spacing w:line="420" w:lineRule="exact"/>
        <w:ind w:firstLine="480" w:firstLineChars="200"/>
        <w:rPr>
          <w:rFonts w:ascii="宋体" w:hAnsi="宋体" w:cs="宋体"/>
          <w:kern w:val="0"/>
          <w:szCs w:val="21"/>
        </w:rPr>
      </w:pPr>
      <w:r>
        <w:rPr>
          <w:rFonts w:hint="eastAsia" w:ascii="宋体" w:hAnsi="宋体" w:cs="宋体"/>
          <w:kern w:val="0"/>
          <w:sz w:val="24"/>
        </w:rPr>
        <w:t>5.投标单位认为需要提供其它资料。</w:t>
      </w:r>
    </w:p>
    <w:p w14:paraId="4DDBD704">
      <w:pPr>
        <w:widowControl/>
        <w:spacing w:line="420" w:lineRule="exact"/>
        <w:ind w:firstLine="360" w:firstLineChars="150"/>
        <w:rPr>
          <w:rFonts w:ascii="宋体" w:hAnsi="宋体" w:cs="宋体"/>
          <w:kern w:val="0"/>
          <w:szCs w:val="21"/>
        </w:rPr>
      </w:pPr>
      <w:r>
        <w:rPr>
          <w:rFonts w:hint="eastAsia" w:ascii="宋体" w:hAnsi="宋体" w:cs="宋体"/>
          <w:kern w:val="0"/>
          <w:sz w:val="24"/>
        </w:rPr>
        <w:t>（二）标书投送：</w:t>
      </w:r>
    </w:p>
    <w:p w14:paraId="254C0AEE">
      <w:pPr>
        <w:widowControl/>
        <w:spacing w:line="420" w:lineRule="exact"/>
        <w:ind w:firstLine="360" w:firstLineChars="150"/>
        <w:rPr>
          <w:rFonts w:hint="eastAsia" w:ascii="宋体" w:hAnsi="宋体" w:cs="宋体"/>
          <w:kern w:val="0"/>
          <w:sz w:val="24"/>
          <w:szCs w:val="24"/>
        </w:rPr>
      </w:pPr>
      <w:r>
        <w:rPr>
          <w:rFonts w:hint="eastAsia" w:ascii="宋体" w:hAnsi="宋体" w:cs="宋体"/>
          <w:kern w:val="0"/>
          <w:sz w:val="24"/>
          <w:szCs w:val="24"/>
        </w:rPr>
        <w:t>凡符合投标资格、有意向的投标单位，请于202</w:t>
      </w:r>
      <w:r>
        <w:rPr>
          <w:rFonts w:hint="eastAsia" w:ascii="宋体" w:hAnsi="宋体" w:cs="宋体"/>
          <w:kern w:val="0"/>
          <w:sz w:val="24"/>
          <w:szCs w:val="24"/>
          <w:lang w:val="en-US" w:eastAsia="zh-CN"/>
        </w:rPr>
        <w:t>4</w:t>
      </w:r>
      <w:r>
        <w:rPr>
          <w:rFonts w:hint="eastAsia" w:ascii="宋体" w:hAnsi="宋体" w:cs="宋体"/>
          <w:kern w:val="0"/>
          <w:sz w:val="24"/>
          <w:szCs w:val="24"/>
        </w:rPr>
        <w:t>年</w:t>
      </w:r>
      <w:r>
        <w:rPr>
          <w:rFonts w:hint="eastAsia" w:ascii="宋体" w:hAnsi="宋体" w:cs="宋体"/>
          <w:kern w:val="0"/>
          <w:sz w:val="24"/>
          <w:szCs w:val="24"/>
          <w:lang w:val="en-US" w:eastAsia="zh-CN"/>
        </w:rPr>
        <w:t>8</w:t>
      </w:r>
      <w:r>
        <w:rPr>
          <w:rFonts w:hint="eastAsia" w:ascii="宋体" w:hAnsi="宋体" w:cs="宋体"/>
          <w:kern w:val="0"/>
          <w:sz w:val="24"/>
          <w:szCs w:val="24"/>
        </w:rPr>
        <w:t>月</w:t>
      </w:r>
      <w:r>
        <w:rPr>
          <w:rFonts w:hint="eastAsia" w:ascii="宋体" w:hAnsi="宋体" w:cs="宋体"/>
          <w:kern w:val="0"/>
          <w:sz w:val="24"/>
          <w:szCs w:val="24"/>
          <w:lang w:val="en-US" w:eastAsia="zh-CN"/>
        </w:rPr>
        <w:t>28</w:t>
      </w:r>
      <w:r>
        <w:rPr>
          <w:rFonts w:hint="eastAsia" w:ascii="宋体" w:hAnsi="宋体" w:cs="宋体"/>
          <w:kern w:val="0"/>
          <w:sz w:val="24"/>
          <w:szCs w:val="24"/>
        </w:rPr>
        <w:t>日上午11：00前，将投标文件送达铜陵学院</w:t>
      </w:r>
      <w:r>
        <w:rPr>
          <w:rFonts w:hint="eastAsia" w:ascii="宋体" w:hAnsi="宋体" w:cs="宋体"/>
          <w:kern w:val="0"/>
          <w:sz w:val="24"/>
          <w:szCs w:val="24"/>
          <w:lang w:eastAsia="zh-CN"/>
        </w:rPr>
        <w:t>新校区信息综合楼</w:t>
      </w:r>
      <w:r>
        <w:rPr>
          <w:rFonts w:hint="eastAsia" w:ascii="宋体" w:hAnsi="宋体" w:cs="宋体"/>
          <w:kern w:val="0"/>
          <w:sz w:val="24"/>
          <w:szCs w:val="24"/>
          <w:lang w:val="en-US" w:eastAsia="zh-CN"/>
        </w:rPr>
        <w:t>511室</w:t>
      </w:r>
      <w:r>
        <w:rPr>
          <w:rFonts w:hint="eastAsia" w:ascii="宋体" w:hAnsi="宋体" w:cs="宋体"/>
          <w:kern w:val="0"/>
          <w:sz w:val="24"/>
          <w:szCs w:val="24"/>
        </w:rPr>
        <w:t>，联系人：胡老师（13955931061）。</w:t>
      </w:r>
    </w:p>
    <w:p w14:paraId="3192FD86">
      <w:pPr>
        <w:widowControl/>
        <w:spacing w:line="420" w:lineRule="exact"/>
        <w:ind w:firstLine="361" w:firstLineChars="150"/>
        <w:rPr>
          <w:rFonts w:hint="eastAsia" w:ascii="宋体" w:hAnsi="宋体" w:eastAsia="宋体" w:cs="宋体"/>
          <w:kern w:val="0"/>
          <w:sz w:val="24"/>
          <w:lang w:val="en-US" w:eastAsia="zh-CN"/>
        </w:rPr>
      </w:pPr>
      <w:r>
        <w:rPr>
          <w:rFonts w:hint="eastAsia" w:ascii="宋体" w:hAnsi="宋体" w:cs="宋体"/>
          <w:b/>
          <w:bCs/>
          <w:kern w:val="0"/>
          <w:sz w:val="24"/>
          <w:szCs w:val="24"/>
        </w:rPr>
        <w:t>（因</w:t>
      </w:r>
      <w:r>
        <w:rPr>
          <w:rFonts w:hint="eastAsia" w:ascii="宋体" w:hAnsi="宋体" w:cs="宋体"/>
          <w:b/>
          <w:bCs/>
          <w:kern w:val="0"/>
          <w:sz w:val="24"/>
          <w:szCs w:val="24"/>
          <w:lang w:eastAsia="zh-CN"/>
        </w:rPr>
        <w:t>校园管理</w:t>
      </w:r>
      <w:r>
        <w:rPr>
          <w:rFonts w:hint="eastAsia" w:ascii="宋体" w:hAnsi="宋体" w:cs="宋体"/>
          <w:b/>
          <w:bCs/>
          <w:kern w:val="0"/>
          <w:sz w:val="24"/>
          <w:szCs w:val="24"/>
        </w:rPr>
        <w:t>要求，请投标人在</w:t>
      </w:r>
      <w:r>
        <w:rPr>
          <w:rFonts w:hint="eastAsia" w:ascii="宋体" w:hAnsi="宋体" w:cs="宋体"/>
          <w:b/>
          <w:bCs/>
          <w:kern w:val="0"/>
          <w:sz w:val="24"/>
          <w:szCs w:val="24"/>
          <w:lang w:val="en-US" w:eastAsia="zh-CN"/>
        </w:rPr>
        <w:t>8</w:t>
      </w:r>
      <w:bookmarkStart w:id="0" w:name="_GoBack"/>
      <w:bookmarkEnd w:id="0"/>
      <w:r>
        <w:rPr>
          <w:rFonts w:hint="eastAsia" w:ascii="宋体" w:hAnsi="宋体" w:cs="宋体"/>
          <w:b/>
          <w:bCs/>
          <w:kern w:val="0"/>
          <w:sz w:val="24"/>
          <w:szCs w:val="24"/>
        </w:rPr>
        <w:t>月</w:t>
      </w:r>
      <w:r>
        <w:rPr>
          <w:rFonts w:hint="eastAsia" w:ascii="宋体" w:hAnsi="宋体" w:cs="宋体"/>
          <w:b/>
          <w:bCs/>
          <w:kern w:val="0"/>
          <w:sz w:val="24"/>
          <w:szCs w:val="24"/>
          <w:lang w:val="en-US" w:eastAsia="zh-CN"/>
        </w:rPr>
        <w:t>28</w:t>
      </w:r>
      <w:r>
        <w:rPr>
          <w:rFonts w:hint="eastAsia" w:ascii="宋体" w:hAnsi="宋体" w:cs="宋体"/>
          <w:b/>
          <w:bCs/>
          <w:kern w:val="0"/>
          <w:sz w:val="24"/>
          <w:szCs w:val="24"/>
        </w:rPr>
        <w:t>日上午</w:t>
      </w:r>
      <w:r>
        <w:rPr>
          <w:rFonts w:hint="eastAsia" w:ascii="宋体" w:hAnsi="宋体" w:cs="宋体"/>
          <w:b/>
          <w:bCs/>
          <w:kern w:val="0"/>
          <w:sz w:val="24"/>
          <w:szCs w:val="24"/>
          <w:lang w:eastAsia="zh-CN"/>
        </w:rPr>
        <w:t>（</w:t>
      </w:r>
      <w:r>
        <w:rPr>
          <w:rFonts w:hint="eastAsia" w:ascii="宋体" w:hAnsi="宋体" w:cs="宋体"/>
          <w:b/>
          <w:bCs/>
          <w:kern w:val="0"/>
          <w:sz w:val="24"/>
          <w:szCs w:val="24"/>
          <w:lang w:val="en-US" w:eastAsia="zh-CN"/>
        </w:rPr>
        <w:t>8:00-11:00）</w:t>
      </w:r>
      <w:r>
        <w:rPr>
          <w:rFonts w:hint="eastAsia" w:ascii="宋体" w:hAnsi="宋体" w:cs="宋体"/>
          <w:b/>
          <w:bCs/>
          <w:kern w:val="0"/>
          <w:sz w:val="24"/>
          <w:szCs w:val="24"/>
        </w:rPr>
        <w:t>投递响应文件，其它时段不接收）。进校前请按要求在微信小程序里办理入校申请，接访部门选填国有资产管理处）</w:t>
      </w:r>
      <w:r>
        <w:rPr>
          <w:rFonts w:hint="eastAsia" w:ascii="宋体" w:hAnsi="宋体" w:cs="宋体"/>
          <w:b/>
          <w:bCs/>
          <w:kern w:val="0"/>
          <w:sz w:val="24"/>
          <w:szCs w:val="24"/>
          <w:lang w:val="en-US" w:eastAsia="zh-CN"/>
        </w:rPr>
        <w:t>。</w:t>
      </w:r>
    </w:p>
    <w:p w14:paraId="15CE66B4">
      <w:pPr>
        <w:widowControl/>
        <w:spacing w:line="420" w:lineRule="exact"/>
        <w:ind w:firstLine="420"/>
        <w:rPr>
          <w:rFonts w:ascii="宋体" w:cs="宋体"/>
          <w:kern w:val="0"/>
          <w:sz w:val="24"/>
          <w:szCs w:val="24"/>
        </w:rPr>
      </w:pPr>
      <w:r>
        <w:rPr>
          <w:rFonts w:hint="eastAsia" w:ascii="宋体" w:hAnsi="宋体" w:cs="宋体"/>
          <w:kern w:val="0"/>
          <w:sz w:val="24"/>
          <w:szCs w:val="24"/>
        </w:rPr>
        <w:t>（三）其它事项：</w:t>
      </w:r>
    </w:p>
    <w:p w14:paraId="7AC559DB">
      <w:pPr>
        <w:widowControl/>
        <w:spacing w:line="420" w:lineRule="exact"/>
        <w:ind w:firstLine="420"/>
        <w:rPr>
          <w:rFonts w:ascii="宋体" w:cs="宋体"/>
          <w:kern w:val="0"/>
          <w:sz w:val="24"/>
          <w:szCs w:val="24"/>
        </w:rPr>
      </w:pPr>
      <w:r>
        <w:rPr>
          <w:rFonts w:ascii="宋体" w:hAnsi="宋体" w:cs="宋体"/>
          <w:kern w:val="0"/>
          <w:sz w:val="24"/>
          <w:szCs w:val="24"/>
        </w:rPr>
        <w:t>1.</w:t>
      </w:r>
      <w:r>
        <w:rPr>
          <w:rFonts w:hint="eastAsia" w:ascii="宋体" w:hAnsi="宋体" w:cs="宋体"/>
          <w:kern w:val="0"/>
          <w:sz w:val="24"/>
          <w:szCs w:val="24"/>
        </w:rPr>
        <w:t>招标方将综合投标人实力、报价、服务承诺等因素，按照合理低价原则，确定中标单位。</w:t>
      </w:r>
    </w:p>
    <w:p w14:paraId="3E376F04">
      <w:pPr>
        <w:widowControl/>
        <w:spacing w:line="420" w:lineRule="exact"/>
        <w:ind w:firstLine="420"/>
        <w:rPr>
          <w:rFonts w:ascii="宋体" w:cs="宋体"/>
          <w:kern w:val="0"/>
          <w:sz w:val="24"/>
          <w:szCs w:val="24"/>
        </w:rPr>
      </w:pPr>
      <w:r>
        <w:rPr>
          <w:rFonts w:ascii="宋体" w:hAnsi="宋体" w:cs="宋体"/>
          <w:kern w:val="0"/>
          <w:sz w:val="24"/>
          <w:szCs w:val="24"/>
        </w:rPr>
        <w:t>2.</w:t>
      </w:r>
      <w:r>
        <w:rPr>
          <w:rFonts w:hint="eastAsia" w:ascii="宋体" w:hAnsi="宋体" w:cs="宋体"/>
          <w:kern w:val="0"/>
          <w:sz w:val="24"/>
          <w:szCs w:val="24"/>
        </w:rPr>
        <w:t>中标结果将在铜陵学院国资处网站予以公布。</w:t>
      </w:r>
    </w:p>
    <w:p w14:paraId="27DA0243">
      <w:pPr>
        <w:widowControl/>
        <w:spacing w:line="420" w:lineRule="exact"/>
        <w:ind w:firstLine="420"/>
        <w:rPr>
          <w:rFonts w:ascii="宋体" w:cs="宋体"/>
          <w:kern w:val="0"/>
          <w:sz w:val="24"/>
          <w:szCs w:val="24"/>
        </w:rPr>
      </w:pPr>
      <w:r>
        <w:rPr>
          <w:rFonts w:ascii="宋体" w:hAnsi="宋体" w:cs="宋体"/>
          <w:kern w:val="0"/>
          <w:sz w:val="24"/>
          <w:szCs w:val="24"/>
        </w:rPr>
        <w:t>3.</w:t>
      </w:r>
      <w:r>
        <w:rPr>
          <w:rFonts w:hint="eastAsia" w:ascii="宋体" w:hAnsi="宋体" w:cs="宋体"/>
          <w:kern w:val="0"/>
          <w:sz w:val="24"/>
          <w:szCs w:val="24"/>
        </w:rPr>
        <w:t>中标单位应及时与招标方联系，以满足我校学生处的需要为前提，进一步洽谈履约及相关事宜。如拟中标单位对中标结果不能及时作出响应，或响应程度可能影响到招标方的需要，招标方有权对该单位作出不予中标处理，从而选择其它的候选单位作为中标单位</w:t>
      </w:r>
      <w:r>
        <w:rPr>
          <w:rFonts w:hint="eastAsia" w:ascii="宋体" w:hAnsi="宋体" w:cs="宋体"/>
          <w:kern w:val="0"/>
          <w:sz w:val="24"/>
          <w:szCs w:val="24"/>
          <w:lang w:eastAsia="zh-CN"/>
        </w:rPr>
        <w:t>或重新招标</w:t>
      </w:r>
      <w:r>
        <w:rPr>
          <w:rFonts w:hint="eastAsia" w:ascii="宋体" w:hAnsi="宋体" w:cs="宋体"/>
          <w:kern w:val="0"/>
          <w:sz w:val="24"/>
          <w:szCs w:val="24"/>
        </w:rPr>
        <w:t>。</w:t>
      </w:r>
    </w:p>
    <w:p w14:paraId="265F4882">
      <w:pPr>
        <w:widowControl/>
        <w:spacing w:line="420" w:lineRule="exact"/>
        <w:ind w:firstLine="420"/>
        <w:rPr>
          <w:rFonts w:ascii="宋体" w:cs="宋体"/>
          <w:kern w:val="0"/>
          <w:sz w:val="24"/>
          <w:szCs w:val="24"/>
        </w:rPr>
      </w:pPr>
      <w:r>
        <w:rPr>
          <w:rFonts w:hint="eastAsia" w:ascii="宋体" w:hAnsi="宋体" w:cs="宋体"/>
          <w:b/>
          <w:bCs/>
          <w:kern w:val="0"/>
          <w:sz w:val="24"/>
          <w:szCs w:val="24"/>
        </w:rPr>
        <w:t>七、付款方式</w:t>
      </w:r>
      <w:r>
        <w:rPr>
          <w:rFonts w:hint="eastAsia" w:ascii="宋体" w:hAnsi="宋体" w:cs="宋体"/>
          <w:kern w:val="0"/>
          <w:sz w:val="24"/>
          <w:szCs w:val="24"/>
        </w:rPr>
        <w:t>：</w:t>
      </w:r>
      <w:r>
        <w:rPr>
          <w:rFonts w:hint="eastAsia" w:ascii="宋体" w:hAnsi="宋体" w:cs="宋体"/>
          <w:kern w:val="0"/>
          <w:sz w:val="24"/>
          <w:szCs w:val="24"/>
          <w:lang w:eastAsia="zh-CN"/>
        </w:rPr>
        <w:t>本项目</w:t>
      </w:r>
      <w:r>
        <w:rPr>
          <w:rFonts w:hint="eastAsia" w:ascii="宋体" w:hAnsi="宋体" w:cs="宋体"/>
          <w:kern w:val="0"/>
          <w:sz w:val="24"/>
          <w:szCs w:val="24"/>
        </w:rPr>
        <w:t>不支付预付款，服务完成并经校方人员验收合格后，中标单位提供的完整、有效的正规全额发票</w:t>
      </w:r>
      <w:r>
        <w:rPr>
          <w:rFonts w:hint="eastAsia" w:ascii="宋体" w:hAnsi="宋体" w:cs="宋体"/>
          <w:kern w:val="0"/>
          <w:sz w:val="24"/>
          <w:szCs w:val="24"/>
          <w:lang w:eastAsia="zh-CN"/>
        </w:rPr>
        <w:t>，在</w:t>
      </w:r>
      <w:r>
        <w:rPr>
          <w:rFonts w:hint="eastAsia" w:ascii="宋体" w:hAnsi="宋体" w:cs="宋体"/>
          <w:kern w:val="0"/>
          <w:sz w:val="24"/>
          <w:szCs w:val="24"/>
        </w:rPr>
        <w:t>一个月内</w:t>
      </w:r>
      <w:r>
        <w:rPr>
          <w:rFonts w:hint="eastAsia" w:ascii="宋体" w:hAnsi="宋体" w:cs="宋体"/>
          <w:kern w:val="0"/>
          <w:sz w:val="24"/>
          <w:szCs w:val="24"/>
          <w:lang w:eastAsia="zh-CN"/>
        </w:rPr>
        <w:t>据实结算服务费用</w:t>
      </w:r>
      <w:r>
        <w:rPr>
          <w:rFonts w:hint="eastAsia" w:ascii="宋体" w:hAnsi="宋体" w:cs="宋体"/>
          <w:kern w:val="0"/>
          <w:sz w:val="24"/>
          <w:szCs w:val="24"/>
        </w:rPr>
        <w:t>。</w:t>
      </w:r>
    </w:p>
    <w:p w14:paraId="7091A964">
      <w:pPr>
        <w:widowControl/>
        <w:spacing w:line="420" w:lineRule="exact"/>
        <w:ind w:firstLine="472" w:firstLineChars="196"/>
        <w:rPr>
          <w:rFonts w:ascii="宋体" w:hAnsi="宋体" w:cs="宋体"/>
          <w:b/>
          <w:kern w:val="0"/>
          <w:sz w:val="24"/>
          <w:szCs w:val="24"/>
        </w:rPr>
      </w:pPr>
      <w:r>
        <w:rPr>
          <w:rFonts w:hint="eastAsia" w:ascii="宋体" w:hAnsi="宋体" w:cs="宋体"/>
          <w:b/>
          <w:kern w:val="0"/>
          <w:sz w:val="24"/>
          <w:szCs w:val="24"/>
        </w:rPr>
        <w:t>八、业务（项目）咨询</w:t>
      </w:r>
    </w:p>
    <w:p w14:paraId="059449A5">
      <w:pPr>
        <w:widowControl/>
        <w:spacing w:line="420" w:lineRule="exact"/>
        <w:ind w:firstLine="480"/>
        <w:rPr>
          <w:rFonts w:ascii="宋体" w:hAnsi="宋体" w:cs="宋体"/>
          <w:kern w:val="0"/>
          <w:sz w:val="24"/>
          <w:szCs w:val="24"/>
        </w:rPr>
      </w:pPr>
      <w:r>
        <w:rPr>
          <w:rFonts w:ascii="宋体" w:hAnsi="宋体" w:cs="宋体"/>
          <w:kern w:val="0"/>
          <w:sz w:val="24"/>
          <w:szCs w:val="24"/>
        </w:rPr>
        <w:t>1</w:t>
      </w:r>
      <w:r>
        <w:rPr>
          <w:rFonts w:hint="eastAsia" w:ascii="宋体" w:hAnsi="宋体" w:cs="宋体"/>
          <w:kern w:val="0"/>
          <w:sz w:val="24"/>
          <w:szCs w:val="24"/>
        </w:rPr>
        <w:t>.如有技术业务咨询，涉及</w:t>
      </w:r>
      <w:r>
        <w:rPr>
          <w:rFonts w:hint="eastAsia" w:ascii="宋体" w:hAnsi="宋体" w:cs="宋体"/>
          <w:kern w:val="0"/>
          <w:sz w:val="24"/>
          <w:szCs w:val="24"/>
          <w:lang w:eastAsia="zh-CN"/>
        </w:rPr>
        <w:t>铜陵学院官网主页改版服务</w:t>
      </w:r>
      <w:r>
        <w:rPr>
          <w:rFonts w:hint="eastAsia" w:ascii="宋体" w:hAnsi="宋体" w:cs="宋体"/>
          <w:kern w:val="0"/>
          <w:sz w:val="24"/>
          <w:szCs w:val="24"/>
        </w:rPr>
        <w:t>其他未知</w:t>
      </w:r>
      <w:r>
        <w:rPr>
          <w:rFonts w:hint="eastAsia" w:ascii="宋体" w:hAnsi="宋体"/>
          <w:sz w:val="24"/>
          <w:szCs w:val="24"/>
        </w:rPr>
        <w:t>事宜，</w:t>
      </w:r>
      <w:r>
        <w:rPr>
          <w:rFonts w:hint="eastAsia" w:ascii="宋体" w:hAnsi="宋体" w:cs="宋体"/>
          <w:kern w:val="0"/>
          <w:sz w:val="24"/>
          <w:szCs w:val="24"/>
        </w:rPr>
        <w:t>请联系铜陵学院</w:t>
      </w:r>
      <w:r>
        <w:rPr>
          <w:rFonts w:hint="eastAsia" w:ascii="宋体" w:hAnsi="宋体" w:cs="宋体"/>
          <w:kern w:val="0"/>
          <w:sz w:val="24"/>
          <w:szCs w:val="24"/>
          <w:lang w:eastAsia="zh-CN"/>
        </w:rPr>
        <w:t>宣传部钱</w:t>
      </w:r>
      <w:r>
        <w:rPr>
          <w:rFonts w:hint="eastAsia" w:ascii="宋体" w:hAnsi="宋体" w:cs="宋体"/>
          <w:kern w:val="0"/>
          <w:sz w:val="24"/>
          <w:szCs w:val="24"/>
        </w:rPr>
        <w:t>老师（</w:t>
      </w:r>
      <w:r>
        <w:rPr>
          <w:rFonts w:hint="eastAsia" w:ascii="宋体" w:hAnsi="宋体" w:cs="宋体"/>
          <w:kern w:val="0"/>
          <w:sz w:val="24"/>
          <w:szCs w:val="24"/>
          <w:lang w:val="en-US" w:eastAsia="zh-CN"/>
        </w:rPr>
        <w:t>0562-5881964</w:t>
      </w:r>
      <w:r>
        <w:rPr>
          <w:rFonts w:hint="eastAsia" w:ascii="宋体" w:hAnsi="宋体" w:cs="宋体"/>
          <w:kern w:val="0"/>
          <w:sz w:val="24"/>
          <w:szCs w:val="24"/>
        </w:rPr>
        <w:t>）。</w:t>
      </w:r>
    </w:p>
    <w:p w14:paraId="3A1EB7D1">
      <w:pPr>
        <w:widowControl/>
        <w:spacing w:line="420" w:lineRule="exact"/>
        <w:ind w:firstLine="480"/>
        <w:rPr>
          <w:rFonts w:ascii="宋体" w:hAnsi="宋体" w:cs="宋体"/>
          <w:kern w:val="0"/>
          <w:sz w:val="24"/>
          <w:szCs w:val="24"/>
        </w:rPr>
      </w:pPr>
      <w:r>
        <w:rPr>
          <w:rFonts w:ascii="宋体" w:hAnsi="宋体" w:cs="宋体"/>
          <w:kern w:val="0"/>
          <w:sz w:val="24"/>
          <w:szCs w:val="24"/>
        </w:rPr>
        <w:t>2</w:t>
      </w:r>
      <w:r>
        <w:rPr>
          <w:rFonts w:hint="eastAsia" w:ascii="宋体" w:hAnsi="宋体" w:cs="宋体"/>
          <w:kern w:val="0"/>
          <w:sz w:val="24"/>
          <w:szCs w:val="24"/>
        </w:rPr>
        <w:t>.涉及本</w:t>
      </w:r>
      <w:r>
        <w:rPr>
          <w:rFonts w:hint="eastAsia" w:ascii="宋体" w:hAnsi="宋体" w:cs="宋体"/>
          <w:kern w:val="0"/>
          <w:sz w:val="24"/>
          <w:szCs w:val="24"/>
          <w:lang w:eastAsia="zh-CN"/>
        </w:rPr>
        <w:t>市场比价文件</w:t>
      </w:r>
      <w:r>
        <w:rPr>
          <w:rFonts w:hint="eastAsia" w:ascii="宋体" w:hAnsi="宋体" w:cs="宋体"/>
          <w:kern w:val="0"/>
          <w:sz w:val="24"/>
          <w:szCs w:val="24"/>
        </w:rPr>
        <w:t>中的商务部分，请与国资处招标采购管理科</w:t>
      </w:r>
      <w:r>
        <w:rPr>
          <w:rFonts w:hint="eastAsia" w:ascii="宋体" w:hAnsi="宋体" w:cs="宋体"/>
          <w:kern w:val="0"/>
          <w:sz w:val="24"/>
          <w:szCs w:val="24"/>
          <w:lang w:eastAsia="zh-CN"/>
        </w:rPr>
        <w:t>程</w:t>
      </w:r>
      <w:r>
        <w:rPr>
          <w:rFonts w:hint="eastAsia" w:ascii="宋体" w:hAnsi="宋体" w:cs="宋体"/>
          <w:kern w:val="0"/>
          <w:sz w:val="24"/>
          <w:szCs w:val="24"/>
        </w:rPr>
        <w:t>老师</w:t>
      </w:r>
      <w:r>
        <w:rPr>
          <w:rFonts w:hint="eastAsia" w:ascii="宋体" w:hAnsi="宋体"/>
          <w:sz w:val="24"/>
          <w:szCs w:val="24"/>
        </w:rPr>
        <w:t>（</w:t>
      </w:r>
      <w:r>
        <w:rPr>
          <w:rFonts w:hint="eastAsia" w:ascii="宋体" w:hAnsi="宋体" w:cs="宋体"/>
          <w:kern w:val="0"/>
          <w:sz w:val="24"/>
          <w:szCs w:val="24"/>
        </w:rPr>
        <w:t>联系</w:t>
      </w:r>
      <w:r>
        <w:rPr>
          <w:rFonts w:hint="eastAsia" w:ascii="宋体" w:hAnsi="宋体"/>
          <w:sz w:val="24"/>
          <w:szCs w:val="24"/>
        </w:rPr>
        <w:t>电话：</w:t>
      </w:r>
      <w:r>
        <w:rPr>
          <w:rFonts w:ascii="宋体" w:hAnsi="宋体"/>
          <w:sz w:val="24"/>
          <w:szCs w:val="24"/>
        </w:rPr>
        <w:t>0562-588</w:t>
      </w:r>
      <w:r>
        <w:rPr>
          <w:rFonts w:hint="eastAsia" w:ascii="宋体" w:hAnsi="宋体"/>
          <w:sz w:val="24"/>
          <w:szCs w:val="24"/>
          <w:lang w:val="en-US" w:eastAsia="zh-CN"/>
        </w:rPr>
        <w:t>1077</w:t>
      </w:r>
      <w:r>
        <w:rPr>
          <w:rFonts w:hint="eastAsia" w:ascii="宋体" w:hAnsi="宋体"/>
          <w:sz w:val="24"/>
          <w:szCs w:val="24"/>
        </w:rPr>
        <w:t>）</w:t>
      </w:r>
      <w:r>
        <w:rPr>
          <w:rFonts w:hint="eastAsia" w:ascii="宋体" w:hAnsi="宋体" w:cs="宋体"/>
          <w:kern w:val="0"/>
          <w:sz w:val="24"/>
          <w:szCs w:val="24"/>
        </w:rPr>
        <w:t>。</w:t>
      </w:r>
    </w:p>
    <w:p w14:paraId="607D48A4">
      <w:pPr>
        <w:widowControl/>
        <w:spacing w:line="420" w:lineRule="exact"/>
        <w:ind w:firstLine="482" w:firstLineChars="200"/>
        <w:jc w:val="left"/>
        <w:rPr>
          <w:rFonts w:ascii="宋体" w:hAnsi="宋体" w:cs="宋体"/>
          <w:kern w:val="0"/>
          <w:sz w:val="24"/>
          <w:szCs w:val="24"/>
        </w:rPr>
      </w:pPr>
      <w:r>
        <w:rPr>
          <w:rFonts w:ascii="宋体" w:cs="宋体"/>
          <w:b/>
          <w:bCs/>
          <w:kern w:val="0"/>
          <w:sz w:val="24"/>
          <w:szCs w:val="24"/>
        </w:rPr>
        <w:t> </w:t>
      </w:r>
      <w:r>
        <w:rPr>
          <w:rFonts w:hint="eastAsia" w:ascii="宋体" w:cs="宋体"/>
          <w:b/>
          <w:bCs/>
          <w:kern w:val="0"/>
          <w:sz w:val="24"/>
          <w:szCs w:val="24"/>
        </w:rPr>
        <w:t>九、</w:t>
      </w:r>
      <w:r>
        <w:rPr>
          <w:rFonts w:hint="eastAsia" w:ascii="宋体" w:hAnsi="宋体" w:cs="宋体"/>
          <w:b/>
          <w:bCs/>
          <w:kern w:val="0"/>
          <w:sz w:val="24"/>
          <w:szCs w:val="24"/>
        </w:rPr>
        <w:t>监督电话</w:t>
      </w:r>
    </w:p>
    <w:p w14:paraId="040869EF">
      <w:pPr>
        <w:spacing w:line="480" w:lineRule="exact"/>
        <w:ind w:firstLine="480" w:firstLineChars="200"/>
        <w:rPr>
          <w:rFonts w:ascii="宋体" w:hAnsi="宋体"/>
          <w:sz w:val="24"/>
          <w:szCs w:val="24"/>
        </w:rPr>
      </w:pPr>
      <w:r>
        <w:rPr>
          <w:rFonts w:hint="eastAsia" w:ascii="宋体" w:hAnsi="宋体"/>
          <w:sz w:val="24"/>
          <w:szCs w:val="24"/>
        </w:rPr>
        <w:t xml:space="preserve">质疑受理电话：0562-5881058；  投诉受理电话：0562-5881977。   </w:t>
      </w:r>
    </w:p>
    <w:p w14:paraId="73D6CCE2">
      <w:pPr>
        <w:widowControl/>
        <w:shd w:val="clear" w:color="auto" w:fill="FFFFFF"/>
        <w:spacing w:line="440" w:lineRule="exact"/>
        <w:ind w:firstLine="480" w:firstLineChars="200"/>
        <w:jc w:val="left"/>
        <w:rPr>
          <w:rFonts w:ascii="宋体" w:hAnsi="宋体"/>
          <w:kern w:val="0"/>
          <w:sz w:val="24"/>
          <w:szCs w:val="24"/>
        </w:rPr>
      </w:pPr>
      <w:r>
        <w:rPr>
          <w:rFonts w:hint="eastAsia" w:ascii="宋体" w:hAnsi="宋体"/>
          <w:sz w:val="24"/>
          <w:szCs w:val="24"/>
        </w:rPr>
        <w:t>单位或个人对公示内容有异议的，请于公示期内以实名书面（包括联系人、地址、联系电话、加盖公章）形式将意见反馈给以上任何联系人。</w:t>
      </w:r>
    </w:p>
    <w:p w14:paraId="1357BAAF">
      <w:pPr>
        <w:widowControl/>
        <w:spacing w:line="480" w:lineRule="exact"/>
        <w:rPr>
          <w:rFonts w:ascii="宋体" w:cs="宋体"/>
          <w:kern w:val="0"/>
          <w:sz w:val="24"/>
          <w:szCs w:val="24"/>
        </w:rPr>
      </w:pPr>
    </w:p>
    <w:p w14:paraId="77668264">
      <w:pPr>
        <w:widowControl/>
        <w:spacing w:line="480" w:lineRule="exact"/>
        <w:ind w:left="2155" w:leftChars="969" w:hanging="120" w:hangingChars="50"/>
        <w:rPr>
          <w:rFonts w:ascii="Times New Roman" w:hAnsi="Times New Roman" w:cs="宋体"/>
          <w:kern w:val="0"/>
          <w:sz w:val="24"/>
          <w:szCs w:val="24"/>
        </w:rPr>
      </w:pPr>
    </w:p>
    <w:p w14:paraId="081FE662">
      <w:pPr>
        <w:widowControl/>
        <w:spacing w:line="480" w:lineRule="exact"/>
        <w:ind w:left="2155" w:leftChars="1026" w:firstLine="4800" w:firstLineChars="2000"/>
        <w:rPr>
          <w:rFonts w:ascii="宋体" w:cs="宋体"/>
          <w:kern w:val="0"/>
          <w:sz w:val="24"/>
          <w:szCs w:val="24"/>
        </w:rPr>
      </w:pPr>
      <w:r>
        <w:rPr>
          <w:rFonts w:hint="eastAsia" w:ascii="Times New Roman" w:hAnsi="Times New Roman" w:cs="宋体"/>
          <w:kern w:val="0"/>
          <w:sz w:val="24"/>
          <w:szCs w:val="24"/>
        </w:rPr>
        <w:t>铜陵学院</w:t>
      </w:r>
    </w:p>
    <w:p w14:paraId="7B3E3225">
      <w:pPr>
        <w:widowControl/>
        <w:spacing w:line="480" w:lineRule="exact"/>
        <w:ind w:firstLine="6120" w:firstLineChars="2550"/>
        <w:rPr>
          <w:sz w:val="24"/>
          <w:szCs w:val="24"/>
        </w:rPr>
      </w:pPr>
      <w:r>
        <w:rPr>
          <w:rFonts w:hint="eastAsia"/>
          <w:sz w:val="24"/>
          <w:szCs w:val="24"/>
        </w:rPr>
        <w:t>二〇二</w:t>
      </w:r>
      <w:r>
        <w:rPr>
          <w:rFonts w:hint="eastAsia"/>
          <w:sz w:val="24"/>
          <w:szCs w:val="24"/>
          <w:lang w:eastAsia="zh-CN"/>
        </w:rPr>
        <w:t>四</w:t>
      </w:r>
      <w:r>
        <w:rPr>
          <w:rFonts w:hint="eastAsia"/>
          <w:sz w:val="24"/>
          <w:szCs w:val="24"/>
        </w:rPr>
        <w:t>年</w:t>
      </w:r>
      <w:r>
        <w:rPr>
          <w:rFonts w:hint="eastAsia"/>
          <w:sz w:val="24"/>
          <w:szCs w:val="24"/>
          <w:lang w:eastAsia="zh-CN"/>
        </w:rPr>
        <w:t>八</w:t>
      </w:r>
      <w:r>
        <w:rPr>
          <w:rFonts w:hint="eastAsia"/>
          <w:sz w:val="24"/>
          <w:szCs w:val="24"/>
        </w:rPr>
        <w:t>月</w:t>
      </w:r>
      <w:r>
        <w:rPr>
          <w:rFonts w:hint="eastAsia"/>
          <w:sz w:val="24"/>
          <w:szCs w:val="24"/>
          <w:lang w:eastAsia="zh-CN"/>
        </w:rPr>
        <w:t>二十三</w:t>
      </w:r>
      <w:r>
        <w:rPr>
          <w:rFonts w:hint="eastAsia"/>
          <w:sz w:val="24"/>
          <w:szCs w:val="24"/>
        </w:rPr>
        <w:t>日</w:t>
      </w:r>
    </w:p>
    <w:p w14:paraId="19B0C14A">
      <w:pPr>
        <w:pStyle w:val="2"/>
        <w:ind w:left="0" w:leftChars="0" w:firstLine="0" w:firstLineChars="0"/>
        <w:rPr>
          <w:rFonts w:ascii="宋体" w:hAnsi="宋体" w:cs="宋体"/>
          <w:b/>
          <w:sz w:val="30"/>
        </w:rPr>
      </w:pPr>
      <w:r>
        <w:rPr>
          <w:rFonts w:hint="eastAsia" w:ascii="宋体" w:hAnsi="宋体" w:cs="宋体"/>
          <w:b/>
          <w:sz w:val="30"/>
        </w:rPr>
        <w:t xml:space="preserve">                </w:t>
      </w:r>
    </w:p>
    <w:p w14:paraId="588C2D45">
      <w:pPr>
        <w:spacing w:line="360" w:lineRule="auto"/>
        <w:jc w:val="center"/>
        <w:rPr>
          <w:rFonts w:ascii="宋体" w:hAnsi="宋体" w:cs="宋体"/>
          <w:sz w:val="30"/>
        </w:rPr>
      </w:pPr>
      <w:r>
        <w:rPr>
          <w:rFonts w:hint="eastAsia" w:ascii="宋体" w:hAnsi="宋体" w:cs="宋体"/>
          <w:b/>
          <w:sz w:val="30"/>
        </w:rPr>
        <w:t>法定代表人授权书（格式）</w:t>
      </w:r>
    </w:p>
    <w:p w14:paraId="630DD737">
      <w:pPr>
        <w:spacing w:line="480" w:lineRule="auto"/>
        <w:ind w:firstLine="482" w:firstLineChars="200"/>
        <w:rPr>
          <w:rFonts w:ascii="宋体" w:hAnsi="宋体" w:cs="宋体"/>
          <w:b/>
          <w:sz w:val="24"/>
        </w:rPr>
      </w:pPr>
    </w:p>
    <w:p w14:paraId="00C4614E">
      <w:pPr>
        <w:spacing w:line="480" w:lineRule="auto"/>
        <w:ind w:firstLine="482" w:firstLineChars="200"/>
        <w:rPr>
          <w:rFonts w:ascii="宋体" w:hAnsi="宋体" w:cs="宋体"/>
          <w:b/>
          <w:sz w:val="24"/>
        </w:rPr>
      </w:pPr>
      <w:r>
        <w:rPr>
          <w:rFonts w:hint="eastAsia" w:ascii="宋体" w:hAnsi="宋体" w:cs="宋体"/>
          <w:b/>
          <w:sz w:val="24"/>
        </w:rPr>
        <w:t>致：铜陵学院</w:t>
      </w:r>
    </w:p>
    <w:p w14:paraId="748C6F94">
      <w:pPr>
        <w:spacing w:line="480" w:lineRule="auto"/>
        <w:ind w:firstLine="480" w:firstLineChars="200"/>
        <w:rPr>
          <w:rFonts w:ascii="宋体" w:hAnsi="宋体" w:cs="宋体"/>
          <w:sz w:val="24"/>
        </w:rPr>
      </w:pPr>
      <w:r>
        <w:rPr>
          <w:rFonts w:hint="eastAsia" w:ascii="宋体" w:hAnsi="宋体" w:cs="宋体"/>
          <w:sz w:val="24"/>
        </w:rPr>
        <w:t>本授权书声明：</w:t>
      </w:r>
      <w:r>
        <w:rPr>
          <w:rFonts w:hint="eastAsia" w:ascii="宋体" w:hAnsi="宋体" w:cs="宋体"/>
          <w:sz w:val="24"/>
          <w:u w:val="single"/>
        </w:rPr>
        <w:t xml:space="preserve">  （供应商名称）  </w:t>
      </w:r>
      <w:r>
        <w:rPr>
          <w:rFonts w:hint="eastAsia" w:ascii="宋体" w:hAnsi="宋体" w:cs="宋体"/>
          <w:sz w:val="24"/>
        </w:rPr>
        <w:t>的</w:t>
      </w:r>
      <w:r>
        <w:rPr>
          <w:rFonts w:hint="eastAsia" w:ascii="宋体" w:hAnsi="宋体" w:cs="宋体"/>
          <w:sz w:val="24"/>
          <w:u w:val="single"/>
        </w:rPr>
        <w:t xml:space="preserve">  （法人代表姓名） </w:t>
      </w:r>
      <w:r>
        <w:rPr>
          <w:rFonts w:hint="eastAsia" w:ascii="宋体" w:hAnsi="宋体" w:cs="宋体"/>
          <w:sz w:val="24"/>
        </w:rPr>
        <w:t>授权（被授权人的姓名）为我方就编号：</w:t>
      </w:r>
      <w:r>
        <w:rPr>
          <w:rFonts w:hint="eastAsia" w:ascii="宋体" w:hAnsi="宋体" w:cs="宋体"/>
          <w:sz w:val="24"/>
          <w:u w:val="single"/>
        </w:rPr>
        <w:t>tlxyzb[202</w:t>
      </w:r>
      <w:r>
        <w:rPr>
          <w:rFonts w:hint="eastAsia" w:ascii="宋体" w:hAnsi="宋体" w:cs="宋体"/>
          <w:sz w:val="24"/>
          <w:u w:val="single"/>
          <w:lang w:val="en-US" w:eastAsia="zh-CN"/>
        </w:rPr>
        <w:t>4</w:t>
      </w:r>
      <w:r>
        <w:rPr>
          <w:rFonts w:hint="eastAsia" w:ascii="宋体" w:hAnsi="宋体" w:cs="宋体"/>
          <w:sz w:val="24"/>
          <w:u w:val="single"/>
        </w:rPr>
        <w:t>]</w:t>
      </w:r>
      <w:r>
        <w:rPr>
          <w:rFonts w:hint="eastAsia" w:ascii="宋体" w:hAnsi="宋体" w:cs="宋体"/>
          <w:sz w:val="24"/>
          <w:u w:val="single"/>
          <w:lang w:val="en-US" w:eastAsia="zh-CN"/>
        </w:rPr>
        <w:t>65</w:t>
      </w:r>
      <w:r>
        <w:rPr>
          <w:rFonts w:hint="eastAsia" w:ascii="宋体" w:hAnsi="宋体" w:cs="宋体"/>
          <w:sz w:val="24"/>
          <w:u w:val="single"/>
        </w:rPr>
        <w:t xml:space="preserve">号 </w:t>
      </w:r>
      <w:r>
        <w:rPr>
          <w:rFonts w:hint="eastAsia" w:ascii="宋体" w:hAnsi="宋体" w:cs="宋体"/>
          <w:sz w:val="24"/>
        </w:rPr>
        <w:t>的“</w:t>
      </w:r>
      <w:r>
        <w:rPr>
          <w:rFonts w:hint="eastAsia" w:ascii="宋体" w:hAnsi="宋体" w:cs="宋体"/>
          <w:sz w:val="24"/>
          <w:u w:val="single"/>
        </w:rPr>
        <w:t>铜陵学院</w:t>
      </w:r>
      <w:r>
        <w:rPr>
          <w:rFonts w:hint="eastAsia" w:ascii="宋体" w:hAnsi="宋体" w:cs="宋体"/>
          <w:sz w:val="24"/>
          <w:u w:val="single"/>
          <w:lang w:eastAsia="zh-CN"/>
        </w:rPr>
        <w:t>官网主页改版</w:t>
      </w:r>
      <w:r>
        <w:rPr>
          <w:rFonts w:hint="eastAsia" w:ascii="宋体" w:hAnsi="宋体" w:cs="宋体"/>
          <w:sz w:val="24"/>
          <w:u w:val="single"/>
        </w:rPr>
        <w:t>服务</w:t>
      </w:r>
      <w:r>
        <w:rPr>
          <w:rFonts w:hint="eastAsia" w:ascii="宋体" w:hAnsi="宋体" w:cs="宋体"/>
          <w:sz w:val="24"/>
          <w:u w:val="single"/>
          <w:lang w:eastAsia="zh-CN"/>
        </w:rPr>
        <w:t>项目</w:t>
      </w:r>
      <w:r>
        <w:rPr>
          <w:rFonts w:hint="eastAsia" w:ascii="宋体" w:hAnsi="宋体" w:cs="宋体"/>
          <w:sz w:val="24"/>
        </w:rPr>
        <w:t>”活动的合法代理人，以我方名义全权处理与该项目响应、签订合同以及合同执行有关的一切事务。</w:t>
      </w:r>
    </w:p>
    <w:p w14:paraId="13EDC965">
      <w:pPr>
        <w:spacing w:line="480" w:lineRule="auto"/>
        <w:ind w:firstLine="480" w:firstLineChars="200"/>
        <w:rPr>
          <w:rFonts w:ascii="宋体" w:hAnsi="宋体" w:cs="宋体"/>
          <w:sz w:val="24"/>
        </w:rPr>
      </w:pPr>
      <w:r>
        <w:rPr>
          <w:rFonts w:hint="eastAsia" w:ascii="宋体" w:hAnsi="宋体" w:cs="宋体"/>
          <w:sz w:val="24"/>
        </w:rPr>
        <w:t>特此声明。</w:t>
      </w:r>
    </w:p>
    <w:p w14:paraId="347D41E9">
      <w:pPr>
        <w:spacing w:line="480" w:lineRule="auto"/>
        <w:ind w:firstLine="480" w:firstLineChars="200"/>
        <w:rPr>
          <w:rFonts w:ascii="宋体" w:hAnsi="宋体" w:cs="宋体"/>
          <w:sz w:val="24"/>
        </w:rPr>
      </w:pPr>
    </w:p>
    <w:p w14:paraId="49660196">
      <w:pPr>
        <w:spacing w:line="480" w:lineRule="auto"/>
        <w:ind w:firstLine="480" w:firstLineChars="200"/>
        <w:rPr>
          <w:rFonts w:ascii="宋体" w:hAnsi="宋体" w:cs="宋体"/>
          <w:sz w:val="24"/>
        </w:rPr>
      </w:pPr>
    </w:p>
    <w:p w14:paraId="70D7B683">
      <w:pPr>
        <w:spacing w:line="480" w:lineRule="auto"/>
        <w:ind w:firstLine="480" w:firstLineChars="200"/>
        <w:rPr>
          <w:rFonts w:ascii="宋体" w:hAnsi="宋体" w:cs="宋体"/>
          <w:sz w:val="24"/>
          <w:u w:val="single"/>
        </w:rPr>
      </w:pPr>
      <w:r>
        <w:rPr>
          <w:rFonts w:hint="eastAsia" w:ascii="宋体" w:hAnsi="宋体" w:cs="宋体"/>
          <w:sz w:val="24"/>
        </w:rPr>
        <w:t>法定代表人签字或盖章：</w:t>
      </w:r>
    </w:p>
    <w:p w14:paraId="2567C958">
      <w:pPr>
        <w:spacing w:line="480" w:lineRule="auto"/>
        <w:ind w:firstLine="480" w:firstLineChars="200"/>
        <w:rPr>
          <w:rFonts w:ascii="宋体" w:hAnsi="宋体" w:cs="宋体"/>
          <w:sz w:val="24"/>
          <w:u w:val="single"/>
        </w:rPr>
      </w:pPr>
      <w:r>
        <w:rPr>
          <w:rFonts w:hint="eastAsia" w:ascii="宋体" w:hAnsi="宋体" w:cs="宋体"/>
          <w:sz w:val="24"/>
        </w:rPr>
        <w:t>职务：</w:t>
      </w:r>
    </w:p>
    <w:p w14:paraId="1892BDE4">
      <w:pPr>
        <w:spacing w:line="480" w:lineRule="auto"/>
        <w:ind w:firstLine="480" w:firstLineChars="200"/>
        <w:rPr>
          <w:rFonts w:ascii="宋体" w:hAnsi="宋体" w:cs="宋体"/>
          <w:sz w:val="24"/>
        </w:rPr>
      </w:pPr>
      <w:r>
        <w:rPr>
          <w:rFonts w:hint="eastAsia" w:ascii="宋体" w:hAnsi="宋体" w:cs="宋体"/>
          <w:sz w:val="24"/>
        </w:rPr>
        <w:t>代理人（被授权人）签字或盖章：</w:t>
      </w:r>
    </w:p>
    <w:p w14:paraId="249D7F66">
      <w:pPr>
        <w:spacing w:line="480" w:lineRule="auto"/>
        <w:ind w:firstLine="480" w:firstLineChars="200"/>
        <w:rPr>
          <w:rFonts w:ascii="宋体" w:hAnsi="宋体" w:cs="宋体"/>
          <w:sz w:val="24"/>
        </w:rPr>
      </w:pPr>
      <w:r>
        <w:rPr>
          <w:rFonts w:hint="eastAsia" w:ascii="宋体" w:hAnsi="宋体" w:cs="宋体"/>
          <w:sz w:val="24"/>
        </w:rPr>
        <w:t>职务：</w:t>
      </w:r>
    </w:p>
    <w:p w14:paraId="6AD05F71">
      <w:pPr>
        <w:spacing w:line="480" w:lineRule="auto"/>
        <w:ind w:firstLine="480" w:firstLineChars="200"/>
        <w:rPr>
          <w:rFonts w:ascii="宋体" w:hAnsi="宋体" w:cs="宋体"/>
          <w:sz w:val="24"/>
        </w:rPr>
      </w:pPr>
      <w:r>
        <w:rPr>
          <w:rFonts w:hint="eastAsia" w:ascii="宋体" w:hAnsi="宋体" w:cs="宋体"/>
          <w:sz w:val="24"/>
        </w:rPr>
        <w:t>供应商名称：（公章）</w:t>
      </w:r>
    </w:p>
    <w:p w14:paraId="1BB44F84">
      <w:pPr>
        <w:spacing w:line="480" w:lineRule="auto"/>
        <w:ind w:firstLine="480" w:firstLineChars="200"/>
        <w:rPr>
          <w:rFonts w:ascii="宋体" w:hAnsi="宋体" w:cs="宋体"/>
          <w:sz w:val="24"/>
          <w:u w:val="single"/>
        </w:rPr>
      </w:pPr>
      <w:r>
        <w:rPr>
          <w:rFonts w:hint="eastAsia" w:ascii="宋体" w:hAnsi="宋体" w:cs="宋体"/>
          <w:sz w:val="24"/>
        </w:rPr>
        <w:t xml:space="preserve">                                       日期：</w:t>
      </w:r>
    </w:p>
    <w:p w14:paraId="46BF6F1A">
      <w:pPr>
        <w:widowControl/>
        <w:spacing w:line="480" w:lineRule="exact"/>
        <w:rPr>
          <w:sz w:val="24"/>
          <w:szCs w:val="24"/>
        </w:rPr>
      </w:pPr>
    </w:p>
    <w:p w14:paraId="072357FC">
      <w:pPr>
        <w:widowControl/>
        <w:spacing w:line="480" w:lineRule="exact"/>
        <w:ind w:firstLine="6120" w:firstLineChars="2550"/>
        <w:rPr>
          <w:sz w:val="24"/>
          <w:szCs w:val="24"/>
        </w:rPr>
      </w:pPr>
    </w:p>
    <w:p w14:paraId="02F0D074">
      <w:pPr>
        <w:pStyle w:val="2"/>
      </w:pPr>
    </w:p>
    <w:p w14:paraId="1A55D3C2">
      <w:pPr>
        <w:pStyle w:val="2"/>
      </w:pPr>
    </w:p>
    <w:p w14:paraId="25E64F6F">
      <w:pPr>
        <w:pStyle w:val="2"/>
      </w:pPr>
    </w:p>
    <w:p w14:paraId="1C1E476A">
      <w:pPr>
        <w:pStyle w:val="2"/>
      </w:pPr>
    </w:p>
    <w:p w14:paraId="2CF0BB36">
      <w:pPr>
        <w:pStyle w:val="2"/>
      </w:pPr>
    </w:p>
    <w:p w14:paraId="4E45E1B1">
      <w:pPr>
        <w:pStyle w:val="2"/>
      </w:pPr>
    </w:p>
    <w:p w14:paraId="7741BA7F">
      <w:pPr>
        <w:pStyle w:val="2"/>
      </w:pPr>
    </w:p>
    <w:p w14:paraId="3D38A5AE">
      <w:pPr>
        <w:pStyle w:val="2"/>
      </w:pPr>
    </w:p>
    <w:p w14:paraId="7F056E80">
      <w:pPr>
        <w:pStyle w:val="2"/>
      </w:pPr>
    </w:p>
    <w:p w14:paraId="05CE3466">
      <w:pPr>
        <w:spacing w:line="360" w:lineRule="auto"/>
        <w:jc w:val="center"/>
        <w:rPr>
          <w:rFonts w:hint="eastAsia" w:ascii="宋体" w:hAnsi="宋体"/>
          <w:b/>
          <w:sz w:val="30"/>
          <w:szCs w:val="30"/>
          <w:lang w:eastAsia="zh-CN"/>
        </w:rPr>
      </w:pPr>
      <w:r>
        <w:rPr>
          <w:rFonts w:hint="eastAsia" w:ascii="宋体" w:hAnsi="宋体"/>
          <w:b/>
          <w:sz w:val="30"/>
          <w:szCs w:val="30"/>
        </w:rPr>
        <w:t>铜陵学院</w:t>
      </w:r>
      <w:r>
        <w:rPr>
          <w:rFonts w:hint="eastAsia" w:ascii="宋体" w:hAnsi="宋体"/>
          <w:b/>
          <w:sz w:val="30"/>
          <w:szCs w:val="30"/>
          <w:lang w:eastAsia="zh-CN"/>
        </w:rPr>
        <w:t>官网主页改版服务项目</w:t>
      </w:r>
    </w:p>
    <w:p w14:paraId="64D8BFA2">
      <w:pPr>
        <w:spacing w:line="360" w:lineRule="auto"/>
        <w:jc w:val="center"/>
        <w:rPr>
          <w:rFonts w:ascii="宋体" w:hAnsi="宋体"/>
          <w:b/>
          <w:sz w:val="30"/>
          <w:szCs w:val="30"/>
        </w:rPr>
      </w:pPr>
      <w:r>
        <w:rPr>
          <w:rFonts w:hint="eastAsia" w:ascii="宋体" w:hAnsi="宋体"/>
          <w:b/>
          <w:sz w:val="30"/>
          <w:szCs w:val="30"/>
        </w:rPr>
        <w:t>投标报价表</w:t>
      </w:r>
    </w:p>
    <w:p w14:paraId="1D2ECF77">
      <w:pPr>
        <w:spacing w:line="360" w:lineRule="auto"/>
        <w:jc w:val="center"/>
      </w:pPr>
      <w:r>
        <w:rPr>
          <w:rFonts w:hint="eastAsia" w:ascii="宋体" w:hAnsi="宋体"/>
          <w:sz w:val="24"/>
          <w:szCs w:val="24"/>
        </w:rPr>
        <w:t>项目编号：</w:t>
      </w:r>
      <w:r>
        <w:rPr>
          <w:rFonts w:ascii="宋体" w:hAnsi="宋体"/>
          <w:sz w:val="24"/>
          <w:szCs w:val="24"/>
        </w:rPr>
        <w:t>tlxyzb[</w:t>
      </w:r>
      <w:r>
        <w:rPr>
          <w:rFonts w:hint="eastAsia" w:ascii="宋体" w:hAnsi="宋体"/>
          <w:sz w:val="24"/>
          <w:szCs w:val="24"/>
        </w:rPr>
        <w:t>202</w:t>
      </w:r>
      <w:r>
        <w:rPr>
          <w:rFonts w:hint="eastAsia" w:ascii="宋体" w:hAnsi="宋体"/>
          <w:sz w:val="24"/>
          <w:szCs w:val="24"/>
          <w:lang w:val="en-US" w:eastAsia="zh-CN"/>
        </w:rPr>
        <w:t>4</w:t>
      </w:r>
      <w:r>
        <w:rPr>
          <w:rFonts w:ascii="宋体" w:hAnsi="宋体"/>
          <w:sz w:val="24"/>
          <w:szCs w:val="24"/>
        </w:rPr>
        <w:t>]</w:t>
      </w:r>
      <w:r>
        <w:rPr>
          <w:rFonts w:hint="eastAsia" w:ascii="宋体" w:hAnsi="宋体"/>
          <w:sz w:val="24"/>
          <w:szCs w:val="24"/>
          <w:lang w:val="en-US" w:eastAsia="zh-CN"/>
        </w:rPr>
        <w:t>65</w:t>
      </w:r>
      <w:r>
        <w:rPr>
          <w:rFonts w:hint="eastAsia" w:ascii="宋体" w:hAnsi="宋体"/>
          <w:sz w:val="24"/>
          <w:szCs w:val="24"/>
        </w:rPr>
        <w:t>号</w:t>
      </w:r>
    </w:p>
    <w:p w14:paraId="34D907F3"/>
    <w:tbl>
      <w:tblPr>
        <w:tblStyle w:val="6"/>
        <w:tblW w:w="890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2691"/>
        <w:gridCol w:w="3525"/>
        <w:gridCol w:w="1975"/>
      </w:tblGrid>
      <w:tr w14:paraId="30CBF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714" w:type="dxa"/>
            <w:tcBorders>
              <w:top w:val="single" w:color="000000" w:sz="4" w:space="0"/>
              <w:left w:val="single" w:color="000000" w:sz="4" w:space="0"/>
              <w:bottom w:val="single" w:color="000000" w:sz="4" w:space="0"/>
              <w:right w:val="single" w:color="000000" w:sz="4" w:space="0"/>
            </w:tcBorders>
            <w:vAlign w:val="center"/>
          </w:tcPr>
          <w:p w14:paraId="15575EB1">
            <w:pPr>
              <w:jc w:val="center"/>
              <w:rPr>
                <w:rFonts w:ascii="宋体" w:hAnsi="宋体"/>
                <w:sz w:val="24"/>
                <w:szCs w:val="24"/>
              </w:rPr>
            </w:pPr>
            <w:r>
              <w:rPr>
                <w:rFonts w:hint="eastAsia" w:ascii="宋体" w:hAnsi="宋体"/>
                <w:b/>
                <w:sz w:val="24"/>
                <w:szCs w:val="24"/>
              </w:rPr>
              <w:t>序号</w:t>
            </w:r>
          </w:p>
        </w:tc>
        <w:tc>
          <w:tcPr>
            <w:tcW w:w="2691" w:type="dxa"/>
            <w:tcBorders>
              <w:top w:val="single" w:color="000000" w:sz="4" w:space="0"/>
              <w:left w:val="single" w:color="000000" w:sz="4" w:space="0"/>
              <w:bottom w:val="single" w:color="000000" w:sz="4" w:space="0"/>
              <w:right w:val="single" w:color="000000" w:sz="4" w:space="0"/>
            </w:tcBorders>
            <w:vAlign w:val="center"/>
          </w:tcPr>
          <w:p w14:paraId="4EF8E971">
            <w:pPr>
              <w:jc w:val="center"/>
              <w:rPr>
                <w:rFonts w:ascii="宋体" w:hAnsi="宋体"/>
                <w:sz w:val="24"/>
                <w:szCs w:val="24"/>
              </w:rPr>
            </w:pPr>
            <w:r>
              <w:rPr>
                <w:rFonts w:hint="eastAsia" w:ascii="宋体" w:hAnsi="宋体" w:cs="宋体"/>
                <w:b/>
                <w:kern w:val="0"/>
                <w:sz w:val="24"/>
                <w:szCs w:val="24"/>
              </w:rPr>
              <w:t>产品名</w:t>
            </w:r>
            <w:r>
              <w:rPr>
                <w:rFonts w:hint="eastAsia" w:ascii="宋体" w:hAnsi="宋体"/>
                <w:b/>
                <w:kern w:val="0"/>
                <w:sz w:val="24"/>
                <w:szCs w:val="24"/>
              </w:rPr>
              <w:t>称</w:t>
            </w:r>
          </w:p>
        </w:tc>
        <w:tc>
          <w:tcPr>
            <w:tcW w:w="3525" w:type="dxa"/>
            <w:tcBorders>
              <w:top w:val="single" w:color="000000" w:sz="4" w:space="0"/>
              <w:left w:val="single" w:color="000000" w:sz="4" w:space="0"/>
              <w:bottom w:val="single" w:color="000000" w:sz="4" w:space="0"/>
              <w:right w:val="single" w:color="000000" w:sz="4" w:space="0"/>
            </w:tcBorders>
            <w:vAlign w:val="center"/>
          </w:tcPr>
          <w:p w14:paraId="4A27D806">
            <w:pPr>
              <w:spacing w:line="360" w:lineRule="exact"/>
              <w:jc w:val="center"/>
              <w:rPr>
                <w:rFonts w:hint="eastAsia" w:ascii="宋体" w:hAnsi="宋体" w:eastAsia="宋体"/>
                <w:b/>
                <w:sz w:val="24"/>
                <w:szCs w:val="24"/>
                <w:lang w:eastAsia="zh-CN"/>
              </w:rPr>
            </w:pPr>
            <w:r>
              <w:rPr>
                <w:rFonts w:hint="eastAsia" w:ascii="宋体" w:hAnsi="宋体"/>
                <w:b/>
                <w:sz w:val="24"/>
                <w:szCs w:val="24"/>
                <w:lang w:eastAsia="zh-CN"/>
              </w:rPr>
              <w:t>金额（元）</w:t>
            </w:r>
          </w:p>
        </w:tc>
        <w:tc>
          <w:tcPr>
            <w:tcW w:w="1975" w:type="dxa"/>
            <w:tcBorders>
              <w:top w:val="single" w:color="000000" w:sz="4" w:space="0"/>
              <w:left w:val="single" w:color="000000" w:sz="4" w:space="0"/>
              <w:bottom w:val="single" w:color="000000" w:sz="4" w:space="0"/>
              <w:right w:val="single" w:color="000000" w:sz="4" w:space="0"/>
            </w:tcBorders>
            <w:vAlign w:val="center"/>
          </w:tcPr>
          <w:p w14:paraId="13C5AB25">
            <w:pPr>
              <w:spacing w:line="360" w:lineRule="exact"/>
              <w:jc w:val="center"/>
              <w:rPr>
                <w:rFonts w:hint="eastAsia" w:ascii="宋体" w:hAnsi="宋体" w:eastAsia="宋体" w:cs="Times New Roman"/>
                <w:b/>
                <w:kern w:val="2"/>
                <w:sz w:val="24"/>
                <w:szCs w:val="24"/>
                <w:lang w:val="en-US" w:eastAsia="zh-CN" w:bidi="ar-SA"/>
              </w:rPr>
            </w:pPr>
            <w:r>
              <w:rPr>
                <w:rFonts w:hint="eastAsia" w:ascii="宋体" w:hAnsi="宋体"/>
                <w:b/>
                <w:sz w:val="24"/>
                <w:szCs w:val="24"/>
              </w:rPr>
              <w:t>备注</w:t>
            </w:r>
          </w:p>
        </w:tc>
      </w:tr>
      <w:tr w14:paraId="6DCF4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1" w:hRule="atLeast"/>
        </w:trPr>
        <w:tc>
          <w:tcPr>
            <w:tcW w:w="714" w:type="dxa"/>
            <w:tcBorders>
              <w:top w:val="single" w:color="000000" w:sz="4" w:space="0"/>
              <w:left w:val="single" w:color="000000" w:sz="4" w:space="0"/>
              <w:bottom w:val="single" w:color="000000" w:sz="4" w:space="0"/>
              <w:right w:val="single" w:color="000000" w:sz="4" w:space="0"/>
            </w:tcBorders>
            <w:vAlign w:val="center"/>
          </w:tcPr>
          <w:p w14:paraId="0B5982AC">
            <w:pPr>
              <w:spacing w:line="360" w:lineRule="exact"/>
              <w:jc w:val="center"/>
              <w:rPr>
                <w:rFonts w:ascii="宋体" w:hAnsi="宋体"/>
                <w:sz w:val="24"/>
                <w:szCs w:val="24"/>
              </w:rPr>
            </w:pPr>
            <w:r>
              <w:rPr>
                <w:rFonts w:hint="eastAsia" w:ascii="宋体" w:hAnsi="宋体"/>
                <w:sz w:val="24"/>
                <w:szCs w:val="24"/>
              </w:rPr>
              <w:t>1</w:t>
            </w:r>
          </w:p>
        </w:tc>
        <w:tc>
          <w:tcPr>
            <w:tcW w:w="2691" w:type="dxa"/>
            <w:tcBorders>
              <w:top w:val="single" w:color="000000" w:sz="4" w:space="0"/>
              <w:left w:val="single" w:color="000000" w:sz="4" w:space="0"/>
              <w:bottom w:val="single" w:color="000000" w:sz="4" w:space="0"/>
              <w:right w:val="single" w:color="000000" w:sz="4" w:space="0"/>
            </w:tcBorders>
            <w:vAlign w:val="center"/>
          </w:tcPr>
          <w:p w14:paraId="3CA5C3B8">
            <w:pPr>
              <w:widowControl/>
              <w:spacing w:line="360" w:lineRule="exact"/>
              <w:jc w:val="center"/>
              <w:rPr>
                <w:rFonts w:hint="eastAsia" w:ascii="宋体" w:hAnsi="宋体" w:cs="宋体"/>
                <w:kern w:val="0"/>
                <w:sz w:val="24"/>
                <w:lang w:eastAsia="zh-CN"/>
              </w:rPr>
            </w:pPr>
            <w:r>
              <w:rPr>
                <w:rFonts w:hint="eastAsia" w:ascii="宋体" w:hAnsi="宋体" w:cs="宋体"/>
                <w:kern w:val="0"/>
                <w:sz w:val="24"/>
              </w:rPr>
              <w:t>铜陵学院</w:t>
            </w:r>
            <w:r>
              <w:rPr>
                <w:rFonts w:hint="eastAsia" w:ascii="宋体" w:hAnsi="宋体" w:cs="宋体"/>
                <w:kern w:val="0"/>
                <w:sz w:val="24"/>
                <w:lang w:eastAsia="zh-CN"/>
              </w:rPr>
              <w:t>官网主页改版</w:t>
            </w:r>
          </w:p>
          <w:p w14:paraId="6E1E496E">
            <w:pPr>
              <w:widowControl/>
              <w:spacing w:line="360" w:lineRule="exact"/>
              <w:jc w:val="center"/>
              <w:rPr>
                <w:rFonts w:hint="eastAsia" w:ascii="宋体" w:hAnsi="宋体" w:eastAsia="宋体"/>
                <w:sz w:val="24"/>
                <w:szCs w:val="24"/>
                <w:lang w:eastAsia="zh-CN"/>
              </w:rPr>
            </w:pPr>
            <w:r>
              <w:rPr>
                <w:rFonts w:hint="eastAsia" w:ascii="宋体" w:hAnsi="宋体" w:cs="宋体"/>
                <w:kern w:val="0"/>
                <w:sz w:val="24"/>
                <w:lang w:eastAsia="zh-CN"/>
              </w:rPr>
              <w:t>服务费</w:t>
            </w:r>
          </w:p>
        </w:tc>
        <w:tc>
          <w:tcPr>
            <w:tcW w:w="3525" w:type="dxa"/>
            <w:tcBorders>
              <w:top w:val="single" w:color="000000" w:sz="4" w:space="0"/>
              <w:left w:val="single" w:color="000000" w:sz="4" w:space="0"/>
              <w:bottom w:val="single" w:color="000000" w:sz="4" w:space="0"/>
              <w:right w:val="single" w:color="000000" w:sz="4" w:space="0"/>
            </w:tcBorders>
            <w:vAlign w:val="center"/>
          </w:tcPr>
          <w:p w14:paraId="3E388988">
            <w:pPr>
              <w:jc w:val="center"/>
              <w:rPr>
                <w:rFonts w:ascii="宋体" w:hAnsi="宋体"/>
                <w:sz w:val="24"/>
                <w:szCs w:val="24"/>
              </w:rPr>
            </w:pPr>
          </w:p>
        </w:tc>
        <w:tc>
          <w:tcPr>
            <w:tcW w:w="1975" w:type="dxa"/>
            <w:tcBorders>
              <w:top w:val="single" w:color="000000" w:sz="4" w:space="0"/>
              <w:left w:val="single" w:color="000000" w:sz="4" w:space="0"/>
              <w:bottom w:val="single" w:color="000000" w:sz="4" w:space="0"/>
              <w:right w:val="single" w:color="000000" w:sz="4" w:space="0"/>
            </w:tcBorders>
            <w:vAlign w:val="center"/>
          </w:tcPr>
          <w:p w14:paraId="5F7022A1">
            <w:pPr>
              <w:jc w:val="center"/>
              <w:rPr>
                <w:rFonts w:ascii="宋体" w:hAnsi="宋体" w:eastAsia="宋体" w:cs="Times New Roman"/>
                <w:kern w:val="2"/>
                <w:sz w:val="24"/>
                <w:szCs w:val="24"/>
                <w:lang w:val="en-US" w:eastAsia="zh-CN" w:bidi="ar-SA"/>
              </w:rPr>
            </w:pPr>
          </w:p>
        </w:tc>
      </w:tr>
      <w:tr w14:paraId="75577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6" w:hRule="atLeast"/>
        </w:trPr>
        <w:tc>
          <w:tcPr>
            <w:tcW w:w="3405" w:type="dxa"/>
            <w:gridSpan w:val="2"/>
            <w:tcBorders>
              <w:top w:val="single" w:color="000000" w:sz="4" w:space="0"/>
              <w:left w:val="single" w:color="000000" w:sz="4" w:space="0"/>
              <w:bottom w:val="single" w:color="000000" w:sz="4" w:space="0"/>
              <w:right w:val="single" w:color="000000" w:sz="4" w:space="0"/>
            </w:tcBorders>
            <w:vAlign w:val="center"/>
          </w:tcPr>
          <w:p w14:paraId="32C068EB">
            <w:pPr>
              <w:widowControl/>
              <w:spacing w:line="360" w:lineRule="exact"/>
              <w:ind w:firstLine="720" w:firstLineChars="300"/>
              <w:jc w:val="left"/>
              <w:rPr>
                <w:rFonts w:hint="eastAsia" w:ascii="宋体" w:hAnsi="宋体" w:eastAsia="宋体" w:cs="宋体"/>
                <w:kern w:val="0"/>
                <w:sz w:val="24"/>
                <w:lang w:eastAsia="zh-CN"/>
              </w:rPr>
            </w:pPr>
            <w:r>
              <w:rPr>
                <w:rFonts w:hint="eastAsia" w:ascii="宋体" w:hAnsi="宋体" w:cs="宋体"/>
                <w:kern w:val="0"/>
                <w:sz w:val="24"/>
                <w:lang w:eastAsia="zh-CN"/>
              </w:rPr>
              <w:t>合</w:t>
            </w:r>
            <w:r>
              <w:rPr>
                <w:rFonts w:hint="eastAsia" w:ascii="宋体" w:hAnsi="宋体" w:cs="宋体"/>
                <w:kern w:val="0"/>
                <w:sz w:val="24"/>
                <w:lang w:val="en-US" w:eastAsia="zh-CN"/>
              </w:rPr>
              <w:t xml:space="preserve"> </w:t>
            </w:r>
            <w:r>
              <w:rPr>
                <w:rFonts w:hint="eastAsia" w:ascii="宋体" w:hAnsi="宋体" w:cs="宋体"/>
                <w:kern w:val="0"/>
                <w:sz w:val="24"/>
                <w:lang w:eastAsia="zh-CN"/>
              </w:rPr>
              <w:t>计</w:t>
            </w:r>
          </w:p>
        </w:tc>
        <w:tc>
          <w:tcPr>
            <w:tcW w:w="5500" w:type="dxa"/>
            <w:gridSpan w:val="2"/>
            <w:tcBorders>
              <w:top w:val="single" w:color="000000" w:sz="4" w:space="0"/>
              <w:left w:val="single" w:color="000000" w:sz="4" w:space="0"/>
              <w:bottom w:val="single" w:color="000000" w:sz="4" w:space="0"/>
              <w:right w:val="single" w:color="000000" w:sz="4" w:space="0"/>
            </w:tcBorders>
            <w:vAlign w:val="center"/>
          </w:tcPr>
          <w:p w14:paraId="4B0439D6">
            <w:pPr>
              <w:jc w:val="center"/>
              <w:rPr>
                <w:rFonts w:ascii="宋体" w:hAnsi="宋体"/>
                <w:sz w:val="24"/>
                <w:szCs w:val="24"/>
              </w:rPr>
            </w:pPr>
          </w:p>
        </w:tc>
      </w:tr>
      <w:tr w14:paraId="670A0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6" w:hRule="atLeast"/>
        </w:trPr>
        <w:tc>
          <w:tcPr>
            <w:tcW w:w="3405" w:type="dxa"/>
            <w:gridSpan w:val="2"/>
            <w:tcBorders>
              <w:top w:val="single" w:color="000000" w:sz="4" w:space="0"/>
              <w:left w:val="single" w:color="000000" w:sz="4" w:space="0"/>
              <w:bottom w:val="single" w:color="000000" w:sz="4" w:space="0"/>
              <w:right w:val="single" w:color="000000" w:sz="4" w:space="0"/>
            </w:tcBorders>
            <w:vAlign w:val="center"/>
          </w:tcPr>
          <w:p w14:paraId="498D7465">
            <w:pPr>
              <w:widowControl/>
              <w:spacing w:line="360" w:lineRule="exact"/>
              <w:ind w:firstLine="723" w:firstLineChars="300"/>
              <w:jc w:val="left"/>
              <w:rPr>
                <w:rFonts w:hint="eastAsia" w:ascii="宋体" w:hAnsi="宋体" w:cs="宋体"/>
                <w:kern w:val="0"/>
                <w:sz w:val="24"/>
                <w:lang w:eastAsia="zh-CN"/>
              </w:rPr>
            </w:pPr>
            <w:r>
              <w:rPr>
                <w:rFonts w:hint="eastAsia"/>
                <w:b/>
                <w:bCs/>
                <w:sz w:val="24"/>
                <w:szCs w:val="24"/>
                <w:lang w:eastAsia="zh-CN"/>
              </w:rPr>
              <w:t>人民币</w:t>
            </w:r>
            <w:r>
              <w:rPr>
                <w:rFonts w:hint="eastAsia"/>
                <w:b/>
                <w:bCs/>
                <w:sz w:val="24"/>
                <w:szCs w:val="24"/>
                <w:lang w:val="en-US" w:eastAsia="zh-CN"/>
              </w:rPr>
              <w:t xml:space="preserve"> </w:t>
            </w:r>
            <w:r>
              <w:rPr>
                <w:rFonts w:hint="eastAsia"/>
                <w:b/>
                <w:bCs/>
                <w:sz w:val="24"/>
                <w:szCs w:val="24"/>
              </w:rPr>
              <w:t>大写：</w:t>
            </w:r>
          </w:p>
        </w:tc>
        <w:tc>
          <w:tcPr>
            <w:tcW w:w="5500" w:type="dxa"/>
            <w:gridSpan w:val="2"/>
            <w:tcBorders>
              <w:top w:val="single" w:color="000000" w:sz="4" w:space="0"/>
              <w:left w:val="single" w:color="000000" w:sz="4" w:space="0"/>
              <w:bottom w:val="single" w:color="000000" w:sz="4" w:space="0"/>
              <w:right w:val="single" w:color="000000" w:sz="4" w:space="0"/>
            </w:tcBorders>
            <w:vAlign w:val="center"/>
          </w:tcPr>
          <w:p w14:paraId="2F6A30D2">
            <w:pPr>
              <w:jc w:val="center"/>
              <w:rPr>
                <w:rFonts w:ascii="宋体" w:hAnsi="宋体"/>
                <w:sz w:val="24"/>
                <w:szCs w:val="24"/>
              </w:rPr>
            </w:pPr>
          </w:p>
        </w:tc>
      </w:tr>
    </w:tbl>
    <w:p w14:paraId="56B28343">
      <w:pPr>
        <w:spacing w:line="420" w:lineRule="exact"/>
        <w:rPr>
          <w:rFonts w:ascii="宋体" w:hAnsi="宋体" w:cs="宋体"/>
          <w:kern w:val="0"/>
          <w:sz w:val="24"/>
          <w:szCs w:val="24"/>
        </w:rPr>
      </w:pPr>
    </w:p>
    <w:p w14:paraId="754B06F4">
      <w:pPr>
        <w:spacing w:line="420" w:lineRule="exact"/>
        <w:rPr>
          <w:rFonts w:ascii="宋体" w:hAnsi="宋体"/>
          <w:kern w:val="0"/>
          <w:sz w:val="24"/>
          <w:szCs w:val="24"/>
        </w:rPr>
      </w:pPr>
      <w:r>
        <w:rPr>
          <w:rFonts w:hint="eastAsia" w:ascii="宋体" w:hAnsi="宋体" w:cs="宋体"/>
          <w:kern w:val="0"/>
          <w:sz w:val="24"/>
          <w:szCs w:val="24"/>
        </w:rPr>
        <w:t>备注：</w:t>
      </w:r>
      <w:r>
        <w:rPr>
          <w:rFonts w:ascii="宋体" w:hAnsi="宋体"/>
          <w:kern w:val="0"/>
          <w:sz w:val="24"/>
          <w:szCs w:val="24"/>
        </w:rPr>
        <w:t xml:space="preserve"> </w:t>
      </w:r>
      <w:r>
        <w:rPr>
          <w:rFonts w:hint="eastAsia" w:ascii="宋体" w:hAnsi="宋体"/>
          <w:sz w:val="24"/>
        </w:rPr>
        <w:t>供应商针对本项目所有内容一次性报价，报价包含完成本项目所发生的一切费用</w:t>
      </w:r>
      <w:r>
        <w:rPr>
          <w:rFonts w:hint="eastAsia" w:ascii="宋体" w:hAnsi="宋体" w:cs="宋体"/>
          <w:kern w:val="0"/>
          <w:sz w:val="24"/>
          <w:szCs w:val="24"/>
        </w:rPr>
        <w:t>包括设备使用费、端口对接费、服务费、利税和应承担的风险等一切费用）</w:t>
      </w:r>
      <w:r>
        <w:rPr>
          <w:rFonts w:hint="eastAsia" w:ascii="宋体" w:hAnsi="宋体"/>
          <w:sz w:val="24"/>
        </w:rPr>
        <w:t>，采购人后期不再增加任何费用，供应商需考虑各种风险，综合报价。</w:t>
      </w:r>
    </w:p>
    <w:p w14:paraId="268434E0">
      <w:pPr>
        <w:pStyle w:val="3"/>
        <w:spacing w:line="420" w:lineRule="exact"/>
        <w:ind w:firstLine="445" w:firstLineChars="192"/>
        <w:rPr>
          <w:rFonts w:eastAsia="宋体"/>
          <w:spacing w:val="-4"/>
          <w:sz w:val="24"/>
          <w:szCs w:val="24"/>
        </w:rPr>
      </w:pPr>
    </w:p>
    <w:p w14:paraId="615E7BFD">
      <w:pPr>
        <w:pStyle w:val="3"/>
        <w:spacing w:line="420" w:lineRule="exact"/>
        <w:ind w:left="0" w:leftChars="0" w:firstLine="0" w:firstLineChars="0"/>
        <w:rPr>
          <w:rFonts w:eastAsia="宋体"/>
          <w:spacing w:val="-4"/>
          <w:sz w:val="24"/>
          <w:szCs w:val="24"/>
        </w:rPr>
      </w:pPr>
    </w:p>
    <w:p w14:paraId="03D10275">
      <w:pPr>
        <w:pStyle w:val="3"/>
        <w:spacing w:line="420" w:lineRule="exact"/>
        <w:ind w:firstLine="460" w:firstLineChars="192"/>
        <w:rPr>
          <w:rFonts w:eastAsia="宋体"/>
          <w:kern w:val="0"/>
          <w:sz w:val="24"/>
          <w:szCs w:val="24"/>
        </w:rPr>
      </w:pPr>
    </w:p>
    <w:p w14:paraId="46D3EBEB">
      <w:pPr>
        <w:pStyle w:val="3"/>
        <w:spacing w:line="420" w:lineRule="exact"/>
        <w:ind w:firstLine="460" w:firstLineChars="192"/>
        <w:rPr>
          <w:rFonts w:eastAsia="宋体"/>
          <w:kern w:val="0"/>
          <w:sz w:val="24"/>
          <w:szCs w:val="24"/>
        </w:rPr>
      </w:pPr>
      <w:r>
        <w:rPr>
          <w:rFonts w:hint="eastAsia" w:eastAsia="宋体"/>
          <w:kern w:val="0"/>
          <w:sz w:val="24"/>
          <w:szCs w:val="24"/>
        </w:rPr>
        <w:t>投标单位名称：</w:t>
      </w:r>
      <w:r>
        <w:rPr>
          <w:rFonts w:eastAsia="宋体"/>
          <w:kern w:val="0"/>
          <w:sz w:val="24"/>
          <w:szCs w:val="24"/>
          <w:u w:val="single"/>
        </w:rPr>
        <w:t xml:space="preserve">                              </w:t>
      </w:r>
      <w:r>
        <w:rPr>
          <w:rFonts w:hint="eastAsia" w:eastAsia="宋体"/>
          <w:kern w:val="0"/>
          <w:sz w:val="24"/>
          <w:szCs w:val="24"/>
        </w:rPr>
        <w:t>（公章）</w:t>
      </w:r>
    </w:p>
    <w:p w14:paraId="6B4DFC37">
      <w:pPr>
        <w:rPr>
          <w:sz w:val="24"/>
          <w:szCs w:val="24"/>
        </w:rPr>
      </w:pPr>
    </w:p>
    <w:p w14:paraId="6C8E76B4">
      <w:pPr>
        <w:ind w:firstLine="465"/>
        <w:rPr>
          <w:sz w:val="24"/>
          <w:szCs w:val="24"/>
        </w:rPr>
      </w:pPr>
      <w:r>
        <w:rPr>
          <w:rFonts w:hint="eastAsia"/>
          <w:sz w:val="24"/>
          <w:szCs w:val="24"/>
        </w:rPr>
        <w:t>法定代表人</w:t>
      </w:r>
      <w:r>
        <w:rPr>
          <w:rFonts w:hint="eastAsia"/>
          <w:kern w:val="0"/>
          <w:sz w:val="24"/>
          <w:szCs w:val="24"/>
        </w:rPr>
        <w:t>签字或盖章：</w:t>
      </w:r>
      <w:r>
        <w:rPr>
          <w:kern w:val="0"/>
          <w:sz w:val="24"/>
          <w:szCs w:val="24"/>
          <w:u w:val="single"/>
        </w:rPr>
        <w:t>           </w:t>
      </w:r>
      <w:r>
        <w:rPr>
          <w:rFonts w:hint="eastAsia"/>
          <w:kern w:val="0"/>
          <w:sz w:val="24"/>
          <w:szCs w:val="24"/>
          <w:u w:val="single"/>
        </w:rPr>
        <w:t xml:space="preserve">               </w:t>
      </w:r>
      <w:r>
        <w:rPr>
          <w:kern w:val="0"/>
          <w:sz w:val="24"/>
          <w:szCs w:val="24"/>
          <w:u w:val="single"/>
        </w:rPr>
        <w:t xml:space="preserve">  </w:t>
      </w:r>
      <w:r>
        <w:rPr>
          <w:sz w:val="24"/>
          <w:szCs w:val="24"/>
        </w:rPr>
        <w:t xml:space="preserve"> </w:t>
      </w:r>
      <w:r>
        <w:rPr>
          <w:rFonts w:hint="eastAsia"/>
          <w:sz w:val="24"/>
          <w:szCs w:val="24"/>
        </w:rPr>
        <w:t xml:space="preserve">  </w:t>
      </w:r>
      <w:r>
        <w:rPr>
          <w:sz w:val="24"/>
          <w:szCs w:val="24"/>
        </w:rPr>
        <w:br w:type="textWrapping"/>
      </w:r>
    </w:p>
    <w:p w14:paraId="454EA811">
      <w:r>
        <w:rPr>
          <w:rFonts w:hint="eastAsia"/>
          <w:sz w:val="24"/>
          <w:szCs w:val="24"/>
        </w:rPr>
        <w:t xml:space="preserve">    </w:t>
      </w:r>
      <w:r>
        <w:rPr>
          <w:rFonts w:hint="eastAsia" w:ascii="宋体" w:hAnsi="宋体" w:cs="宋体"/>
          <w:kern w:val="0"/>
          <w:sz w:val="24"/>
          <w:szCs w:val="24"/>
        </w:rPr>
        <w:t>代理人（被授权人）签字或盖章：</w:t>
      </w:r>
      <w:r>
        <w:rPr>
          <w:rFonts w:ascii="宋体" w:hAnsi="宋体"/>
          <w:kern w:val="0"/>
          <w:sz w:val="24"/>
          <w:szCs w:val="24"/>
          <w:u w:val="single"/>
        </w:rPr>
        <w:t>   </w:t>
      </w:r>
      <w:r>
        <w:rPr>
          <w:rFonts w:hint="eastAsia" w:ascii="宋体" w:hAnsi="宋体"/>
          <w:kern w:val="0"/>
          <w:sz w:val="24"/>
          <w:szCs w:val="24"/>
          <w:u w:val="single"/>
        </w:rPr>
        <w:t xml:space="preserve">   </w:t>
      </w:r>
      <w:r>
        <w:rPr>
          <w:rFonts w:ascii="宋体" w:hAnsi="宋体"/>
          <w:kern w:val="0"/>
          <w:sz w:val="24"/>
          <w:szCs w:val="24"/>
          <w:u w:val="single"/>
        </w:rPr>
        <w:t>   </w:t>
      </w:r>
    </w:p>
    <w:p w14:paraId="3D4ED59A">
      <w:pPr>
        <w:pStyle w:val="2"/>
        <w:ind w:firstLine="0"/>
      </w:pPr>
    </w:p>
    <w:p w14:paraId="2579EF8F">
      <w:pPr>
        <w:pStyle w:val="2"/>
        <w:ind w:firstLine="0"/>
      </w:pPr>
    </w:p>
    <w:p w14:paraId="4CBA9D0B">
      <w:pPr>
        <w:pStyle w:val="2"/>
        <w:ind w:firstLine="0"/>
      </w:pPr>
    </w:p>
    <w:p w14:paraId="53F9B0E2">
      <w:pPr>
        <w:pStyle w:val="2"/>
        <w:ind w:firstLine="0"/>
      </w:pPr>
    </w:p>
    <w:p w14:paraId="3BF594B5">
      <w:pPr>
        <w:pStyle w:val="2"/>
        <w:ind w:firstLine="0"/>
      </w:pPr>
    </w:p>
    <w:p w14:paraId="26277EB3">
      <w:pPr>
        <w:pStyle w:val="2"/>
        <w:ind w:firstLine="0"/>
      </w:pPr>
    </w:p>
    <w:p w14:paraId="571D8DD9">
      <w:pPr>
        <w:pStyle w:val="2"/>
        <w:ind w:firstLine="0"/>
      </w:pPr>
    </w:p>
    <w:p w14:paraId="62EBC2E8">
      <w:pPr>
        <w:pStyle w:val="2"/>
        <w:ind w:firstLine="0"/>
      </w:pPr>
    </w:p>
    <w:p w14:paraId="277F7824">
      <w:pPr>
        <w:spacing w:line="240" w:lineRule="auto"/>
      </w:pPr>
    </w:p>
    <w:sectPr>
      <w:headerReference r:id="rId3" w:type="default"/>
      <w:footerReference r:id="rId4" w:type="default"/>
      <w:pgSz w:w="11906" w:h="16838"/>
      <w:pgMar w:top="1361" w:right="1361" w:bottom="1361" w:left="136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D3D27">
    <w:pPr>
      <w:pStyle w:val="4"/>
    </w:pPr>
    <w:r>
      <w:rPr>
        <w:rFonts w:ascii="Times New Roman" w:hAnsi="Times New Roma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A5726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bl05M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K&#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m5dOTIAQAAmQMAAA4AAAAAAAAAAQAgAAAAHgEAAGRycy9lMm9Eb2Mu&#10;eG1sUEsFBgAAAAAGAAYAWQEAAFgFAAAAAA==&#10;">
              <v:fill on="f" focussize="0,0"/>
              <v:stroke on="f"/>
              <v:imagedata o:title=""/>
              <o:lock v:ext="edit" aspectratio="f"/>
              <v:textbox inset="0mm,0mm,0mm,0mm" style="mso-fit-shape-to-text:t;">
                <w:txbxContent>
                  <w:p w14:paraId="3DA5726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046F2">
    <w:pPr>
      <w:pStyle w:val="5"/>
      <w:pBdr>
        <w:bottom w:val="none" w:color="auto" w:sz="0" w:space="1"/>
      </w:pBdr>
    </w:pPr>
    <w:r>
      <w:rPr>
        <w:rFonts w:ascii="Times New Roman" w:hAnsi="Times New Roma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488FB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5gLiskBAACZAwAADgAAAGRycy9lMm9Eb2MueG1srVPNjtMwEL4j8Q6W&#10;79Rpk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BUljlsc+OX7t8uPX5efX8nr&#10;3J4+QI1ZDwHz0nDnB1ya2Q/ozKoHFW3+oh6CcWzu+dpcOSQi8qP1ar2uMCQwNl8Qnz0+DxHSW+kt&#10;yUZDI06vNJWf3kMaU+eUXM35e21MmaBxfzkQM3tY5j5yzFYa9sMkaO/bM+rpcfANdbjnlJh3Dvua&#10;d2Q24mzsZ+MYoj50SG1ZeEG4PSYkUbjlCiPsVBgnVtRN25VX4s97yXr8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LmAuKyQEAAJkDAAAOAAAAAAAAAAEAIAAAAB4BAABkcnMvZTJvRG9j&#10;LnhtbFBLBQYAAAAABgAGAFkBAABZBQAAAAA=&#10;">
              <v:fill on="f" focussize="0,0"/>
              <v:stroke on="f"/>
              <v:imagedata o:title=""/>
              <o:lock v:ext="edit" aspectratio="f"/>
              <v:textbox inset="0mm,0mm,0mm,0mm" style="mso-fit-shape-to-text:t;">
                <w:txbxContent>
                  <w:p w14:paraId="42488FB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7A7762"/>
    <w:multiLevelType w:val="multilevel"/>
    <w:tmpl w:val="2C7A7762"/>
    <w:lvl w:ilvl="0" w:tentative="0">
      <w:start w:val="1"/>
      <w:numFmt w:val="decimal"/>
      <w:lvlText w:val="%1"/>
      <w:lvlJc w:val="left"/>
      <w:pPr>
        <w:ind w:left="0" w:firstLine="0"/>
      </w:pPr>
      <w:rPr>
        <w:rFonts w:hint="eastAsia" w:eastAsia="黑体"/>
        <w:b/>
        <w:sz w:val="28"/>
      </w:rPr>
    </w:lvl>
    <w:lvl w:ilvl="1" w:tentative="0">
      <w:start w:val="1"/>
      <w:numFmt w:val="decimal"/>
      <w:pStyle w:val="16"/>
      <w:suff w:val="space"/>
      <w:lvlText w:val="%1.%2"/>
      <w:lvlJc w:val="left"/>
      <w:pPr>
        <w:ind w:left="0" w:firstLine="0"/>
      </w:pPr>
      <w:rPr>
        <w:rFonts w:hint="eastAsia" w:eastAsia="黑体"/>
        <w:sz w:val="28"/>
      </w:rPr>
    </w:lvl>
    <w:lvl w:ilvl="2" w:tentative="0">
      <w:start w:val="1"/>
      <w:numFmt w:val="decimal"/>
      <w:pStyle w:val="18"/>
      <w:lvlText w:val="%1.%2.%3"/>
      <w:lvlJc w:val="left"/>
      <w:pPr>
        <w:ind w:left="710" w:firstLine="0"/>
      </w:pPr>
      <w:rPr>
        <w:rFonts w:hint="eastAsia"/>
        <w:b/>
        <w:bCs w:val="0"/>
        <w:i w:val="0"/>
        <w:iCs w:val="0"/>
        <w:caps w:val="0"/>
        <w:smallCaps w:val="0"/>
        <w:strike w:val="0"/>
        <w:dstrike w:val="0"/>
        <w:outline w:val="0"/>
        <w:shadow w:val="0"/>
        <w:emboss w:val="0"/>
        <w:imprint w:val="0"/>
        <w:vanish w:val="0"/>
        <w:spacing w:val="0"/>
        <w:position w:val="0"/>
        <w:sz w:val="28"/>
        <w:u w:val="none"/>
        <w:vertAlign w:val="baseline"/>
      </w:rPr>
    </w:lvl>
    <w:lvl w:ilvl="3" w:tentative="0">
      <w:start w:val="1"/>
      <w:numFmt w:val="decimal"/>
      <w:pStyle w:val="19"/>
      <w:suff w:val="space"/>
      <w:lvlText w:val="%1.%2.%3.%4"/>
      <w:lvlJc w:val="left"/>
      <w:pPr>
        <w:ind w:left="0" w:firstLine="0"/>
      </w:pPr>
      <w:rPr>
        <w:rFonts w:hint="eastAsia" w:eastAsia="黑体"/>
        <w:sz w:val="21"/>
      </w:rPr>
    </w:lvl>
    <w:lvl w:ilvl="4" w:tentative="0">
      <w:start w:val="1"/>
      <w:numFmt w:val="decimal"/>
      <w:pStyle w:val="20"/>
      <w:lvlText w:val="%1.%2.%3.%4.%5"/>
      <w:lvlJc w:val="left"/>
      <w:pPr>
        <w:ind w:left="0" w:firstLine="0"/>
      </w:pPr>
      <w:rPr>
        <w:rFonts w:hint="eastAsia" w:eastAsia="黑体"/>
        <w:sz w:val="28"/>
      </w:rPr>
    </w:lvl>
    <w:lvl w:ilvl="5" w:tentative="0">
      <w:start w:val="1"/>
      <w:numFmt w:val="decimal"/>
      <w:pStyle w:val="21"/>
      <w:lvlText w:val="%1.%2.%3.%4.%5.%6"/>
      <w:lvlJc w:val="left"/>
      <w:pPr>
        <w:ind w:left="0" w:firstLine="0"/>
      </w:pPr>
      <w:rPr>
        <w:rFonts w:hint="eastAsia" w:eastAsia="黑体"/>
        <w:sz w:val="28"/>
      </w:rPr>
    </w:lvl>
    <w:lvl w:ilvl="6" w:tentative="0">
      <w:start w:val="1"/>
      <w:numFmt w:val="decimal"/>
      <w:pStyle w:val="22"/>
      <w:lvlText w:val="%1.%2.%3.%4.%5.%6.%7"/>
      <w:lvlJc w:val="left"/>
      <w:pPr>
        <w:ind w:left="0" w:firstLine="0"/>
      </w:pPr>
      <w:rPr>
        <w:rFonts w:hint="eastAsia" w:eastAsia="黑体"/>
        <w:sz w:val="28"/>
      </w:rPr>
    </w:lvl>
    <w:lvl w:ilvl="7" w:tentative="0">
      <w:start w:val="1"/>
      <w:numFmt w:val="decimal"/>
      <w:pStyle w:val="23"/>
      <w:lvlText w:val="%1.%2.%3.%4.%5.%6.%7.%8"/>
      <w:lvlJc w:val="left"/>
      <w:pPr>
        <w:ind w:left="0" w:firstLine="0"/>
      </w:pPr>
      <w:rPr>
        <w:rFonts w:hint="eastAsia" w:eastAsia="黑体"/>
        <w:sz w:val="28"/>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210"/>
  <w:drawingGridVerticalSpacing w:val="156"/>
  <w:displayHorizontalDrawingGridEvery w:val="1"/>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iYTA1YWNmYmEwMTFhY2VkZjFmMzY2OWMzYzU2Y2UifQ=="/>
  </w:docVars>
  <w:rsids>
    <w:rsidRoot w:val="00DC4751"/>
    <w:rsid w:val="00111042"/>
    <w:rsid w:val="001157FB"/>
    <w:rsid w:val="001A0DF3"/>
    <w:rsid w:val="002540E7"/>
    <w:rsid w:val="002D0036"/>
    <w:rsid w:val="002E0C4B"/>
    <w:rsid w:val="002F7E70"/>
    <w:rsid w:val="003241BC"/>
    <w:rsid w:val="003A30F9"/>
    <w:rsid w:val="003C0B3B"/>
    <w:rsid w:val="00400E06"/>
    <w:rsid w:val="0046485D"/>
    <w:rsid w:val="00482C75"/>
    <w:rsid w:val="004E5019"/>
    <w:rsid w:val="006267D3"/>
    <w:rsid w:val="006C0EC8"/>
    <w:rsid w:val="007A32CD"/>
    <w:rsid w:val="00821E30"/>
    <w:rsid w:val="00822E73"/>
    <w:rsid w:val="0082692D"/>
    <w:rsid w:val="00880EEB"/>
    <w:rsid w:val="008D3FEB"/>
    <w:rsid w:val="0091515F"/>
    <w:rsid w:val="009328F2"/>
    <w:rsid w:val="009D2EBA"/>
    <w:rsid w:val="009F1E93"/>
    <w:rsid w:val="009F5633"/>
    <w:rsid w:val="00AE31DC"/>
    <w:rsid w:val="00B25720"/>
    <w:rsid w:val="00B277A9"/>
    <w:rsid w:val="00BF3BF5"/>
    <w:rsid w:val="00C43545"/>
    <w:rsid w:val="00CE4E7A"/>
    <w:rsid w:val="00CF1605"/>
    <w:rsid w:val="00D165DA"/>
    <w:rsid w:val="00D63C78"/>
    <w:rsid w:val="00D9438A"/>
    <w:rsid w:val="00DC0462"/>
    <w:rsid w:val="00DC4751"/>
    <w:rsid w:val="00E27C86"/>
    <w:rsid w:val="00E40434"/>
    <w:rsid w:val="00EE3F63"/>
    <w:rsid w:val="00EF03A3"/>
    <w:rsid w:val="00F026E8"/>
    <w:rsid w:val="00F7173F"/>
    <w:rsid w:val="024A793F"/>
    <w:rsid w:val="09FC27C5"/>
    <w:rsid w:val="0A2F1F54"/>
    <w:rsid w:val="13F25F1E"/>
    <w:rsid w:val="1F7425E7"/>
    <w:rsid w:val="206C021E"/>
    <w:rsid w:val="2700658E"/>
    <w:rsid w:val="2B1976F9"/>
    <w:rsid w:val="2FA051DD"/>
    <w:rsid w:val="30040028"/>
    <w:rsid w:val="31AD5583"/>
    <w:rsid w:val="367C3E43"/>
    <w:rsid w:val="37C706D1"/>
    <w:rsid w:val="4A6F3D58"/>
    <w:rsid w:val="4F6E54B1"/>
    <w:rsid w:val="5626063E"/>
    <w:rsid w:val="5A6B3D76"/>
    <w:rsid w:val="5E291FE2"/>
    <w:rsid w:val="5E853FB6"/>
    <w:rsid w:val="613A1A3F"/>
    <w:rsid w:val="65C26A99"/>
    <w:rsid w:val="67882BF4"/>
    <w:rsid w:val="69CD6C79"/>
    <w:rsid w:val="743167BE"/>
    <w:rsid w:val="79DF3B52"/>
    <w:rsid w:val="7C3A1B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customStyle="1" w:styleId="2">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styleId="3">
    <w:name w:val="Body Text Indent"/>
    <w:basedOn w:val="1"/>
    <w:link w:val="15"/>
    <w:autoRedefine/>
    <w:qFormat/>
    <w:uiPriority w:val="0"/>
    <w:pPr>
      <w:ind w:firstLine="420" w:firstLineChars="150"/>
    </w:pPr>
    <w:rPr>
      <w:rFonts w:ascii="宋体" w:hAnsi="宋体" w:eastAsia="华文中宋" w:cs="宋体"/>
      <w:sz w:val="28"/>
      <w:szCs w:val="28"/>
    </w:rPr>
  </w:style>
  <w:style w:type="paragraph" w:styleId="4">
    <w:name w:val="footer"/>
    <w:basedOn w:val="1"/>
    <w:link w:val="14"/>
    <w:autoRedefine/>
    <w:unhideWhenUsed/>
    <w:qFormat/>
    <w:uiPriority w:val="0"/>
    <w:pPr>
      <w:tabs>
        <w:tab w:val="center" w:pos="4153"/>
        <w:tab w:val="right" w:pos="8306"/>
      </w:tabs>
      <w:snapToGrid w:val="0"/>
      <w:jc w:val="left"/>
    </w:pPr>
    <w:rPr>
      <w:sz w:val="18"/>
      <w:szCs w:val="18"/>
    </w:rPr>
  </w:style>
  <w:style w:type="paragraph" w:styleId="5">
    <w:name w:val="header"/>
    <w:basedOn w:val="1"/>
    <w:link w:val="13"/>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autoRedefine/>
    <w:qFormat/>
    <w:uiPriority w:val="22"/>
    <w:rPr>
      <w:rFonts w:cs="Times New Roman"/>
      <w:b/>
      <w:bCs/>
    </w:rPr>
  </w:style>
  <w:style w:type="character" w:styleId="10">
    <w:name w:val="page number"/>
    <w:basedOn w:val="8"/>
    <w:autoRedefine/>
    <w:qFormat/>
    <w:uiPriority w:val="0"/>
  </w:style>
  <w:style w:type="paragraph" w:customStyle="1" w:styleId="11">
    <w:name w:val="列出段落1"/>
    <w:basedOn w:val="1"/>
    <w:autoRedefine/>
    <w:qFormat/>
    <w:uiPriority w:val="0"/>
    <w:pPr>
      <w:ind w:firstLine="420" w:firstLineChars="200"/>
    </w:pPr>
    <w:rPr>
      <w:rFonts w:ascii="Times New Roman" w:hAnsi="Times New Roman"/>
      <w:szCs w:val="21"/>
    </w:rPr>
  </w:style>
  <w:style w:type="paragraph" w:customStyle="1" w:styleId="12">
    <w:name w:val="列出段落2"/>
    <w:basedOn w:val="1"/>
    <w:autoRedefine/>
    <w:qFormat/>
    <w:uiPriority w:val="0"/>
    <w:pPr>
      <w:ind w:firstLine="420" w:firstLineChars="200"/>
    </w:pPr>
  </w:style>
  <w:style w:type="character" w:customStyle="1" w:styleId="13">
    <w:name w:val="页眉 Char"/>
    <w:basedOn w:val="8"/>
    <w:link w:val="5"/>
    <w:autoRedefine/>
    <w:semiHidden/>
    <w:qFormat/>
    <w:uiPriority w:val="99"/>
    <w:rPr>
      <w:sz w:val="18"/>
      <w:szCs w:val="18"/>
    </w:rPr>
  </w:style>
  <w:style w:type="character" w:customStyle="1" w:styleId="14">
    <w:name w:val="页脚 Char"/>
    <w:basedOn w:val="8"/>
    <w:link w:val="4"/>
    <w:autoRedefine/>
    <w:qFormat/>
    <w:uiPriority w:val="0"/>
    <w:rPr>
      <w:sz w:val="18"/>
      <w:szCs w:val="18"/>
    </w:rPr>
  </w:style>
  <w:style w:type="character" w:customStyle="1" w:styleId="15">
    <w:name w:val="正文文本缩进 Char"/>
    <w:basedOn w:val="8"/>
    <w:link w:val="3"/>
    <w:autoRedefine/>
    <w:qFormat/>
    <w:uiPriority w:val="0"/>
    <w:rPr>
      <w:rFonts w:ascii="宋体" w:hAnsi="宋体" w:eastAsia="华文中宋" w:cs="宋体"/>
      <w:sz w:val="28"/>
      <w:szCs w:val="28"/>
    </w:rPr>
  </w:style>
  <w:style w:type="paragraph" w:customStyle="1" w:styleId="16">
    <w:name w:val="wxp标题2"/>
    <w:basedOn w:val="1"/>
    <w:link w:val="17"/>
    <w:autoRedefine/>
    <w:qFormat/>
    <w:uiPriority w:val="0"/>
    <w:pPr>
      <w:widowControl/>
      <w:numPr>
        <w:ilvl w:val="1"/>
        <w:numId w:val="1"/>
      </w:numPr>
      <w:spacing w:line="360" w:lineRule="auto"/>
      <w:jc w:val="left"/>
      <w:outlineLvl w:val="1"/>
    </w:pPr>
    <w:rPr>
      <w:rFonts w:ascii="宋体" w:hAnsi="宋体" w:cstheme="minorBidi"/>
      <w:b/>
      <w:sz w:val="28"/>
    </w:rPr>
  </w:style>
  <w:style w:type="character" w:customStyle="1" w:styleId="17">
    <w:name w:val="wxp标题2 字符"/>
    <w:basedOn w:val="8"/>
    <w:link w:val="16"/>
    <w:autoRedefine/>
    <w:qFormat/>
    <w:uiPriority w:val="0"/>
    <w:rPr>
      <w:rFonts w:ascii="宋体" w:hAnsi="宋体" w:cstheme="minorBidi"/>
      <w:b/>
      <w:kern w:val="2"/>
      <w:sz w:val="28"/>
      <w:szCs w:val="22"/>
    </w:rPr>
  </w:style>
  <w:style w:type="paragraph" w:customStyle="1" w:styleId="18">
    <w:name w:val="wxp标题3"/>
    <w:basedOn w:val="16"/>
    <w:autoRedefine/>
    <w:qFormat/>
    <w:uiPriority w:val="0"/>
    <w:pPr>
      <w:numPr>
        <w:ilvl w:val="2"/>
      </w:numPr>
      <w:adjustRightInd w:val="0"/>
      <w:ind w:left="0"/>
      <w:outlineLvl w:val="2"/>
    </w:pPr>
    <w:rPr>
      <w:szCs w:val="28"/>
    </w:rPr>
  </w:style>
  <w:style w:type="paragraph" w:customStyle="1" w:styleId="19">
    <w:name w:val="wxp标题4"/>
    <w:basedOn w:val="1"/>
    <w:autoRedefine/>
    <w:qFormat/>
    <w:uiPriority w:val="0"/>
    <w:pPr>
      <w:widowControl/>
      <w:numPr>
        <w:ilvl w:val="3"/>
        <w:numId w:val="1"/>
      </w:numPr>
      <w:spacing w:line="360" w:lineRule="auto"/>
      <w:jc w:val="left"/>
      <w:outlineLvl w:val="3"/>
    </w:pPr>
    <w:rPr>
      <w:rFonts w:ascii="宋体" w:hAnsi="宋体" w:cstheme="minorBidi"/>
      <w:b/>
      <w:sz w:val="24"/>
      <w:szCs w:val="28"/>
    </w:rPr>
  </w:style>
  <w:style w:type="paragraph" w:customStyle="1" w:styleId="20">
    <w:name w:val="wxp标题5"/>
    <w:basedOn w:val="1"/>
    <w:autoRedefine/>
    <w:qFormat/>
    <w:uiPriority w:val="0"/>
    <w:pPr>
      <w:widowControl/>
      <w:numPr>
        <w:ilvl w:val="4"/>
        <w:numId w:val="1"/>
      </w:numPr>
      <w:spacing w:line="360" w:lineRule="auto"/>
      <w:jc w:val="left"/>
      <w:outlineLvl w:val="4"/>
    </w:pPr>
    <w:rPr>
      <w:rFonts w:ascii="宋体" w:hAnsi="宋体" w:cstheme="minorBidi"/>
      <w:b/>
    </w:rPr>
  </w:style>
  <w:style w:type="paragraph" w:customStyle="1" w:styleId="21">
    <w:name w:val="wxp标题6"/>
    <w:basedOn w:val="20"/>
    <w:autoRedefine/>
    <w:qFormat/>
    <w:uiPriority w:val="0"/>
    <w:pPr>
      <w:numPr>
        <w:ilvl w:val="5"/>
      </w:numPr>
      <w:outlineLvl w:val="5"/>
    </w:pPr>
  </w:style>
  <w:style w:type="paragraph" w:customStyle="1" w:styleId="22">
    <w:name w:val="wxp标题7"/>
    <w:basedOn w:val="21"/>
    <w:autoRedefine/>
    <w:qFormat/>
    <w:uiPriority w:val="0"/>
    <w:pPr>
      <w:numPr>
        <w:ilvl w:val="6"/>
      </w:numPr>
      <w:outlineLvl w:val="6"/>
    </w:pPr>
  </w:style>
  <w:style w:type="paragraph" w:customStyle="1" w:styleId="23">
    <w:name w:val="wxp标题8"/>
    <w:basedOn w:val="22"/>
    <w:autoRedefine/>
    <w:qFormat/>
    <w:uiPriority w:val="0"/>
    <w:pPr>
      <w:numPr>
        <w:ilvl w:val="7"/>
      </w:numPr>
      <w:outlineLvl w:val="7"/>
    </w:pPr>
  </w:style>
  <w:style w:type="character" w:customStyle="1" w:styleId="24">
    <w:name w:val="16"/>
    <w:basedOn w:val="8"/>
    <w:autoRedefine/>
    <w:qFormat/>
    <w:uiPriority w:val="0"/>
  </w:style>
  <w:style w:type="paragraph" w:styleId="25">
    <w:name w:val="List Paragraph"/>
    <w:basedOn w:val="1"/>
    <w:autoRedefine/>
    <w:unhideWhenUsed/>
    <w:qFormat/>
    <w:uiPriority w:val="99"/>
    <w:pPr>
      <w:spacing w:line="324" w:lineRule="auto"/>
      <w:ind w:firstLine="420" w:firstLineChars="200"/>
    </w:pPr>
    <w:rPr>
      <w:rFonts w:ascii="Times New Roman" w:hAnsi="Times New Roman"/>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3257</Words>
  <Characters>3531</Characters>
  <Lines>24</Lines>
  <Paragraphs>6</Paragraphs>
  <TotalTime>24</TotalTime>
  <ScaleCrop>false</ScaleCrop>
  <LinksUpToDate>false</LinksUpToDate>
  <CharactersWithSpaces>3681</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2017-07-13T00:37:00Z</dcterms:created>
  <dc:creator>acer</dc:creator>
  <cp:lastModifiedBy>WPS_1683679694</cp:lastModifiedBy>
  <cp:lastPrinted>2024-08-22T08:31:00Z</cp:lastPrinted>
  <dcterms:modified xsi:type="dcterms:W3CDTF">2024-08-22T08:37:35Z</dcterms:modified>
  <dc:title>铜陵学院《学生管理手册》和《助学贷款办理指南》材料印制项目</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39C9608A245D47E29C73406CBAD920E2_13</vt:lpwstr>
  </property>
</Properties>
</file>