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rPr>
          <w:rFonts w:hint="eastAsia" w:ascii="宋体" w:hAnsi="宋体" w:eastAsia="宋体" w:cs="宋体"/>
          <w:b/>
          <w:color w:val="auto"/>
          <w:sz w:val="52"/>
          <w:szCs w:val="52"/>
          <w:highlight w:val="none"/>
        </w:rPr>
      </w:pPr>
      <w:bookmarkStart w:id="0" w:name="_Toc77400779"/>
      <w:bookmarkStart w:id="1" w:name="_Toc89075875"/>
      <w:bookmarkStart w:id="2" w:name="_Toc217446038"/>
      <w:bookmarkStart w:id="3" w:name="_Toc183582209"/>
      <w:bookmarkStart w:id="4" w:name="_Toc183682346"/>
    </w:p>
    <w:p>
      <w:pPr>
        <w:pStyle w:val="36"/>
        <w:wordWrap w:val="0"/>
        <w:spacing w:line="60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2023年铜陵学院消防演练培训服务项目</w:t>
      </w:r>
    </w:p>
    <w:p>
      <w:pPr>
        <w:pStyle w:val="36"/>
        <w:wordWrap w:val="0"/>
        <w:spacing w:line="600" w:lineRule="auto"/>
        <w:jc w:val="center"/>
        <w:rPr>
          <w:rFonts w:hint="eastAsia" w:hAnsi="宋体" w:eastAsia="宋体" w:cs="宋体"/>
          <w:b/>
          <w:color w:val="auto"/>
          <w:sz w:val="44"/>
          <w:szCs w:val="44"/>
          <w:highlight w:val="none"/>
          <w:lang w:eastAsia="zh-CN"/>
        </w:rPr>
      </w:pPr>
    </w:p>
    <w:p>
      <w:pPr>
        <w:pStyle w:val="36"/>
        <w:wordWrap w:val="0"/>
        <w:spacing w:line="600" w:lineRule="auto"/>
        <w:jc w:val="center"/>
        <w:rPr>
          <w:rFonts w:hint="eastAsia" w:ascii="宋体" w:hAnsi="宋体" w:eastAsia="宋体" w:cs="宋体"/>
          <w:b/>
          <w:color w:val="auto"/>
          <w:sz w:val="44"/>
          <w:szCs w:val="44"/>
          <w:highlight w:val="none"/>
        </w:rPr>
      </w:pPr>
      <w:r>
        <w:rPr>
          <w:rFonts w:hint="eastAsia" w:hAnsi="宋体" w:eastAsia="宋体" w:cs="宋体"/>
          <w:b/>
          <w:color w:val="auto"/>
          <w:sz w:val="44"/>
          <w:szCs w:val="44"/>
          <w:highlight w:val="none"/>
          <w:lang w:eastAsia="zh-CN"/>
        </w:rPr>
        <w:t>市场比选</w:t>
      </w:r>
      <w:r>
        <w:rPr>
          <w:rFonts w:hint="eastAsia" w:ascii="宋体" w:hAnsi="宋体" w:eastAsia="宋体" w:cs="宋体"/>
          <w:b/>
          <w:color w:val="auto"/>
          <w:sz w:val="44"/>
          <w:szCs w:val="44"/>
          <w:highlight w:val="none"/>
        </w:rPr>
        <w:t>文件</w:t>
      </w:r>
    </w:p>
    <w:p>
      <w:pPr>
        <w:pStyle w:val="36"/>
        <w:wordWrap w:val="0"/>
        <w:spacing w:line="360" w:lineRule="auto"/>
        <w:jc w:val="center"/>
        <w:rPr>
          <w:rFonts w:hint="eastAsia" w:ascii="宋体" w:hAnsi="宋体" w:eastAsia="宋体" w:cs="宋体"/>
          <w:b/>
          <w:color w:val="auto"/>
          <w:szCs w:val="28"/>
          <w:highlight w:val="none"/>
        </w:rPr>
      </w:pPr>
    </w:p>
    <w:p>
      <w:pPr>
        <w:pStyle w:val="36"/>
        <w:spacing w:line="360" w:lineRule="auto"/>
        <w:ind w:firstLine="2249" w:firstLineChars="800"/>
        <w:jc w:val="left"/>
        <w:rPr>
          <w:rFonts w:hint="eastAsia" w:ascii="宋体" w:hAnsi="宋体" w:eastAsia="宋体" w:cs="宋体"/>
          <w:b/>
          <w:color w:val="auto"/>
          <w:szCs w:val="28"/>
          <w:highlight w:val="none"/>
          <w:u w:val="none"/>
          <w:lang w:eastAsia="zh-CN"/>
        </w:rPr>
      </w:pPr>
      <w:r>
        <w:rPr>
          <w:rFonts w:hint="eastAsia" w:ascii="宋体" w:hAnsi="宋体" w:eastAsia="宋体" w:cs="宋体"/>
          <w:b/>
          <w:color w:val="auto"/>
          <w:szCs w:val="28"/>
          <w:highlight w:val="none"/>
          <w:u w:val="none"/>
        </w:rPr>
        <w:t>项目编号：</w:t>
      </w:r>
      <w:r>
        <w:rPr>
          <w:rFonts w:hint="eastAsia" w:hAnsi="宋体" w:eastAsia="宋体" w:cs="宋体"/>
          <w:b/>
          <w:color w:val="auto"/>
          <w:szCs w:val="28"/>
          <w:highlight w:val="none"/>
          <w:u w:val="none"/>
          <w:lang w:val="en-US" w:eastAsia="zh-CN"/>
        </w:rPr>
        <w:t>tlxyzb</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eastAsia="zh-CN"/>
        </w:rPr>
        <w:t>2023</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val="en-US" w:eastAsia="zh-CN"/>
        </w:rPr>
        <w:t>93</w:t>
      </w:r>
      <w:r>
        <w:rPr>
          <w:rFonts w:hint="eastAsia" w:hAnsi="宋体" w:eastAsia="宋体" w:cs="宋体"/>
          <w:b/>
          <w:color w:val="auto"/>
          <w:szCs w:val="28"/>
          <w:highlight w:val="none"/>
          <w:u w:val="none"/>
          <w:lang w:eastAsia="zh-CN"/>
        </w:rPr>
        <w:t>号</w:t>
      </w: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tbl>
      <w:tblPr>
        <w:tblStyle w:val="21"/>
        <w:tblW w:w="9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4"/>
        <w:gridCol w:w="484"/>
        <w:gridCol w:w="5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6"/>
              <w:wordWrap w:val="0"/>
              <w:spacing w:line="360" w:lineRule="auto"/>
              <w:jc w:val="distribute"/>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采购人</w:t>
            </w:r>
          </w:p>
        </w:tc>
        <w:tc>
          <w:tcPr>
            <w:tcW w:w="484" w:type="dxa"/>
            <w:vAlign w:val="center"/>
          </w:tcPr>
          <w:p>
            <w:pPr>
              <w:pStyle w:val="36"/>
              <w:wordWrap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pacing w:val="60"/>
                <w:szCs w:val="28"/>
                <w:highlight w:val="none"/>
              </w:rPr>
              <w:t>：</w:t>
            </w:r>
          </w:p>
        </w:tc>
        <w:tc>
          <w:tcPr>
            <w:tcW w:w="5834" w:type="dxa"/>
            <w:vAlign w:val="center"/>
          </w:tcPr>
          <w:p>
            <w:pPr>
              <w:pStyle w:val="36"/>
              <w:wordWrap w:val="0"/>
              <w:spacing w:line="360" w:lineRule="auto"/>
              <w:jc w:val="center"/>
              <w:rPr>
                <w:rFonts w:hint="eastAsia" w:ascii="宋体" w:hAnsi="宋体" w:eastAsia="宋体" w:cs="宋体"/>
                <w:b/>
                <w:color w:val="auto"/>
                <w:szCs w:val="28"/>
                <w:highlight w:val="none"/>
              </w:rPr>
            </w:pPr>
            <w:r>
              <w:rPr>
                <w:rFonts w:hint="eastAsia" w:hAnsi="宋体" w:eastAsia="宋体" w:cs="宋体"/>
                <w:b/>
                <w:bCs/>
                <w:color w:val="auto"/>
                <w:szCs w:val="28"/>
                <w:highlight w:val="none"/>
                <w:lang w:eastAsia="zh-CN"/>
              </w:rPr>
              <w:t>铜陵学院</w:t>
            </w:r>
            <w:r>
              <w:rPr>
                <w:rFonts w:hint="eastAsia" w:ascii="宋体" w:hAnsi="宋体" w:eastAsia="宋体" w:cs="宋体"/>
                <w:b/>
                <w:bCs/>
                <w:color w:val="auto"/>
                <w:szCs w:val="28"/>
                <w:highlight w:val="none"/>
              </w:rPr>
              <w:t>（盖章</w:t>
            </w:r>
            <w:r>
              <w:rPr>
                <w:rFonts w:hint="eastAsia" w:ascii="宋体" w:hAnsi="宋体" w:eastAsia="宋体" w:cs="宋体"/>
                <w:b/>
                <w:color w:val="auto"/>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6"/>
              <w:wordWrap w:val="0"/>
              <w:spacing w:line="360" w:lineRule="auto"/>
              <w:jc w:val="distribute"/>
              <w:rPr>
                <w:rFonts w:hint="eastAsia" w:ascii="宋体" w:hAnsi="宋体" w:eastAsia="宋体" w:cs="宋体"/>
                <w:b/>
                <w:color w:val="auto"/>
                <w:spacing w:val="60"/>
                <w:szCs w:val="28"/>
                <w:highlight w:val="none"/>
              </w:rPr>
            </w:pPr>
            <w:r>
              <w:rPr>
                <w:rFonts w:hint="eastAsia" w:ascii="宋体" w:hAnsi="宋体" w:eastAsia="宋体" w:cs="宋体"/>
                <w:b/>
                <w:color w:val="auto"/>
                <w:spacing w:val="60"/>
                <w:szCs w:val="28"/>
                <w:highlight w:val="none"/>
              </w:rPr>
              <w:t>日期</w:t>
            </w:r>
          </w:p>
        </w:tc>
        <w:tc>
          <w:tcPr>
            <w:tcW w:w="484" w:type="dxa"/>
            <w:vAlign w:val="center"/>
          </w:tcPr>
          <w:p>
            <w:pPr>
              <w:pStyle w:val="36"/>
              <w:wordWrap w:val="0"/>
              <w:spacing w:line="360" w:lineRule="auto"/>
              <w:jc w:val="center"/>
              <w:rPr>
                <w:rFonts w:hint="eastAsia" w:ascii="宋体" w:hAnsi="宋体" w:eastAsia="宋体" w:cs="宋体"/>
                <w:b/>
                <w:color w:val="auto"/>
                <w:spacing w:val="-20"/>
                <w:szCs w:val="28"/>
                <w:highlight w:val="none"/>
              </w:rPr>
            </w:pPr>
            <w:r>
              <w:rPr>
                <w:rFonts w:hint="eastAsia" w:ascii="宋体" w:hAnsi="宋体" w:eastAsia="宋体" w:cs="宋体"/>
                <w:b/>
                <w:color w:val="auto"/>
                <w:spacing w:val="-20"/>
                <w:szCs w:val="28"/>
                <w:highlight w:val="none"/>
              </w:rPr>
              <w:t>：</w:t>
            </w:r>
          </w:p>
        </w:tc>
        <w:tc>
          <w:tcPr>
            <w:tcW w:w="5834" w:type="dxa"/>
            <w:vAlign w:val="center"/>
          </w:tcPr>
          <w:p>
            <w:pPr>
              <w:pStyle w:val="36"/>
              <w:wordWrap w:val="0"/>
              <w:spacing w:line="360" w:lineRule="auto"/>
              <w:jc w:val="center"/>
              <w:rPr>
                <w:rFonts w:hint="eastAsia" w:ascii="宋体" w:hAnsi="宋体" w:eastAsia="宋体" w:cs="宋体"/>
                <w:b/>
                <w:bCs/>
                <w:color w:val="auto"/>
                <w:szCs w:val="28"/>
                <w:highlight w:val="none"/>
              </w:rPr>
            </w:pPr>
            <w:r>
              <w:rPr>
                <w:rFonts w:hint="eastAsia" w:hAnsi="宋体" w:eastAsia="宋体" w:cs="宋体"/>
                <w:b/>
                <w:bCs/>
                <w:color w:val="auto"/>
                <w:szCs w:val="28"/>
                <w:highlight w:val="none"/>
                <w:lang w:eastAsia="zh-CN"/>
              </w:rPr>
              <w:t>2023</w:t>
            </w:r>
            <w:r>
              <w:rPr>
                <w:rFonts w:hint="eastAsia" w:ascii="宋体" w:hAnsi="宋体" w:eastAsia="宋体" w:cs="宋体"/>
                <w:b/>
                <w:bCs/>
                <w:color w:val="auto"/>
                <w:szCs w:val="28"/>
                <w:highlight w:val="none"/>
              </w:rPr>
              <w:t>年</w:t>
            </w:r>
            <w:r>
              <w:rPr>
                <w:rFonts w:hint="eastAsia" w:hAnsi="宋体" w:eastAsia="宋体" w:cs="宋体"/>
                <w:b/>
                <w:bCs/>
                <w:color w:val="auto"/>
                <w:szCs w:val="28"/>
                <w:highlight w:val="none"/>
                <w:lang w:val="en-US" w:eastAsia="zh-CN"/>
              </w:rPr>
              <w:t>10</w:t>
            </w:r>
            <w:r>
              <w:rPr>
                <w:rFonts w:hint="eastAsia" w:ascii="宋体" w:hAnsi="宋体" w:eastAsia="宋体" w:cs="宋体"/>
                <w:b/>
                <w:bCs/>
                <w:color w:val="auto"/>
                <w:szCs w:val="28"/>
                <w:highlight w:val="none"/>
                <w:lang w:val="en-US" w:eastAsia="zh-CN"/>
              </w:rPr>
              <w:t>月</w:t>
            </w:r>
          </w:p>
        </w:tc>
      </w:tr>
    </w:tbl>
    <w:p>
      <w:pPr>
        <w:pStyle w:val="36"/>
        <w:spacing w:line="360" w:lineRule="auto"/>
        <w:jc w:val="both"/>
        <w:rPr>
          <w:rFonts w:hint="eastAsia" w:ascii="宋体" w:hAnsi="宋体" w:eastAsia="宋体" w:cs="宋体"/>
          <w:color w:val="auto"/>
          <w:szCs w:val="28"/>
          <w:highlight w:val="none"/>
        </w:rPr>
      </w:pPr>
    </w:p>
    <w:p>
      <w:pPr>
        <w:pStyle w:val="36"/>
        <w:spacing w:line="360" w:lineRule="auto"/>
        <w:jc w:val="both"/>
        <w:rPr>
          <w:rFonts w:hint="eastAsia" w:ascii="宋体" w:hAnsi="宋体" w:eastAsia="宋体" w:cs="宋体"/>
          <w:color w:val="auto"/>
          <w:szCs w:val="28"/>
          <w:highlight w:val="none"/>
        </w:rPr>
      </w:pPr>
    </w:p>
    <w:p>
      <w:pPr>
        <w:pStyle w:val="36"/>
        <w:spacing w:line="360" w:lineRule="auto"/>
        <w:jc w:val="both"/>
        <w:rPr>
          <w:rFonts w:hint="eastAsia" w:ascii="宋体" w:hAnsi="宋体" w:eastAsia="宋体" w:cs="宋体"/>
          <w:color w:val="auto"/>
          <w:szCs w:val="28"/>
          <w:highlight w:val="none"/>
        </w:rPr>
      </w:pPr>
    </w:p>
    <w:p>
      <w:pPr>
        <w:pStyle w:val="36"/>
        <w:spacing w:line="360" w:lineRule="auto"/>
        <w:jc w:val="both"/>
        <w:rPr>
          <w:rFonts w:hint="eastAsia" w:ascii="宋体" w:hAnsi="宋体" w:eastAsia="宋体" w:cs="宋体"/>
          <w:color w:val="auto"/>
          <w:szCs w:val="28"/>
          <w:highlight w:val="none"/>
        </w:rPr>
      </w:pPr>
    </w:p>
    <w:p>
      <w:pPr>
        <w:pStyle w:val="36"/>
        <w:spacing w:line="360" w:lineRule="auto"/>
        <w:jc w:val="center"/>
        <w:rPr>
          <w:rFonts w:hint="eastAsia" w:ascii="宋体" w:hAnsi="宋体" w:eastAsia="宋体" w:cs="宋体"/>
          <w:b/>
          <w:color w:val="auto"/>
          <w:kern w:val="44"/>
          <w:szCs w:val="28"/>
          <w:highlight w:val="none"/>
        </w:rPr>
      </w:pPr>
      <w:r>
        <w:rPr>
          <w:rFonts w:hint="eastAsia" w:ascii="宋体" w:hAnsi="宋体" w:eastAsia="宋体" w:cs="宋体"/>
          <w:b/>
          <w:color w:val="auto"/>
          <w:kern w:val="44"/>
          <w:sz w:val="36"/>
          <w:szCs w:val="36"/>
          <w:highlight w:val="none"/>
        </w:rPr>
        <w:t>目    录</w:t>
      </w:r>
    </w:p>
    <w:p>
      <w:pPr>
        <w:pStyle w:val="36"/>
        <w:spacing w:line="360" w:lineRule="auto"/>
        <w:jc w:val="center"/>
        <w:rPr>
          <w:rFonts w:hint="eastAsia" w:ascii="宋体" w:hAnsi="宋体" w:eastAsia="宋体" w:cs="宋体"/>
          <w:b/>
          <w:color w:val="auto"/>
          <w:kern w:val="44"/>
          <w:szCs w:val="28"/>
          <w:highlight w:val="none"/>
        </w:rPr>
      </w:pPr>
    </w:p>
    <w:p>
      <w:pPr>
        <w:pStyle w:val="36"/>
        <w:numPr>
          <w:ilvl w:val="0"/>
          <w:numId w:val="1"/>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hAnsi="宋体" w:eastAsia="宋体" w:cs="宋体"/>
          <w:color w:val="auto"/>
          <w:sz w:val="28"/>
          <w:szCs w:val="28"/>
          <w:highlight w:val="none"/>
          <w:lang w:eastAsia="zh-CN"/>
        </w:rPr>
        <w:t>市场比选</w:t>
      </w:r>
      <w:r>
        <w:rPr>
          <w:rFonts w:hint="eastAsia" w:ascii="宋体" w:hAnsi="宋体" w:eastAsia="宋体" w:cs="宋体"/>
          <w:color w:val="auto"/>
          <w:sz w:val="28"/>
          <w:szCs w:val="28"/>
          <w:highlight w:val="none"/>
          <w:lang w:eastAsia="zh-CN"/>
        </w:rPr>
        <w:t>公告</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响应供应商须知前附表</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第三章  响应供应商须知</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（一）总则</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w:t>
      </w:r>
      <w:r>
        <w:rPr>
          <w:rFonts w:hint="eastAsia" w:ascii="宋体" w:hAnsi="宋体" w:cs="宋体"/>
          <w:color w:val="auto"/>
          <w:sz w:val="28"/>
          <w:szCs w:val="28"/>
          <w:highlight w:val="none"/>
          <w:lang w:eastAsia="zh-CN"/>
        </w:rPr>
        <w:t>市场比选</w:t>
      </w:r>
      <w:r>
        <w:rPr>
          <w:rFonts w:hint="eastAsia" w:ascii="宋体" w:hAnsi="宋体" w:eastAsia="宋体" w:cs="宋体"/>
          <w:color w:val="auto"/>
          <w:sz w:val="28"/>
          <w:szCs w:val="28"/>
          <w:highlight w:val="none"/>
        </w:rPr>
        <w:t>文件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（三）响应供应商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（四）响应文件的编制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（五）响应文件的递交</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（六）开标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（七）评标定标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（八）废标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（九）评标办法</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（十）合同的签订、履行及验收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第四章  项目需求</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第五章  采购合同</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第六章 </w:t>
      </w:r>
      <w:r>
        <w:rPr>
          <w:rFonts w:hint="eastAsia" w:ascii="宋体" w:hAnsi="宋体" w:cs="宋体"/>
          <w:color w:val="auto"/>
          <w:sz w:val="28"/>
          <w:szCs w:val="28"/>
          <w:highlight w:val="none"/>
          <w:lang w:eastAsia="zh-CN"/>
        </w:rPr>
        <w:t>市场比选</w:t>
      </w:r>
      <w:r>
        <w:rPr>
          <w:rFonts w:hint="eastAsia" w:ascii="宋体" w:hAnsi="宋体" w:eastAsia="宋体" w:cs="宋体"/>
          <w:color w:val="auto"/>
          <w:sz w:val="28"/>
          <w:szCs w:val="28"/>
          <w:highlight w:val="none"/>
        </w:rPr>
        <w:t>文件格式</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（一）资格、技术商务部分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（二）报价部分</w:t>
      </w:r>
    </w:p>
    <w:p>
      <w:pPr>
        <w:spacing w:line="360" w:lineRule="auto"/>
        <w:rPr>
          <w:rFonts w:hint="eastAsia" w:ascii="宋体" w:hAnsi="宋体" w:eastAsia="宋体" w:cs="宋体"/>
          <w:color w:val="auto"/>
          <w:sz w:val="28"/>
          <w:szCs w:val="28"/>
          <w:highlight w:val="none"/>
        </w:rPr>
      </w:pPr>
    </w:p>
    <w:p>
      <w:pPr>
        <w:pStyle w:val="3"/>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第一章 </w:t>
      </w:r>
      <w:r>
        <w:rPr>
          <w:rFonts w:hint="eastAsia" w:ascii="宋体" w:hAnsi="宋体" w:eastAsia="宋体" w:cs="宋体"/>
          <w:color w:val="auto"/>
          <w:highlight w:val="none"/>
          <w:lang w:eastAsia="zh-CN"/>
        </w:rPr>
        <w:t>市场比选公告</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一、项目基本情况</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1.项目编号：</w:t>
      </w:r>
      <w:r>
        <w:rPr>
          <w:rFonts w:hint="eastAsia" w:ascii="宋体" w:hAnsi="宋体" w:cs="宋体"/>
          <w:color w:val="auto"/>
          <w:kern w:val="0"/>
          <w:sz w:val="24"/>
          <w:szCs w:val="24"/>
          <w:highlight w:val="none"/>
          <w:lang w:val="en-US" w:eastAsia="zh-CN"/>
        </w:rPr>
        <w:t>tlxyzb</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2023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93</w:t>
      </w:r>
      <w:r>
        <w:rPr>
          <w:rFonts w:hint="eastAsia" w:ascii="宋体" w:hAnsi="宋体" w:eastAsia="宋体" w:cs="宋体"/>
          <w:color w:val="auto"/>
          <w:kern w:val="0"/>
          <w:sz w:val="24"/>
          <w:szCs w:val="24"/>
          <w:highlight w:val="none"/>
          <w:lang w:val="en-US" w:eastAsia="zh-CN"/>
        </w:rPr>
        <w:t xml:space="preserve">号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2.项目名称</w:t>
      </w:r>
      <w:r>
        <w:rPr>
          <w:rFonts w:hint="eastAsia" w:ascii="宋体" w:hAnsi="宋体" w:cs="宋体"/>
          <w:color w:val="auto"/>
          <w:kern w:val="0"/>
          <w:sz w:val="24"/>
          <w:szCs w:val="24"/>
          <w:highlight w:val="none"/>
          <w:lang w:val="en-US" w:eastAsia="zh-CN"/>
        </w:rPr>
        <w:t>：2023年铜陵学院消防演练培训服务采购</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3.采购方式：</w:t>
      </w:r>
      <w:r>
        <w:rPr>
          <w:rFonts w:hint="eastAsia" w:ascii="宋体" w:hAnsi="宋体" w:cs="宋体"/>
          <w:color w:val="auto"/>
          <w:kern w:val="0"/>
          <w:sz w:val="24"/>
          <w:szCs w:val="24"/>
          <w:highlight w:val="none"/>
          <w:lang w:val="en-US" w:eastAsia="zh-CN"/>
        </w:rPr>
        <w:t>市场比选</w:t>
      </w:r>
      <w:r>
        <w:rPr>
          <w:rFonts w:hint="eastAsia" w:ascii="宋体" w:hAnsi="宋体" w:eastAsia="宋体" w:cs="宋体"/>
          <w:color w:val="auto"/>
          <w:kern w:val="0"/>
          <w:sz w:val="24"/>
          <w:szCs w:val="24"/>
          <w:highlight w:val="none"/>
          <w:lang w:val="en-US" w:eastAsia="zh-CN"/>
        </w:rPr>
        <w:t xml:space="preserve">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4.预算金额：</w:t>
      </w:r>
      <w:r>
        <w:rPr>
          <w:rFonts w:hint="eastAsia" w:ascii="宋体" w:hAnsi="宋体" w:cs="宋体"/>
          <w:color w:val="auto"/>
          <w:kern w:val="0"/>
          <w:sz w:val="24"/>
          <w:szCs w:val="24"/>
          <w:highlight w:val="none"/>
          <w:lang w:val="en-US" w:eastAsia="zh-CN"/>
        </w:rPr>
        <w:t>4万</w:t>
      </w:r>
      <w:r>
        <w:rPr>
          <w:rFonts w:hint="eastAsia" w:ascii="宋体" w:hAnsi="宋体" w:eastAsia="宋体" w:cs="宋体"/>
          <w:color w:val="auto"/>
          <w:kern w:val="0"/>
          <w:sz w:val="24"/>
          <w:szCs w:val="24"/>
          <w:highlight w:val="none"/>
          <w:lang w:val="en-US" w:eastAsia="zh-CN"/>
        </w:rPr>
        <w:t>元</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5.最高限价：</w:t>
      </w:r>
      <w:r>
        <w:rPr>
          <w:rFonts w:hint="eastAsia" w:ascii="宋体" w:hAnsi="宋体" w:cs="宋体"/>
          <w:color w:val="auto"/>
          <w:kern w:val="0"/>
          <w:sz w:val="24"/>
          <w:szCs w:val="24"/>
          <w:highlight w:val="none"/>
          <w:lang w:val="en-US" w:eastAsia="zh-CN"/>
        </w:rPr>
        <w:t>4万</w:t>
      </w:r>
      <w:r>
        <w:rPr>
          <w:rFonts w:hint="eastAsia" w:ascii="宋体" w:hAnsi="宋体" w:eastAsia="宋体" w:cs="宋体"/>
          <w:color w:val="auto"/>
          <w:kern w:val="0"/>
          <w:sz w:val="24"/>
          <w:szCs w:val="24"/>
          <w:highlight w:val="none"/>
          <w:lang w:val="en-US" w:eastAsia="zh-CN"/>
        </w:rPr>
        <w:t>元</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r>
        <w:rPr>
          <w:rFonts w:hint="eastAsia" w:ascii="宋体" w:hAnsi="宋体" w:cs="宋体"/>
          <w:color w:val="auto"/>
          <w:kern w:val="0"/>
          <w:sz w:val="24"/>
          <w:szCs w:val="24"/>
          <w:highlight w:val="none"/>
          <w:lang w:val="en-US" w:eastAsia="zh-CN"/>
        </w:rPr>
        <w:t>培训内容</w:t>
      </w:r>
      <w:r>
        <w:rPr>
          <w:rFonts w:hint="eastAsia" w:ascii="宋体" w:hAnsi="宋体" w:eastAsia="宋体" w:cs="宋体"/>
          <w:color w:val="auto"/>
          <w:kern w:val="0"/>
          <w:sz w:val="24"/>
          <w:szCs w:val="24"/>
          <w:highlight w:val="none"/>
          <w:lang w:val="en-US" w:eastAsia="zh-CN"/>
        </w:rPr>
        <w:t>：</w:t>
      </w:r>
    </w:p>
    <w:tbl>
      <w:tblPr>
        <w:tblStyle w:val="155"/>
        <w:tblpPr w:leftFromText="180" w:rightFromText="180" w:vertAnchor="page" w:horzAnchor="page" w:tblpX="1350" w:tblpY="5956"/>
        <w:tblW w:w="95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6"/>
        <w:gridCol w:w="1548"/>
        <w:gridCol w:w="6084"/>
        <w:gridCol w:w="12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86" w:type="dxa"/>
            <w:noWrap w:val="0"/>
            <w:vAlign w:val="center"/>
          </w:tcPr>
          <w:p>
            <w:pPr>
              <w:autoSpaceDE w:val="0"/>
              <w:autoSpaceDN w:val="0"/>
              <w:spacing w:before="183"/>
              <w:ind w:left="139" w:right="127"/>
              <w:jc w:val="center"/>
              <w:rPr>
                <w:rFonts w:ascii="宋体" w:hAnsi="宋体" w:eastAsia="宋体" w:cs="宋体"/>
                <w:kern w:val="0"/>
                <w:sz w:val="21"/>
                <w:szCs w:val="21"/>
                <w:lang w:eastAsia="en-US"/>
              </w:rPr>
            </w:pPr>
            <w:r>
              <w:rPr>
                <w:rFonts w:hint="eastAsia" w:ascii="宋体" w:hAnsi="宋体" w:eastAsia="宋体" w:cs="宋体"/>
                <w:spacing w:val="-5"/>
                <w:kern w:val="0"/>
                <w:sz w:val="21"/>
                <w:szCs w:val="21"/>
                <w:lang w:eastAsia="zh-CN"/>
              </w:rPr>
              <w:t>序号</w:t>
            </w:r>
          </w:p>
        </w:tc>
        <w:tc>
          <w:tcPr>
            <w:tcW w:w="1548" w:type="dxa"/>
            <w:noWrap w:val="0"/>
            <w:vAlign w:val="center"/>
          </w:tcPr>
          <w:p>
            <w:pPr>
              <w:autoSpaceDE w:val="0"/>
              <w:autoSpaceDN w:val="0"/>
              <w:spacing w:before="183"/>
              <w:ind w:firstLine="204" w:firstLineChars="100"/>
              <w:jc w:val="center"/>
              <w:rPr>
                <w:rFonts w:ascii="宋体" w:hAnsi="宋体" w:eastAsia="宋体" w:cs="宋体"/>
                <w:kern w:val="0"/>
                <w:sz w:val="21"/>
                <w:szCs w:val="21"/>
                <w:lang w:eastAsia="en-US"/>
              </w:rPr>
            </w:pPr>
            <w:r>
              <w:rPr>
                <w:rFonts w:hint="eastAsia" w:ascii="宋体" w:hAnsi="宋体" w:eastAsia="宋体" w:cs="宋体"/>
                <w:spacing w:val="-3"/>
                <w:kern w:val="0"/>
                <w:sz w:val="21"/>
                <w:szCs w:val="21"/>
                <w:lang w:eastAsia="zh-CN"/>
              </w:rPr>
              <w:t>实训项目</w:t>
            </w:r>
          </w:p>
        </w:tc>
        <w:tc>
          <w:tcPr>
            <w:tcW w:w="6084" w:type="dxa"/>
            <w:noWrap w:val="0"/>
            <w:vAlign w:val="center"/>
          </w:tcPr>
          <w:p>
            <w:pPr>
              <w:autoSpaceDE w:val="0"/>
              <w:autoSpaceDN w:val="0"/>
              <w:spacing w:before="183"/>
              <w:ind w:left="1694" w:right="1684"/>
              <w:jc w:val="center"/>
              <w:rPr>
                <w:rFonts w:ascii="宋体" w:hAnsi="宋体" w:eastAsia="宋体" w:cs="宋体"/>
                <w:kern w:val="0"/>
                <w:sz w:val="21"/>
                <w:szCs w:val="21"/>
                <w:lang w:eastAsia="en-US"/>
              </w:rPr>
            </w:pPr>
            <w:r>
              <w:rPr>
                <w:rFonts w:hint="eastAsia" w:ascii="宋体" w:hAnsi="宋体" w:eastAsia="宋体" w:cs="宋体"/>
                <w:spacing w:val="-3"/>
                <w:kern w:val="0"/>
                <w:sz w:val="21"/>
                <w:szCs w:val="21"/>
                <w:lang w:eastAsia="zh-CN"/>
              </w:rPr>
              <w:t>训练内容</w:t>
            </w:r>
          </w:p>
        </w:tc>
        <w:tc>
          <w:tcPr>
            <w:tcW w:w="1224" w:type="dxa"/>
            <w:noWrap w:val="0"/>
            <w:vAlign w:val="center"/>
          </w:tcPr>
          <w:p>
            <w:pPr>
              <w:autoSpaceDE w:val="0"/>
              <w:autoSpaceDN w:val="0"/>
              <w:spacing w:before="3"/>
              <w:ind w:left="145" w:right="134"/>
              <w:jc w:val="center"/>
              <w:rPr>
                <w:rFonts w:ascii="宋体" w:hAnsi="宋体" w:eastAsia="宋体" w:cs="宋体"/>
                <w:kern w:val="0"/>
                <w:sz w:val="21"/>
                <w:szCs w:val="21"/>
                <w:lang w:eastAsia="en-US"/>
              </w:rPr>
            </w:pPr>
            <w:r>
              <w:rPr>
                <w:rFonts w:hint="eastAsia" w:ascii="宋体" w:hAnsi="宋体" w:eastAsia="宋体" w:cs="宋体"/>
                <w:kern w:val="0"/>
                <w:sz w:val="21"/>
                <w:szCs w:val="21"/>
                <w:lang w:eastAsia="zh-CN"/>
              </w:rPr>
              <w:t>体验时间</w:t>
            </w:r>
          </w:p>
          <w:p>
            <w:pPr>
              <w:autoSpaceDE w:val="0"/>
              <w:autoSpaceDN w:val="0"/>
              <w:spacing w:before="3" w:line="341" w:lineRule="exact"/>
              <w:ind w:left="144" w:right="134"/>
              <w:jc w:val="center"/>
              <w:rPr>
                <w:rFonts w:ascii="宋体" w:hAnsi="宋体" w:eastAsia="宋体" w:cs="宋体"/>
                <w:kern w:val="0"/>
                <w:sz w:val="21"/>
                <w:szCs w:val="21"/>
                <w:lang w:eastAsia="en-US"/>
              </w:rPr>
            </w:pPr>
            <w:r>
              <w:rPr>
                <w:rFonts w:ascii="宋体" w:hAnsi="宋体" w:eastAsia="宋体" w:cs="宋体"/>
                <w:spacing w:val="-4"/>
                <w:kern w:val="0"/>
                <w:sz w:val="21"/>
                <w:szCs w:val="21"/>
                <w:lang w:eastAsia="en-US"/>
              </w:rPr>
              <w:t>(</w:t>
            </w:r>
            <w:r>
              <w:rPr>
                <w:rFonts w:hint="eastAsia" w:ascii="宋体" w:hAnsi="宋体" w:eastAsia="宋体" w:cs="宋体"/>
                <w:spacing w:val="-4"/>
                <w:kern w:val="0"/>
                <w:sz w:val="21"/>
                <w:szCs w:val="21"/>
                <w:lang w:eastAsia="zh-CN"/>
              </w:rPr>
              <w:t>分钟</w:t>
            </w:r>
            <w:r>
              <w:rPr>
                <w:rFonts w:ascii="宋体" w:hAnsi="宋体" w:eastAsia="宋体" w:cs="宋体"/>
                <w:spacing w:val="-4"/>
                <w:kern w:val="0"/>
                <w:sz w:val="21"/>
                <w:szCs w:val="21"/>
                <w:lang w:eastAsia="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686" w:type="dxa"/>
            <w:noWrap w:val="0"/>
            <w:vAlign w:val="center"/>
          </w:tcPr>
          <w:p>
            <w:pPr>
              <w:autoSpaceDE w:val="0"/>
              <w:autoSpaceDN w:val="0"/>
              <w:ind w:left="8"/>
              <w:jc w:val="center"/>
              <w:rPr>
                <w:rFonts w:ascii="宋体" w:hAnsi="宋体" w:eastAsia="宋体" w:cs="宋体"/>
                <w:kern w:val="0"/>
                <w:sz w:val="21"/>
                <w:szCs w:val="21"/>
                <w:lang w:eastAsia="en-US"/>
              </w:rPr>
            </w:pPr>
            <w:r>
              <w:rPr>
                <w:rFonts w:ascii="宋体" w:hAnsi="宋体" w:eastAsia="宋体" w:cs="宋体"/>
                <w:kern w:val="0"/>
                <w:sz w:val="21"/>
                <w:szCs w:val="21"/>
                <w:lang w:eastAsia="en-US"/>
              </w:rPr>
              <w:t>1</w:t>
            </w:r>
          </w:p>
        </w:tc>
        <w:tc>
          <w:tcPr>
            <w:tcW w:w="1548" w:type="dxa"/>
            <w:noWrap w:val="0"/>
            <w:vAlign w:val="center"/>
          </w:tcPr>
          <w:p>
            <w:pPr>
              <w:autoSpaceDE w:val="0"/>
              <w:autoSpaceDN w:val="0"/>
              <w:ind w:left="108"/>
              <w:jc w:val="center"/>
              <w:rPr>
                <w:rFonts w:ascii="宋体" w:hAnsi="宋体" w:eastAsia="宋体" w:cs="宋体"/>
                <w:kern w:val="0"/>
                <w:sz w:val="21"/>
                <w:szCs w:val="21"/>
                <w:lang w:eastAsia="en-US"/>
              </w:rPr>
            </w:pPr>
            <w:r>
              <w:rPr>
                <w:rFonts w:hint="eastAsia" w:ascii="宋体" w:hAnsi="宋体" w:eastAsia="宋体" w:cs="宋体"/>
                <w:spacing w:val="47"/>
                <w:kern w:val="0"/>
                <w:sz w:val="21"/>
                <w:szCs w:val="21"/>
                <w:lang w:eastAsia="zh-CN"/>
              </w:rPr>
              <w:t>烟雾逃生训练帐篷</w:t>
            </w:r>
          </w:p>
        </w:tc>
        <w:tc>
          <w:tcPr>
            <w:tcW w:w="6084" w:type="dxa"/>
            <w:noWrap w:val="0"/>
            <w:vAlign w:val="center"/>
          </w:tcPr>
          <w:p>
            <w:pPr>
              <w:autoSpaceDE w:val="0"/>
              <w:autoSpaceDN w:val="0"/>
              <w:ind w:left="108"/>
              <w:jc w:val="left"/>
              <w:rPr>
                <w:rFonts w:ascii="宋体" w:hAnsi="宋体" w:eastAsia="宋体" w:cs="宋体"/>
                <w:kern w:val="0"/>
                <w:sz w:val="21"/>
                <w:szCs w:val="21"/>
                <w:lang w:eastAsia="zh-CN"/>
              </w:rPr>
            </w:pPr>
            <w:r>
              <w:rPr>
                <w:rFonts w:ascii="宋体" w:hAnsi="宋体" w:eastAsia="宋体" w:cs="宋体"/>
                <w:spacing w:val="-15"/>
                <w:kern w:val="0"/>
                <w:sz w:val="21"/>
                <w:szCs w:val="21"/>
                <w:lang w:eastAsia="zh-CN"/>
              </w:rPr>
              <w:t>火场逃生要点，弯腰低身，捂住口鼻</w:t>
            </w:r>
            <w:r>
              <w:rPr>
                <w:rFonts w:hint="eastAsia" w:ascii="宋体" w:hAnsi="宋体" w:eastAsia="宋体" w:cs="宋体"/>
                <w:spacing w:val="-15"/>
                <w:kern w:val="0"/>
                <w:sz w:val="21"/>
                <w:szCs w:val="21"/>
                <w:lang w:eastAsia="zh-CN"/>
              </w:rPr>
              <w:t>。主要功能是使体验者通过设施体验身处黑暗中以及火场烟雾之中的感受，了解火灾烟雾对人的危害，学会正确的逃生方法，克服恐慌心理。</w:t>
            </w:r>
          </w:p>
        </w:tc>
        <w:tc>
          <w:tcPr>
            <w:tcW w:w="1224" w:type="dxa"/>
            <w:noWrap w:val="0"/>
            <w:vAlign w:val="center"/>
          </w:tcPr>
          <w:p>
            <w:pPr>
              <w:autoSpaceDE w:val="0"/>
              <w:autoSpaceDN w:val="0"/>
              <w:ind w:left="8"/>
              <w:jc w:val="center"/>
              <w:rPr>
                <w:rFonts w:ascii="宋体" w:hAnsi="宋体" w:eastAsia="宋体" w:cs="宋体"/>
                <w:kern w:val="0"/>
                <w:sz w:val="21"/>
                <w:szCs w:val="21"/>
                <w:lang w:eastAsia="en-US"/>
              </w:rPr>
            </w:pPr>
            <w:r>
              <w:rPr>
                <w:rFonts w:hint="eastAsia" w:ascii="宋体" w:hAnsi="宋体" w:eastAsia="宋体" w:cs="宋体"/>
                <w:kern w:val="0"/>
                <w:sz w:val="21"/>
                <w:szCs w:val="21"/>
                <w:lang w:val="en-US" w:eastAsia="zh-CN"/>
              </w:rPr>
              <w:t xml:space="preserve">  </w:t>
            </w:r>
            <w:r>
              <w:rPr>
                <w:rFonts w:ascii="宋体" w:hAnsi="宋体" w:eastAsia="宋体" w:cs="宋体"/>
                <w:kern w:val="0"/>
                <w:sz w:val="21"/>
                <w:szCs w:val="21"/>
                <w:lang w:eastAsia="en-US"/>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686" w:type="dxa"/>
            <w:noWrap w:val="0"/>
            <w:vAlign w:val="center"/>
          </w:tcPr>
          <w:p>
            <w:pPr>
              <w:autoSpaceDE w:val="0"/>
              <w:autoSpaceDN w:val="0"/>
              <w:ind w:left="8"/>
              <w:jc w:val="center"/>
              <w:rPr>
                <w:rFonts w:ascii="宋体" w:hAnsi="宋体" w:eastAsia="宋体" w:cs="宋体"/>
                <w:kern w:val="0"/>
                <w:sz w:val="21"/>
                <w:szCs w:val="21"/>
                <w:lang w:eastAsia="en-US"/>
              </w:rPr>
            </w:pPr>
            <w:r>
              <w:rPr>
                <w:rFonts w:ascii="宋体" w:hAnsi="宋体" w:eastAsia="宋体" w:cs="宋体"/>
                <w:kern w:val="0"/>
                <w:sz w:val="21"/>
                <w:szCs w:val="21"/>
                <w:lang w:eastAsia="en-US"/>
              </w:rPr>
              <w:t>2</w:t>
            </w:r>
          </w:p>
        </w:tc>
        <w:tc>
          <w:tcPr>
            <w:tcW w:w="1548" w:type="dxa"/>
            <w:noWrap w:val="0"/>
            <w:vAlign w:val="center"/>
          </w:tcPr>
          <w:p>
            <w:pPr>
              <w:autoSpaceDE w:val="0"/>
              <w:autoSpaceDN w:val="0"/>
              <w:ind w:left="108"/>
              <w:jc w:val="center"/>
              <w:rPr>
                <w:rFonts w:ascii="宋体" w:hAnsi="宋体" w:eastAsia="宋体" w:cs="宋体"/>
                <w:kern w:val="0"/>
                <w:sz w:val="21"/>
                <w:szCs w:val="21"/>
                <w:lang w:eastAsia="en-US"/>
              </w:rPr>
            </w:pPr>
            <w:r>
              <w:rPr>
                <w:rFonts w:hint="eastAsia" w:ascii="宋体" w:hAnsi="宋体" w:eastAsia="宋体" w:cs="宋体"/>
                <w:spacing w:val="47"/>
                <w:kern w:val="0"/>
                <w:sz w:val="21"/>
                <w:szCs w:val="21"/>
                <w:lang w:eastAsia="zh-CN"/>
              </w:rPr>
              <w:t>灭火实训教学系统</w:t>
            </w:r>
          </w:p>
        </w:tc>
        <w:tc>
          <w:tcPr>
            <w:tcW w:w="6084" w:type="dxa"/>
            <w:noWrap w:val="0"/>
            <w:vAlign w:val="center"/>
          </w:tcPr>
          <w:p>
            <w:pPr>
              <w:autoSpaceDE w:val="0"/>
              <w:autoSpaceDN w:val="0"/>
              <w:ind w:left="108"/>
              <w:jc w:val="left"/>
              <w:rPr>
                <w:rFonts w:ascii="宋体" w:hAnsi="宋体" w:eastAsia="宋体" w:cs="宋体"/>
                <w:kern w:val="0"/>
                <w:sz w:val="21"/>
                <w:szCs w:val="21"/>
                <w:lang w:eastAsia="zh-CN"/>
              </w:rPr>
            </w:pPr>
            <w:r>
              <w:rPr>
                <w:rFonts w:ascii="宋体" w:hAnsi="宋体" w:eastAsia="宋体" w:cs="宋体"/>
                <w:spacing w:val="-1"/>
                <w:kern w:val="0"/>
                <w:sz w:val="21"/>
                <w:szCs w:val="21"/>
                <w:lang w:eastAsia="zh-CN"/>
              </w:rPr>
              <w:t>灭火器扑灭初起火灾的操作，训练</w:t>
            </w:r>
            <w:r>
              <w:rPr>
                <w:rFonts w:hint="eastAsia" w:ascii="宋体" w:hAnsi="宋体" w:eastAsia="宋体" w:cs="宋体"/>
                <w:spacing w:val="-3"/>
                <w:kern w:val="0"/>
                <w:sz w:val="21"/>
                <w:szCs w:val="21"/>
                <w:lang w:eastAsia="zh-CN"/>
              </w:rPr>
              <w:t>灭火器使用全过程。</w:t>
            </w:r>
          </w:p>
        </w:tc>
        <w:tc>
          <w:tcPr>
            <w:tcW w:w="1224" w:type="dxa"/>
            <w:noWrap w:val="0"/>
            <w:vAlign w:val="center"/>
          </w:tcPr>
          <w:p>
            <w:pPr>
              <w:autoSpaceDE w:val="0"/>
              <w:autoSpaceDN w:val="0"/>
              <w:ind w:left="8"/>
              <w:jc w:val="center"/>
              <w:rPr>
                <w:rFonts w:ascii="宋体" w:hAnsi="宋体" w:eastAsia="宋体" w:cs="宋体"/>
                <w:kern w:val="0"/>
                <w:sz w:val="21"/>
                <w:szCs w:val="21"/>
                <w:lang w:eastAsia="en-US"/>
              </w:rPr>
            </w:pPr>
            <w:r>
              <w:rPr>
                <w:rFonts w:hint="eastAsia" w:ascii="宋体" w:hAnsi="宋体" w:eastAsia="宋体" w:cs="宋体"/>
                <w:kern w:val="0"/>
                <w:sz w:val="21"/>
                <w:szCs w:val="21"/>
                <w:lang w:val="en-US" w:eastAsia="zh-CN"/>
              </w:rPr>
              <w:t xml:space="preserve"> </w:t>
            </w:r>
            <w:r>
              <w:rPr>
                <w:rFonts w:ascii="宋体" w:hAnsi="宋体" w:eastAsia="宋体" w:cs="宋体"/>
                <w:kern w:val="0"/>
                <w:sz w:val="21"/>
                <w:szCs w:val="21"/>
                <w:lang w:eastAsia="en-US"/>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686" w:type="dxa"/>
            <w:noWrap w:val="0"/>
            <w:vAlign w:val="center"/>
          </w:tcPr>
          <w:p>
            <w:pPr>
              <w:autoSpaceDE w:val="0"/>
              <w:autoSpaceDN w:val="0"/>
              <w:ind w:left="8"/>
              <w:jc w:val="center"/>
              <w:rPr>
                <w:rFonts w:ascii="宋体" w:hAnsi="宋体" w:eastAsia="宋体" w:cs="宋体"/>
                <w:spacing w:val="-5"/>
                <w:kern w:val="0"/>
                <w:sz w:val="21"/>
                <w:szCs w:val="21"/>
                <w:lang w:eastAsia="en-US"/>
              </w:rPr>
            </w:pPr>
          </w:p>
          <w:p>
            <w:pPr>
              <w:autoSpaceDE w:val="0"/>
              <w:autoSpaceDN w:val="0"/>
              <w:ind w:left="8"/>
              <w:jc w:val="center"/>
              <w:rPr>
                <w:rFonts w:ascii="宋体" w:hAnsi="宋体" w:eastAsia="宋体" w:cs="宋体"/>
                <w:kern w:val="0"/>
                <w:sz w:val="21"/>
                <w:szCs w:val="21"/>
                <w:lang w:eastAsia="en-US"/>
              </w:rPr>
            </w:pPr>
            <w:r>
              <w:rPr>
                <w:rFonts w:ascii="宋体" w:hAnsi="宋体" w:eastAsia="宋体" w:cs="宋体"/>
                <w:spacing w:val="-5"/>
                <w:kern w:val="0"/>
                <w:sz w:val="21"/>
                <w:szCs w:val="21"/>
                <w:lang w:eastAsia="en-US"/>
              </w:rPr>
              <w:t>3</w:t>
            </w:r>
          </w:p>
        </w:tc>
        <w:tc>
          <w:tcPr>
            <w:tcW w:w="1548" w:type="dxa"/>
            <w:noWrap w:val="0"/>
            <w:vAlign w:val="center"/>
          </w:tcPr>
          <w:p>
            <w:pPr>
              <w:autoSpaceDE w:val="0"/>
              <w:autoSpaceDN w:val="0"/>
              <w:spacing w:line="242" w:lineRule="auto"/>
              <w:ind w:left="108" w:right="94"/>
              <w:jc w:val="center"/>
              <w:rPr>
                <w:rFonts w:ascii="宋体" w:hAnsi="宋体" w:eastAsia="宋体" w:cs="宋体"/>
                <w:kern w:val="0"/>
                <w:sz w:val="21"/>
                <w:szCs w:val="21"/>
                <w:lang w:eastAsia="en-US"/>
              </w:rPr>
            </w:pPr>
            <w:r>
              <w:rPr>
                <w:rFonts w:hint="eastAsia" w:ascii="宋体" w:hAnsi="宋体" w:eastAsia="宋体" w:cs="宋体"/>
                <w:spacing w:val="-3"/>
                <w:kern w:val="0"/>
                <w:sz w:val="21"/>
                <w:szCs w:val="21"/>
                <w:lang w:eastAsia="zh-CN"/>
              </w:rPr>
              <w:t>结绳训练</w:t>
            </w:r>
          </w:p>
        </w:tc>
        <w:tc>
          <w:tcPr>
            <w:tcW w:w="6084" w:type="dxa"/>
            <w:noWrap w:val="0"/>
            <w:vAlign w:val="center"/>
          </w:tcPr>
          <w:p>
            <w:pPr>
              <w:autoSpaceDE w:val="0"/>
              <w:autoSpaceDN w:val="0"/>
              <w:spacing w:line="242" w:lineRule="auto"/>
              <w:ind w:left="108" w:right="-44"/>
              <w:jc w:val="left"/>
              <w:rPr>
                <w:rFonts w:ascii="宋体" w:hAnsi="宋体" w:eastAsia="宋体" w:cs="宋体"/>
                <w:kern w:val="0"/>
                <w:sz w:val="21"/>
                <w:szCs w:val="21"/>
                <w:lang w:eastAsia="zh-CN"/>
              </w:rPr>
            </w:pPr>
            <w:r>
              <w:rPr>
                <w:rFonts w:ascii="宋体" w:hAnsi="宋体" w:eastAsia="宋体" w:cs="宋体"/>
                <w:spacing w:val="-2"/>
                <w:kern w:val="0"/>
                <w:sz w:val="21"/>
                <w:szCs w:val="21"/>
                <w:lang w:eastAsia="zh-CN"/>
              </w:rPr>
              <w:t>学习、练习结绳方法，主要是固定、短绳接成长绳、下降用绳中间结扣</w:t>
            </w:r>
            <w:r>
              <w:rPr>
                <w:rFonts w:hint="eastAsia" w:ascii="宋体" w:hAnsi="宋体" w:eastAsia="宋体" w:cs="宋体"/>
                <w:spacing w:val="-2"/>
                <w:kern w:val="0"/>
                <w:sz w:val="21"/>
                <w:szCs w:val="21"/>
                <w:lang w:eastAsia="zh-CN"/>
              </w:rPr>
              <w:t>以保证下降安全</w:t>
            </w:r>
            <w:r>
              <w:rPr>
                <w:rFonts w:hint="eastAsia" w:ascii="宋体" w:hAnsi="宋体" w:eastAsia="宋体" w:cs="宋体"/>
                <w:kern w:val="0"/>
                <w:sz w:val="21"/>
                <w:szCs w:val="21"/>
                <w:lang w:eastAsia="zh-CN"/>
              </w:rPr>
              <w:t>。学习并掌握当灾难突袭时在不同场景下的正确逃生技能。</w:t>
            </w:r>
          </w:p>
        </w:tc>
        <w:tc>
          <w:tcPr>
            <w:tcW w:w="1224" w:type="dxa"/>
            <w:noWrap w:val="0"/>
            <w:vAlign w:val="center"/>
          </w:tcPr>
          <w:p>
            <w:pPr>
              <w:autoSpaceDE w:val="0"/>
              <w:autoSpaceDN w:val="0"/>
              <w:ind w:left="8"/>
              <w:jc w:val="center"/>
              <w:rPr>
                <w:rFonts w:ascii="宋体" w:hAnsi="宋体" w:eastAsia="宋体" w:cs="宋体"/>
                <w:kern w:val="0"/>
                <w:sz w:val="21"/>
                <w:szCs w:val="21"/>
                <w:lang w:eastAsia="en-US"/>
              </w:rPr>
            </w:pPr>
            <w:r>
              <w:rPr>
                <w:rFonts w:hint="eastAsia" w:ascii="宋体" w:hAnsi="宋体" w:eastAsia="宋体" w:cs="宋体"/>
                <w:kern w:val="0"/>
                <w:sz w:val="21"/>
                <w:szCs w:val="21"/>
                <w:lang w:val="en-US" w:eastAsia="zh-CN"/>
              </w:rPr>
              <w:t xml:space="preserve">            </w:t>
            </w:r>
            <w:r>
              <w:rPr>
                <w:rFonts w:hint="eastAsia" w:ascii="宋体" w:hAnsi="宋体" w:cs="宋体"/>
                <w:kern w:val="0"/>
                <w:sz w:val="21"/>
                <w:szCs w:val="21"/>
                <w:lang w:val="en-US" w:eastAsia="zh-CN"/>
              </w:rPr>
              <w:t xml:space="preserve">  </w:t>
            </w:r>
            <w:r>
              <w:rPr>
                <w:rFonts w:ascii="宋体" w:hAnsi="宋体" w:eastAsia="宋体" w:cs="宋体"/>
                <w:kern w:val="0"/>
                <w:sz w:val="21"/>
                <w:szCs w:val="21"/>
                <w:lang w:eastAsia="en-US"/>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686" w:type="dxa"/>
            <w:noWrap w:val="0"/>
            <w:vAlign w:val="center"/>
          </w:tcPr>
          <w:p>
            <w:pPr>
              <w:autoSpaceDE w:val="0"/>
              <w:autoSpaceDN w:val="0"/>
              <w:spacing w:before="3"/>
              <w:ind w:left="8"/>
              <w:jc w:val="center"/>
              <w:rPr>
                <w:rFonts w:ascii="宋体" w:hAnsi="宋体" w:eastAsia="宋体" w:cs="宋体"/>
                <w:kern w:val="0"/>
                <w:sz w:val="21"/>
                <w:szCs w:val="21"/>
                <w:lang w:eastAsia="en-US"/>
              </w:rPr>
            </w:pPr>
            <w:r>
              <w:rPr>
                <w:rFonts w:ascii="宋体" w:hAnsi="宋体" w:eastAsia="宋体" w:cs="宋体"/>
                <w:kern w:val="0"/>
                <w:sz w:val="21"/>
                <w:szCs w:val="21"/>
                <w:lang w:eastAsia="en-US"/>
              </w:rPr>
              <w:t>4</w:t>
            </w:r>
          </w:p>
        </w:tc>
        <w:tc>
          <w:tcPr>
            <w:tcW w:w="1548" w:type="dxa"/>
            <w:noWrap w:val="0"/>
            <w:vAlign w:val="center"/>
          </w:tcPr>
          <w:p>
            <w:pPr>
              <w:autoSpaceDE w:val="0"/>
              <w:autoSpaceDN w:val="0"/>
              <w:spacing w:before="3" w:line="242" w:lineRule="auto"/>
              <w:ind w:left="108" w:right="26"/>
              <w:jc w:val="center"/>
              <w:rPr>
                <w:rFonts w:ascii="宋体" w:hAnsi="宋体" w:eastAsia="宋体" w:cs="宋体"/>
                <w:kern w:val="0"/>
                <w:sz w:val="21"/>
                <w:szCs w:val="21"/>
                <w:lang w:eastAsia="en-US"/>
              </w:rPr>
            </w:pPr>
            <w:r>
              <w:rPr>
                <w:rFonts w:hint="eastAsia" w:ascii="宋体" w:hAnsi="宋体" w:eastAsia="宋体" w:cs="宋体"/>
                <w:spacing w:val="47"/>
                <w:kern w:val="0"/>
                <w:sz w:val="21"/>
                <w:szCs w:val="21"/>
                <w:lang w:eastAsia="zh-CN"/>
              </w:rPr>
              <w:t>醉酒行走体验</w:t>
            </w:r>
          </w:p>
        </w:tc>
        <w:tc>
          <w:tcPr>
            <w:tcW w:w="6084" w:type="dxa"/>
            <w:noWrap w:val="0"/>
            <w:vAlign w:val="center"/>
          </w:tcPr>
          <w:p>
            <w:pPr>
              <w:autoSpaceDE w:val="0"/>
              <w:autoSpaceDN w:val="0"/>
              <w:spacing w:before="3" w:line="242" w:lineRule="auto"/>
              <w:ind w:left="108" w:right="93"/>
              <w:jc w:val="left"/>
              <w:rPr>
                <w:rFonts w:ascii="宋体" w:hAnsi="宋体" w:eastAsia="宋体" w:cs="宋体"/>
                <w:kern w:val="0"/>
                <w:sz w:val="21"/>
                <w:szCs w:val="21"/>
                <w:lang w:eastAsia="zh-CN"/>
              </w:rPr>
            </w:pPr>
            <w:r>
              <w:rPr>
                <w:rFonts w:ascii="宋体" w:hAnsi="宋体" w:eastAsia="宋体" w:cs="宋体"/>
                <w:spacing w:val="-2"/>
                <w:kern w:val="0"/>
                <w:sz w:val="21"/>
                <w:szCs w:val="21"/>
                <w:lang w:eastAsia="zh-CN"/>
              </w:rPr>
              <w:t>戴上模拟眼镜体验醉酒的情况下影</w:t>
            </w:r>
            <w:r>
              <w:rPr>
                <w:rFonts w:ascii="宋体" w:hAnsi="宋体" w:eastAsia="宋体" w:cs="宋体"/>
                <w:spacing w:val="-15"/>
                <w:kern w:val="0"/>
                <w:sz w:val="21"/>
                <w:szCs w:val="21"/>
                <w:lang w:eastAsia="zh-CN"/>
              </w:rPr>
              <w:t>响身体的平衡、脚步不稳、视觉模糊</w:t>
            </w:r>
            <w:r>
              <w:rPr>
                <w:rFonts w:ascii="宋体" w:hAnsi="宋体" w:eastAsia="宋体" w:cs="宋体"/>
                <w:spacing w:val="-1"/>
                <w:kern w:val="0"/>
                <w:sz w:val="21"/>
                <w:szCs w:val="21"/>
                <w:lang w:eastAsia="zh-CN"/>
              </w:rPr>
              <w:t>等醉酒状态，使体验者认识到醉酒</w:t>
            </w:r>
            <w:r>
              <w:rPr>
                <w:rFonts w:ascii="宋体" w:hAnsi="宋体" w:eastAsia="宋体" w:cs="宋体"/>
                <w:spacing w:val="-3"/>
                <w:kern w:val="0"/>
                <w:sz w:val="21"/>
                <w:szCs w:val="21"/>
                <w:lang w:eastAsia="zh-CN"/>
              </w:rPr>
              <w:t>后驾车危害的严重性。</w:t>
            </w:r>
          </w:p>
        </w:tc>
        <w:tc>
          <w:tcPr>
            <w:tcW w:w="1224" w:type="dxa"/>
            <w:noWrap w:val="0"/>
            <w:vAlign w:val="center"/>
          </w:tcPr>
          <w:p>
            <w:pPr>
              <w:autoSpaceDE w:val="0"/>
              <w:autoSpaceDN w:val="0"/>
              <w:ind w:left="8"/>
              <w:jc w:val="center"/>
              <w:rPr>
                <w:rFonts w:ascii="宋体" w:hAnsi="宋体" w:eastAsia="宋体" w:cs="宋体"/>
                <w:kern w:val="0"/>
                <w:sz w:val="21"/>
                <w:szCs w:val="21"/>
                <w:lang w:eastAsia="en-US"/>
              </w:rPr>
            </w:pPr>
            <w:r>
              <w:rPr>
                <w:rFonts w:hint="eastAsia" w:ascii="宋体" w:hAnsi="宋体" w:eastAsia="宋体" w:cs="宋体"/>
                <w:kern w:val="0"/>
                <w:sz w:val="21"/>
                <w:szCs w:val="21"/>
                <w:lang w:val="en-US" w:eastAsia="zh-CN"/>
              </w:rPr>
              <w:t xml:space="preserve"> </w:t>
            </w:r>
            <w:r>
              <w:rPr>
                <w:rFonts w:ascii="宋体" w:hAnsi="宋体" w:eastAsia="宋体" w:cs="宋体"/>
                <w:kern w:val="0"/>
                <w:sz w:val="21"/>
                <w:szCs w:val="21"/>
                <w:lang w:eastAsia="en-US"/>
              </w:rPr>
              <w:t>3</w:t>
            </w:r>
          </w:p>
        </w:tc>
      </w:tr>
    </w:tbl>
    <w:p>
      <w:pPr>
        <w:keepNext w:val="0"/>
        <w:keepLines w:val="0"/>
        <w:pageBreakBefore w:val="0"/>
        <w:numPr>
          <w:ilvl w:val="0"/>
          <w:numId w:val="2"/>
        </w:numPr>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培训对象：</w:t>
      </w:r>
      <w:r>
        <w:rPr>
          <w:rFonts w:hint="eastAsia" w:ascii="宋体" w:hAnsi="宋体" w:eastAsia="宋体" w:cs="宋体"/>
          <w:color w:val="auto"/>
          <w:kern w:val="0"/>
          <w:sz w:val="24"/>
          <w:szCs w:val="24"/>
          <w:highlight w:val="none"/>
          <w:lang w:val="en-US" w:eastAsia="zh-CN"/>
        </w:rPr>
        <w:t>为我校2023级本科学生提供消防演练培训服务项目。</w:t>
      </w:r>
    </w:p>
    <w:p>
      <w:pPr>
        <w:keepNext w:val="0"/>
        <w:keepLines w:val="0"/>
        <w:pageBreakBefore w:val="0"/>
        <w:numPr>
          <w:ilvl w:val="0"/>
          <w:numId w:val="0"/>
        </w:numPr>
        <w:kinsoku/>
        <w:wordWrap/>
        <w:overflowPunct/>
        <w:topLinePunct w:val="0"/>
        <w:autoSpaceDE/>
        <w:autoSpaceDN/>
        <w:bidi w:val="0"/>
        <w:adjustRightInd w:val="0"/>
        <w:snapToGrid w:val="0"/>
        <w:spacing w:line="500" w:lineRule="exact"/>
        <w:ind w:firstLine="480" w:firstLineChars="200"/>
        <w:jc w:val="left"/>
        <w:rPr>
          <w:rFonts w:hint="eastAsia" w:ascii="宋体" w:hAnsi="宋体" w:cs="宋体"/>
          <w:color w:val="auto"/>
          <w:sz w:val="24"/>
        </w:rPr>
      </w:pPr>
      <w:r>
        <w:rPr>
          <w:rFonts w:hint="eastAsia" w:ascii="宋体" w:hAnsi="宋体" w:cs="宋体"/>
          <w:color w:val="auto"/>
          <w:kern w:val="0"/>
          <w:sz w:val="24"/>
          <w:szCs w:val="24"/>
          <w:highlight w:val="none"/>
          <w:lang w:val="en-US" w:eastAsia="zh-CN"/>
        </w:rPr>
        <w:t>（1）培训</w:t>
      </w:r>
      <w:r>
        <w:rPr>
          <w:rFonts w:hint="eastAsia" w:ascii="宋体" w:hAnsi="宋体" w:cs="宋体"/>
          <w:color w:val="auto"/>
          <w:sz w:val="24"/>
        </w:rPr>
        <w:t>总体目标：培养学生的安全意识和自救与互救能力，实施全民安全素质提升工程。</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2）培训</w:t>
      </w:r>
      <w:r>
        <w:rPr>
          <w:rFonts w:hint="eastAsia" w:ascii="宋体" w:hAnsi="宋体" w:cs="宋体"/>
          <w:color w:val="auto"/>
          <w:sz w:val="24"/>
        </w:rPr>
        <w:t>阶段性目标：学会灭火器使用要领，会操作，掌握逃生技能，学会部分绳结打法，学习并掌握当灾难突袭时在不同场景下的正确逃生技能。</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具体培训内容</w:t>
      </w:r>
      <w:r>
        <w:rPr>
          <w:rFonts w:hint="eastAsia" w:ascii="宋体" w:hAnsi="宋体" w:eastAsia="宋体" w:cs="宋体"/>
          <w:color w:val="auto"/>
          <w:kern w:val="0"/>
          <w:sz w:val="24"/>
          <w:szCs w:val="24"/>
          <w:highlight w:val="none"/>
          <w:lang w:val="en-US" w:eastAsia="zh-CN"/>
        </w:rPr>
        <w:t>详见项目需求。</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培训</w:t>
      </w:r>
      <w:r>
        <w:rPr>
          <w:rFonts w:hint="eastAsia" w:ascii="宋体" w:hAnsi="宋体" w:eastAsia="宋体" w:cs="宋体"/>
          <w:color w:val="auto"/>
          <w:kern w:val="0"/>
          <w:sz w:val="24"/>
          <w:szCs w:val="24"/>
          <w:highlight w:val="none"/>
          <w:lang w:val="en-US" w:eastAsia="zh-CN"/>
        </w:rPr>
        <w:t>服务期：</w:t>
      </w:r>
      <w:r>
        <w:rPr>
          <w:rFonts w:hint="eastAsia" w:ascii="宋体" w:hAnsi="宋体" w:cs="宋体"/>
          <w:color w:val="auto"/>
          <w:kern w:val="0"/>
          <w:sz w:val="24"/>
          <w:szCs w:val="24"/>
          <w:highlight w:val="none"/>
          <w:lang w:val="en-US" w:eastAsia="zh-CN"/>
        </w:rPr>
        <w:t>合同签订后，接校方使用管理部门通知后，2-3天内完成所有培训内容。</w:t>
      </w:r>
      <w:r>
        <w:rPr>
          <w:rFonts w:hint="eastAsia" w:ascii="宋体" w:hAnsi="宋体" w:eastAsia="宋体" w:cs="宋体"/>
          <w:color w:val="auto"/>
          <w:kern w:val="0"/>
          <w:sz w:val="24"/>
          <w:szCs w:val="24"/>
          <w:highlight w:val="none"/>
          <w:lang w:val="en-US" w:eastAsia="zh-CN"/>
        </w:rPr>
        <w:t xml:space="preserve">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本项目不接受联合体投标。</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二、投标供应商资格</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1.满足《中华人民共和国政府采购法》第二十二条规定；</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2.落实政府采购政策需满足的资格要求：本项目非专门面向中小企业采购。</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3.供应商存在以下不良信用记录情形之一的，不得推荐为成交候选人，不得确定为成交供应商：</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(1）供应商被人民法院列入失信被执行人的；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(2）供应商或其法定代表人近三年内被人民检察院列入行贿犯罪档案的；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(3）供应商被工商行政管理部门列入企业经营异常名录的；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(4）供应商被税务部门列入重大税收违法案件当事人名单的；</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(5）供应商被政府采购监管部门列入政府采购严重违法失信行为记录名单的。</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被铜陵市公共资源交易监管部门记录的不良行为累计分值在 10 分（含）-15 分（不含），且最近一次不良行为记录公布日距开标日未超过 3 个月；</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被铜陵市公共资源交易监管部门记不良行为记录累计分值在 15 分（含）-20 分（不含），且最近一次不良行为记录公布日距开标日未超过 6 个月；</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被铜陵市公共资源交易监管部门记不良行为记录累计分值达 20 分（含）以上，且最近一次不良行为记录公布日距开标日未超过 12 个月。</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三、获取采购文件</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1、获取时间：2023年10月9日至投标截止期前。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2、获取地址：铜陵学院官网（www.tlu.edu.cn）自行下载。</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四、响应文件提交</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1.标书递交时间：凡符合投标资格、有意向的投标单位，均为被询价对象。请有意参与投标报价的单位于</w:t>
      </w:r>
      <w:r>
        <w:rPr>
          <w:rFonts w:hint="eastAsia" w:ascii="宋体" w:hAnsi="宋体" w:cs="宋体"/>
          <w:color w:val="auto"/>
          <w:kern w:val="0"/>
          <w:sz w:val="24"/>
          <w:szCs w:val="24"/>
          <w:highlight w:val="none"/>
          <w:lang w:val="en-US" w:eastAsia="zh-CN"/>
        </w:rPr>
        <w:t>2023</w:t>
      </w:r>
      <w:r>
        <w:rPr>
          <w:rFonts w:hint="eastAsia" w:ascii="宋体" w:hAnsi="宋体" w:eastAsia="宋体" w:cs="宋体"/>
          <w:color w:val="auto"/>
          <w:kern w:val="0"/>
          <w:sz w:val="24"/>
          <w:szCs w:val="24"/>
          <w:highlight w:val="none"/>
          <w:lang w:val="en-US" w:eastAsia="zh-CN"/>
        </w:rPr>
        <w:t>年</w:t>
      </w:r>
      <w:r>
        <w:rPr>
          <w:rFonts w:hint="eastAsia" w:ascii="宋体" w:hAnsi="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en-US" w:eastAsia="zh-CN"/>
        </w:rPr>
        <w:t>月</w:t>
      </w: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lang w:val="en-US" w:eastAsia="zh-CN"/>
        </w:rPr>
        <w:t>日上午11：00前。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2.递交地点：铜陵学院翠湖校区南大门值班室，联系人：胡老师（13955931061）。</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C00000"/>
          <w:kern w:val="0"/>
          <w:sz w:val="24"/>
          <w:szCs w:val="24"/>
          <w:highlight w:val="none"/>
          <w:lang w:val="en-US" w:eastAsia="zh-CN"/>
        </w:rPr>
      </w:pPr>
      <w:r>
        <w:rPr>
          <w:rFonts w:hint="eastAsia" w:ascii="宋体" w:hAnsi="宋体" w:eastAsia="宋体" w:cs="宋体"/>
          <w:color w:val="C00000"/>
          <w:kern w:val="0"/>
          <w:sz w:val="24"/>
          <w:szCs w:val="24"/>
          <w:highlight w:val="none"/>
          <w:lang w:val="en-US" w:eastAsia="zh-CN"/>
        </w:rPr>
        <w:t>（因</w:t>
      </w:r>
      <w:r>
        <w:rPr>
          <w:rFonts w:hint="eastAsia" w:ascii="宋体" w:hAnsi="宋体" w:cs="宋体"/>
          <w:color w:val="C00000"/>
          <w:kern w:val="0"/>
          <w:sz w:val="24"/>
          <w:szCs w:val="24"/>
          <w:highlight w:val="none"/>
          <w:lang w:val="en-US" w:eastAsia="zh-CN"/>
        </w:rPr>
        <w:t>校园管理</w:t>
      </w:r>
      <w:r>
        <w:rPr>
          <w:rFonts w:hint="eastAsia" w:ascii="宋体" w:hAnsi="宋体" w:eastAsia="宋体" w:cs="宋体"/>
          <w:color w:val="C00000"/>
          <w:kern w:val="0"/>
          <w:sz w:val="24"/>
          <w:szCs w:val="24"/>
          <w:highlight w:val="none"/>
          <w:lang w:val="en-US" w:eastAsia="zh-CN"/>
        </w:rPr>
        <w:t>要求，请投标人在</w:t>
      </w:r>
      <w:r>
        <w:rPr>
          <w:rFonts w:hint="eastAsia" w:ascii="宋体" w:hAnsi="宋体" w:cs="宋体"/>
          <w:color w:val="C00000"/>
          <w:kern w:val="0"/>
          <w:sz w:val="24"/>
          <w:szCs w:val="24"/>
          <w:highlight w:val="none"/>
          <w:lang w:val="en-US" w:eastAsia="zh-CN"/>
        </w:rPr>
        <w:t>2023</w:t>
      </w:r>
      <w:r>
        <w:rPr>
          <w:rFonts w:hint="eastAsia" w:ascii="宋体" w:hAnsi="宋体" w:eastAsia="宋体" w:cs="宋体"/>
          <w:color w:val="C00000"/>
          <w:kern w:val="0"/>
          <w:sz w:val="24"/>
          <w:szCs w:val="24"/>
          <w:highlight w:val="none"/>
          <w:lang w:val="en-US" w:eastAsia="zh-CN"/>
        </w:rPr>
        <w:t>年</w:t>
      </w:r>
      <w:r>
        <w:rPr>
          <w:rFonts w:hint="eastAsia" w:ascii="宋体" w:hAnsi="宋体" w:cs="宋体"/>
          <w:color w:val="C00000"/>
          <w:kern w:val="0"/>
          <w:sz w:val="24"/>
          <w:szCs w:val="24"/>
          <w:highlight w:val="none"/>
          <w:lang w:val="en-US" w:eastAsia="zh-CN"/>
        </w:rPr>
        <w:t>10</w:t>
      </w:r>
      <w:r>
        <w:rPr>
          <w:rFonts w:hint="eastAsia" w:ascii="宋体" w:hAnsi="宋体" w:eastAsia="宋体" w:cs="宋体"/>
          <w:color w:val="C00000"/>
          <w:kern w:val="0"/>
          <w:sz w:val="24"/>
          <w:szCs w:val="24"/>
          <w:highlight w:val="none"/>
          <w:lang w:val="en-US" w:eastAsia="zh-CN"/>
        </w:rPr>
        <w:t>月</w:t>
      </w:r>
      <w:r>
        <w:rPr>
          <w:rFonts w:hint="eastAsia" w:ascii="宋体" w:hAnsi="宋体" w:cs="宋体"/>
          <w:color w:val="C00000"/>
          <w:kern w:val="0"/>
          <w:sz w:val="24"/>
          <w:szCs w:val="24"/>
          <w:highlight w:val="none"/>
          <w:lang w:val="en-US" w:eastAsia="zh-CN"/>
        </w:rPr>
        <w:t>19</w:t>
      </w:r>
      <w:r>
        <w:rPr>
          <w:rFonts w:hint="eastAsia" w:ascii="宋体" w:hAnsi="宋体" w:eastAsia="宋体" w:cs="宋体"/>
          <w:color w:val="C00000"/>
          <w:kern w:val="0"/>
          <w:sz w:val="24"/>
          <w:szCs w:val="24"/>
          <w:highlight w:val="none"/>
          <w:lang w:val="en-US" w:eastAsia="zh-CN"/>
        </w:rPr>
        <w:t>日上午8:30-11:00期间投递投标函，其它时段不接收）递交投标文件。</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五、其他补充事宜</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采购项目的名称、编号、数量、简要规格描述或项目基本概况介绍详见采购需求</w:t>
      </w:r>
      <w:r>
        <w:rPr>
          <w:rFonts w:hint="eastAsia" w:ascii="宋体" w:hAnsi="宋体" w:eastAsia="宋体" w:cs="宋体"/>
          <w:color w:val="auto"/>
          <w:kern w:val="0"/>
          <w:sz w:val="24"/>
          <w:szCs w:val="24"/>
          <w:highlight w:val="none"/>
          <w:lang w:eastAsia="zh-CN"/>
        </w:rPr>
        <w:t>。</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、联系方法</w:t>
      </w:r>
    </w:p>
    <w:p>
      <w:pPr>
        <w:keepNext w:val="0"/>
        <w:keepLines w:val="0"/>
        <w:pageBreakBefore w:val="0"/>
        <w:widowControl/>
        <w:kinsoku/>
        <w:wordWrap/>
        <w:overflowPunct/>
        <w:topLinePunct w:val="0"/>
        <w:autoSpaceDE/>
        <w:autoSpaceDN/>
        <w:bidi w:val="0"/>
        <w:spacing w:line="5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1.采购人信息</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铜陵学院                    </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w:t>
      </w:r>
      <w:r>
        <w:rPr>
          <w:rFonts w:hint="eastAsia" w:ascii="宋体" w:hAnsi="宋体" w:cs="宋体"/>
          <w:color w:val="auto"/>
          <w:sz w:val="24"/>
          <w:szCs w:val="24"/>
          <w:highlight w:val="none"/>
          <w:u w:val="single"/>
          <w:lang w:val="en-US" w:eastAsia="zh-CN"/>
        </w:rPr>
        <w:t xml:space="preserve">铜陵市开发区翠湖四路1335号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程老师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u w:val="none"/>
          <w:lang w:val="en-US" w:eastAsia="zh-CN"/>
        </w:rPr>
        <w:t>：</w:t>
      </w:r>
      <w:r>
        <w:rPr>
          <w:rFonts w:hint="eastAsia" w:ascii="宋体" w:hAnsi="宋体" w:cs="宋体"/>
          <w:color w:val="auto"/>
          <w:sz w:val="24"/>
          <w:szCs w:val="24"/>
          <w:highlight w:val="none"/>
          <w:u w:val="single"/>
          <w:lang w:val="en-US" w:eastAsia="zh-CN"/>
        </w:rPr>
        <w:t xml:space="preserve">   0562-5881058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bookmarkStart w:id="5" w:name="_Toc28359009"/>
      <w:bookmarkStart w:id="6" w:name="_Toc28359086"/>
    </w:p>
    <w:bookmarkEnd w:id="5"/>
    <w:bookmarkEnd w:id="6"/>
    <w:p>
      <w:pPr>
        <w:keepNext w:val="0"/>
        <w:keepLines w:val="0"/>
        <w:pageBreakBefore w:val="0"/>
        <w:numPr>
          <w:ilvl w:val="0"/>
          <w:numId w:val="3"/>
        </w:numPr>
        <w:kinsoku/>
        <w:wordWrap/>
        <w:overflowPunct/>
        <w:topLinePunct w:val="0"/>
        <w:autoSpaceDE/>
        <w:autoSpaceDN/>
        <w:bidi w:val="0"/>
        <w:spacing w:line="50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项目使用管理部门：</w:t>
      </w:r>
      <w:r>
        <w:rPr>
          <w:rFonts w:hint="eastAsia" w:ascii="宋体" w:hAnsi="宋体" w:cs="宋体"/>
          <w:color w:val="auto"/>
          <w:sz w:val="24"/>
          <w:szCs w:val="24"/>
          <w:highlight w:val="none"/>
          <w:u w:val="single"/>
          <w:lang w:eastAsia="zh-CN"/>
        </w:rPr>
        <w:t>铜陵学院安全管理处</w:t>
      </w:r>
    </w:p>
    <w:p>
      <w:pPr>
        <w:keepNext w:val="0"/>
        <w:keepLines w:val="0"/>
        <w:pageBreakBefore w:val="0"/>
        <w:numPr>
          <w:ilvl w:val="0"/>
          <w:numId w:val="3"/>
        </w:numPr>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8"/>
          <w:szCs w:val="28"/>
          <w:highlight w:val="none"/>
        </w:rPr>
      </w:pPr>
      <w:r>
        <w:rPr>
          <w:rFonts w:hint="eastAsia" w:ascii="宋体" w:hAnsi="宋体" w:cs="宋体"/>
          <w:color w:val="auto"/>
          <w:sz w:val="24"/>
          <w:szCs w:val="24"/>
          <w:highlight w:val="none"/>
          <w:lang w:eastAsia="zh-CN"/>
        </w:rPr>
        <w:t>技术及业务咨询联系人：</w:t>
      </w:r>
      <w:r>
        <w:rPr>
          <w:rFonts w:hint="eastAsia" w:ascii="宋体" w:hAnsi="宋体" w:cs="宋体"/>
          <w:color w:val="auto"/>
          <w:sz w:val="24"/>
          <w:szCs w:val="24"/>
          <w:highlight w:val="none"/>
          <w:u w:val="single"/>
          <w:lang w:eastAsia="zh-CN"/>
        </w:rPr>
        <w:t>李军老师（</w:t>
      </w:r>
      <w:r>
        <w:rPr>
          <w:rFonts w:hint="eastAsia" w:ascii="宋体" w:hAnsi="宋体" w:cs="宋体"/>
          <w:color w:val="auto"/>
          <w:sz w:val="24"/>
          <w:szCs w:val="24"/>
          <w:highlight w:val="none"/>
          <w:u w:val="single"/>
          <w:lang w:val="en-US" w:eastAsia="zh-CN"/>
        </w:rPr>
        <w:t>0562-5882910，18956243997</w:t>
      </w:r>
      <w:r>
        <w:rPr>
          <w:rFonts w:hint="eastAsia" w:ascii="宋体" w:hAnsi="宋体" w:cs="宋体"/>
          <w:color w:val="auto"/>
          <w:sz w:val="24"/>
          <w:szCs w:val="24"/>
          <w:highlight w:val="none"/>
          <w:u w:val="single"/>
          <w:lang w:eastAsia="zh-CN"/>
        </w:rPr>
        <w:t>）</w:t>
      </w:r>
    </w:p>
    <w:p>
      <w:pPr>
        <w:pStyle w:val="7"/>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bookmarkStart w:id="18" w:name="_GoBack"/>
      <w:bookmarkEnd w:id="18"/>
    </w:p>
    <w:p>
      <w:pPr>
        <w:pStyle w:val="10"/>
        <w:ind w:left="0" w:leftChars="0" w:firstLine="0" w:firstLineChars="0"/>
        <w:rPr>
          <w:rFonts w:hint="eastAsia"/>
        </w:rPr>
      </w:pPr>
    </w:p>
    <w:p>
      <w:pPr>
        <w:pStyle w:val="73"/>
        <w:wordWrap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供应商须知前附表</w:t>
      </w:r>
    </w:p>
    <w:p>
      <w:pPr>
        <w:spacing w:line="360" w:lineRule="auto"/>
        <w:jc w:val="center"/>
        <w:rPr>
          <w:rFonts w:hint="eastAsia" w:ascii="宋体" w:hAnsi="宋体" w:eastAsia="宋体" w:cs="宋体"/>
          <w:b/>
          <w:bCs/>
          <w:color w:val="auto"/>
          <w:highlight w:val="none"/>
        </w:rPr>
      </w:pPr>
      <w:r>
        <w:rPr>
          <w:rFonts w:hint="eastAsia" w:ascii="宋体" w:hAnsi="宋体" w:cs="宋体"/>
          <w:b/>
          <w:bCs/>
          <w:color w:val="auto"/>
          <w:highlight w:val="none"/>
          <w:lang w:eastAsia="zh-CN"/>
        </w:rPr>
        <w:t>比选</w:t>
      </w:r>
      <w:r>
        <w:rPr>
          <w:rFonts w:hint="eastAsia" w:ascii="宋体" w:hAnsi="宋体" w:eastAsia="宋体" w:cs="宋体"/>
          <w:b/>
          <w:bCs/>
          <w:color w:val="auto"/>
          <w:highlight w:val="none"/>
        </w:rPr>
        <w:t>响应供应商须知一览表</w:t>
      </w:r>
    </w:p>
    <w:tbl>
      <w:tblPr>
        <w:tblStyle w:val="21"/>
        <w:tblW w:w="95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584"/>
        <w:gridCol w:w="61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tblHeader/>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58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条款名称</w:t>
            </w:r>
          </w:p>
        </w:tc>
        <w:tc>
          <w:tcPr>
            <w:tcW w:w="611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预算控制数</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kern w:val="0"/>
                <w:sz w:val="24"/>
                <w:szCs w:val="24"/>
                <w:highlight w:val="none"/>
                <w:lang w:val="en-US" w:eastAsia="zh-CN"/>
              </w:rPr>
              <w:t>4万</w:t>
            </w:r>
            <w:r>
              <w:rPr>
                <w:rFonts w:hint="eastAsia" w:ascii="宋体" w:hAnsi="宋体" w:eastAsia="宋体" w:cs="宋体"/>
                <w:color w:val="auto"/>
                <w:kern w:val="0"/>
                <w:sz w:val="24"/>
                <w:szCs w:val="24"/>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供应商资格审查材料</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详见</w:t>
            </w:r>
            <w:r>
              <w:rPr>
                <w:rFonts w:hint="eastAsia" w:cs="宋体"/>
                <w:color w:val="auto"/>
                <w:sz w:val="24"/>
                <w:szCs w:val="24"/>
                <w:highlight w:val="none"/>
                <w:lang w:val="zh-CN"/>
              </w:rPr>
              <w:t>市场比选</w:t>
            </w:r>
            <w:r>
              <w:rPr>
                <w:rFonts w:hint="eastAsia" w:ascii="宋体" w:hAnsi="宋体" w:eastAsia="宋体" w:cs="宋体"/>
                <w:color w:val="auto"/>
                <w:sz w:val="24"/>
                <w:szCs w:val="24"/>
                <w:highlight w:val="none"/>
                <w:lang w:val="zh-CN"/>
              </w:rPr>
              <w:t>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市场比选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评标方法</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综合评标</w:t>
            </w:r>
            <w:r>
              <w:rPr>
                <w:rFonts w:hint="eastAsia" w:ascii="宋体" w:hAnsi="宋体" w:eastAsia="宋体" w:cs="宋体"/>
                <w:color w:val="auto"/>
                <w:sz w:val="24"/>
                <w:szCs w:val="24"/>
                <w:highlight w:val="none"/>
                <w:lang w:val="zh-CN"/>
              </w:rPr>
              <w:t>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p>
        </w:tc>
        <w:tc>
          <w:tcPr>
            <w:tcW w:w="2584" w:type="dxa"/>
            <w:tcMar>
              <w:left w:w="113" w:type="dxa"/>
              <w:right w:w="113" w:type="dxa"/>
            </w:tcMar>
            <w:vAlign w:val="center"/>
          </w:tcPr>
          <w:p>
            <w:pPr>
              <w:pStyle w:val="48"/>
              <w:adjustRightInd/>
              <w:ind w:left="33" w:leftChars="0"/>
              <w:jc w:val="both"/>
              <w:rPr>
                <w:rFonts w:hint="eastAsia" w:ascii="宋体" w:hAnsi="宋体" w:eastAsia="宋体" w:cs="宋体"/>
                <w:color w:val="auto"/>
                <w:sz w:val="24"/>
                <w:szCs w:val="24"/>
                <w:highlight w:val="none"/>
                <w:lang w:val="zh-CN"/>
              </w:rPr>
            </w:pPr>
            <w:r>
              <w:rPr>
                <w:rFonts w:hint="eastAsia" w:cs="华文仿宋"/>
                <w:color w:val="auto"/>
                <w:sz w:val="24"/>
                <w:szCs w:val="24"/>
                <w:lang w:val="zh-CN"/>
              </w:rPr>
              <w:t>服务期</w:t>
            </w:r>
          </w:p>
        </w:tc>
        <w:tc>
          <w:tcPr>
            <w:tcW w:w="6114" w:type="dxa"/>
            <w:tcMar>
              <w:left w:w="113" w:type="dxa"/>
              <w:right w:w="113" w:type="dxa"/>
            </w:tcMar>
            <w:vAlign w:val="center"/>
          </w:tcPr>
          <w:p>
            <w:pPr>
              <w:adjustRightInd w:val="0"/>
              <w:snapToGrid w:val="0"/>
              <w:rPr>
                <w:rFonts w:hint="eastAsia" w:ascii="宋体" w:hAnsi="宋体" w:eastAsia="宋体" w:cs="宋体"/>
                <w:color w:val="auto"/>
                <w:sz w:val="24"/>
                <w:szCs w:val="24"/>
                <w:highlight w:val="none"/>
                <w:lang w:eastAsia="zh-CN"/>
              </w:rPr>
            </w:pPr>
            <w:r>
              <w:rPr>
                <w:rFonts w:hint="eastAsia" w:ascii="宋体" w:hAnsi="宋体" w:cs="@仿宋_GB2312"/>
                <w:bCs/>
                <w:kern w:val="0"/>
                <w:sz w:val="24"/>
                <w:szCs w:val="28"/>
                <w:lang w:eastAsia="zh-CN"/>
              </w:rPr>
              <w:t>暂定在</w:t>
            </w:r>
            <w:r>
              <w:rPr>
                <w:rFonts w:ascii="宋体" w:hAnsi="宋体" w:eastAsia="宋体" w:cs="@仿宋_GB2312"/>
                <w:bCs/>
                <w:kern w:val="0"/>
                <w:sz w:val="24"/>
                <w:szCs w:val="28"/>
              </w:rPr>
              <w:t xml:space="preserve">2023 年 </w:t>
            </w:r>
            <w:r>
              <w:rPr>
                <w:rFonts w:hint="eastAsia" w:ascii="宋体" w:hAnsi="宋体" w:eastAsia="宋体" w:cs="@仿宋_GB2312"/>
                <w:bCs/>
                <w:kern w:val="0"/>
                <w:sz w:val="24"/>
                <w:szCs w:val="28"/>
                <w:lang w:val="en-US" w:eastAsia="zh-CN"/>
              </w:rPr>
              <w:t>11</w:t>
            </w:r>
            <w:r>
              <w:rPr>
                <w:rFonts w:ascii="宋体" w:hAnsi="宋体" w:eastAsia="宋体" w:cs="@仿宋_GB2312"/>
                <w:bCs/>
                <w:kern w:val="0"/>
                <w:sz w:val="24"/>
                <w:szCs w:val="28"/>
              </w:rPr>
              <w:t>月</w:t>
            </w:r>
            <w:r>
              <w:rPr>
                <w:rFonts w:hint="eastAsia" w:ascii="宋体" w:hAnsi="宋体" w:eastAsia="宋体" w:cs="@仿宋_GB2312"/>
                <w:bCs/>
                <w:kern w:val="0"/>
                <w:sz w:val="24"/>
                <w:szCs w:val="28"/>
                <w:lang w:val="en-US" w:eastAsia="zh-CN"/>
              </w:rPr>
              <w:t>15日前完成</w:t>
            </w:r>
            <w:r>
              <w:rPr>
                <w:rFonts w:hint="eastAsia" w:ascii="宋体" w:hAnsi="宋体" w:eastAsia="宋体" w:cs="@仿宋_GB2312"/>
                <w:bCs/>
                <w:kern w:val="0"/>
                <w:sz w:val="24"/>
                <w:szCs w:val="28"/>
              </w:rPr>
              <w:t>，</w:t>
            </w:r>
            <w:r>
              <w:rPr>
                <w:rFonts w:ascii="宋体" w:hAnsi="宋体" w:eastAsia="宋体" w:cs="@仿宋_GB2312"/>
                <w:bCs/>
                <w:kern w:val="0"/>
                <w:sz w:val="24"/>
                <w:szCs w:val="28"/>
              </w:rPr>
              <w:t>如遇特殊情况</w:t>
            </w:r>
            <w:r>
              <w:rPr>
                <w:rFonts w:hint="eastAsia" w:ascii="宋体" w:hAnsi="宋体" w:eastAsia="宋体" w:cs="@仿宋_GB2312"/>
                <w:bCs/>
                <w:kern w:val="0"/>
                <w:sz w:val="24"/>
                <w:szCs w:val="28"/>
              </w:rPr>
              <w:t>经双方协商后</w:t>
            </w:r>
            <w:r>
              <w:rPr>
                <w:rFonts w:ascii="宋体" w:hAnsi="宋体" w:eastAsia="宋体" w:cs="@仿宋_GB2312"/>
                <w:bCs/>
                <w:kern w:val="0"/>
                <w:sz w:val="24"/>
                <w:szCs w:val="28"/>
              </w:rPr>
              <w:t>可顺</w:t>
            </w:r>
            <w:r>
              <w:rPr>
                <w:rFonts w:hint="eastAsia" w:ascii="宋体" w:hAnsi="宋体" w:eastAsia="宋体" w:cs="@仿宋_GB2312"/>
                <w:bCs/>
                <w:kern w:val="0"/>
                <w:sz w:val="24"/>
                <w:szCs w:val="28"/>
              </w:rPr>
              <w:t>延</w:t>
            </w:r>
            <w:r>
              <w:rPr>
                <w:rFonts w:hint="eastAsia" w:ascii="宋体" w:hAnsi="宋体" w:cs="@仿宋_GB2312"/>
                <w:bCs/>
                <w:kern w:val="0"/>
                <w:sz w:val="24"/>
                <w:szCs w:val="28"/>
                <w:lang w:eastAsia="zh-CN"/>
              </w:rPr>
              <w:t>，服务期期满，双方合作满意可以续签下一年度合同</w:t>
            </w:r>
            <w:r>
              <w:rPr>
                <w:rFonts w:hint="eastAsia" w:ascii="宋体" w:hAnsi="宋体" w:eastAsia="宋体" w:cs="@仿宋_GB2312"/>
                <w:bCs/>
                <w:kern w:val="0"/>
                <w:sz w:val="24"/>
                <w:szCs w:val="2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6</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是否接受联合体</w:t>
            </w: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响应</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是否接受分包履约</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标段划分</w:t>
            </w:r>
          </w:p>
        </w:tc>
        <w:tc>
          <w:tcPr>
            <w:tcW w:w="6114"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成交候选人的推荐</w:t>
            </w:r>
          </w:p>
        </w:tc>
        <w:tc>
          <w:tcPr>
            <w:tcW w:w="6114"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rPr>
            </w:pPr>
            <w:r>
              <w:rPr>
                <w:rFonts w:hint="eastAsia" w:cs="宋体"/>
                <w:b/>
                <w:color w:val="auto"/>
                <w:sz w:val="24"/>
                <w:szCs w:val="24"/>
                <w:highlight w:val="none"/>
                <w:lang w:eastAsia="zh-CN"/>
              </w:rPr>
              <w:t>比选</w:t>
            </w:r>
            <w:r>
              <w:rPr>
                <w:rFonts w:hint="eastAsia" w:ascii="宋体" w:hAnsi="宋体" w:eastAsia="宋体" w:cs="宋体"/>
                <w:b/>
                <w:color w:val="auto"/>
                <w:sz w:val="24"/>
                <w:szCs w:val="24"/>
                <w:highlight w:val="none"/>
              </w:rPr>
              <w:t>小组依据</w:t>
            </w:r>
            <w:r>
              <w:rPr>
                <w:rFonts w:hint="eastAsia" w:cs="宋体"/>
                <w:b/>
                <w:color w:val="auto"/>
                <w:sz w:val="24"/>
                <w:szCs w:val="24"/>
                <w:highlight w:val="none"/>
                <w:lang w:eastAsia="zh-CN"/>
              </w:rPr>
              <w:t>比选</w:t>
            </w:r>
            <w:r>
              <w:rPr>
                <w:rFonts w:hint="eastAsia" w:ascii="宋体" w:hAnsi="宋体" w:eastAsia="宋体" w:cs="宋体"/>
                <w:b/>
                <w:color w:val="auto"/>
                <w:sz w:val="24"/>
                <w:szCs w:val="24"/>
                <w:highlight w:val="none"/>
              </w:rPr>
              <w:t>文件规定的评标标准和方法，对合格</w:t>
            </w:r>
            <w:r>
              <w:rPr>
                <w:rFonts w:hint="eastAsia" w:cs="宋体"/>
                <w:b/>
                <w:color w:val="auto"/>
                <w:sz w:val="24"/>
                <w:szCs w:val="24"/>
                <w:highlight w:val="none"/>
                <w:lang w:eastAsia="zh-CN"/>
              </w:rPr>
              <w:t>比选</w:t>
            </w:r>
            <w:r>
              <w:rPr>
                <w:rFonts w:hint="eastAsia" w:ascii="宋体" w:hAnsi="宋体" w:eastAsia="宋体" w:cs="宋体"/>
                <w:b/>
                <w:color w:val="auto"/>
                <w:sz w:val="24"/>
                <w:szCs w:val="24"/>
                <w:highlight w:val="none"/>
              </w:rPr>
              <w:t>响应文件分别进行评审和比较，结合信用查询情况，按顺序推荐出有排序的</w:t>
            </w:r>
            <w:r>
              <w:rPr>
                <w:rFonts w:hint="eastAsia" w:ascii="宋体" w:hAnsi="宋体" w:eastAsia="宋体" w:cs="宋体"/>
                <w:b/>
                <w:color w:val="auto"/>
                <w:sz w:val="24"/>
                <w:szCs w:val="24"/>
                <w:highlight w:val="none"/>
                <w:u w:val="single"/>
              </w:rPr>
              <w:t xml:space="preserve"> </w:t>
            </w:r>
            <w:r>
              <w:rPr>
                <w:rFonts w:hint="eastAsia" w:cs="宋体"/>
                <w:b/>
                <w:color w:val="auto"/>
                <w:sz w:val="24"/>
                <w:szCs w:val="24"/>
                <w:highlight w:val="none"/>
                <w:u w:val="single"/>
                <w:lang w:val="en-US" w:eastAsia="zh-CN"/>
              </w:rPr>
              <w:t>2</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cs="宋体"/>
                <w:color w:val="auto"/>
                <w:sz w:val="24"/>
                <w:szCs w:val="24"/>
                <w:highlight w:val="none"/>
                <w:lang w:eastAsia="zh-CN"/>
              </w:rPr>
              <w:t>比选</w:t>
            </w:r>
            <w:r>
              <w:rPr>
                <w:rFonts w:hint="eastAsia" w:ascii="宋体" w:hAnsi="宋体" w:eastAsia="宋体" w:cs="宋体"/>
                <w:color w:val="auto"/>
                <w:sz w:val="24"/>
                <w:szCs w:val="24"/>
                <w:highlight w:val="none"/>
              </w:rPr>
              <w:t>响应保证金</w:t>
            </w:r>
          </w:p>
        </w:tc>
        <w:tc>
          <w:tcPr>
            <w:tcW w:w="6114"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资料采集</w:t>
            </w:r>
          </w:p>
        </w:tc>
        <w:tc>
          <w:tcPr>
            <w:tcW w:w="6114"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供应商应自行</w:t>
            </w:r>
            <w:r>
              <w:rPr>
                <w:rFonts w:hint="eastAsia" w:cs="宋体"/>
                <w:color w:val="auto"/>
                <w:sz w:val="24"/>
                <w:szCs w:val="24"/>
                <w:highlight w:val="none"/>
                <w:lang w:eastAsia="zh-CN"/>
              </w:rPr>
              <w:t>下载</w:t>
            </w:r>
            <w:r>
              <w:rPr>
                <w:rFonts w:hint="eastAsia" w:ascii="宋体" w:hAnsi="宋体" w:eastAsia="宋体" w:cs="宋体"/>
                <w:color w:val="auto"/>
                <w:sz w:val="24"/>
                <w:szCs w:val="24"/>
                <w:highlight w:val="none"/>
                <w:lang w:val="en-US" w:eastAsia="zh-CN"/>
              </w:rPr>
              <w:t>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构成</w:t>
            </w:r>
            <w:r>
              <w:rPr>
                <w:rFonts w:hint="eastAsia" w:cs="宋体"/>
                <w:color w:val="auto"/>
                <w:sz w:val="24"/>
                <w:szCs w:val="24"/>
                <w:highlight w:val="none"/>
                <w:lang w:val="zh-CN"/>
              </w:rPr>
              <w:t>市场比选</w:t>
            </w:r>
            <w:r>
              <w:rPr>
                <w:rFonts w:hint="eastAsia" w:ascii="宋体" w:hAnsi="宋体" w:eastAsia="宋体" w:cs="宋体"/>
                <w:color w:val="auto"/>
                <w:sz w:val="24"/>
                <w:szCs w:val="24"/>
                <w:highlight w:val="none"/>
                <w:lang w:val="zh-CN"/>
              </w:rPr>
              <w:t>文件的其他文件</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cs="宋体"/>
                <w:color w:val="auto"/>
                <w:sz w:val="24"/>
                <w:szCs w:val="24"/>
                <w:highlight w:val="none"/>
                <w:lang w:val="zh-CN"/>
              </w:rPr>
              <w:t>市场比选</w:t>
            </w:r>
            <w:r>
              <w:rPr>
                <w:rFonts w:hint="eastAsia" w:ascii="宋体" w:hAnsi="宋体" w:eastAsia="宋体" w:cs="宋体"/>
                <w:color w:val="auto"/>
                <w:sz w:val="24"/>
                <w:szCs w:val="24"/>
                <w:highlight w:val="none"/>
                <w:lang w:val="zh-CN"/>
              </w:rPr>
              <w:t>文件的澄清</w:t>
            </w:r>
            <w:r>
              <w:rPr>
                <w:rFonts w:hint="eastAsia" w:ascii="宋体" w:hAnsi="宋体" w:eastAsia="宋体" w:cs="宋体"/>
                <w:color w:val="auto"/>
                <w:sz w:val="24"/>
                <w:szCs w:val="24"/>
                <w:highlight w:val="none"/>
              </w:rPr>
              <w:t>、修改书及有关补充通知为</w:t>
            </w:r>
            <w:r>
              <w:rPr>
                <w:rFonts w:hint="eastAsia" w:cs="宋体"/>
                <w:color w:val="auto"/>
                <w:sz w:val="24"/>
                <w:szCs w:val="24"/>
                <w:highlight w:val="none"/>
                <w:lang w:eastAsia="zh-CN"/>
              </w:rPr>
              <w:t>市场比选</w:t>
            </w:r>
            <w:r>
              <w:rPr>
                <w:rFonts w:hint="eastAsia" w:ascii="宋体" w:hAnsi="宋体" w:eastAsia="宋体" w:cs="宋体"/>
                <w:color w:val="auto"/>
                <w:sz w:val="24"/>
                <w:szCs w:val="24"/>
                <w:highlight w:val="none"/>
              </w:rPr>
              <w:t>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响应有效期</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w:t>
            </w:r>
            <w:r>
              <w:rPr>
                <w:rFonts w:hint="eastAsia" w:cs="宋体"/>
                <w:color w:val="auto"/>
                <w:sz w:val="24"/>
                <w:szCs w:val="24"/>
                <w:highlight w:val="none"/>
                <w:lang w:eastAsia="zh-CN"/>
              </w:rPr>
              <w:t>一</w:t>
            </w:r>
            <w:r>
              <w:rPr>
                <w:rFonts w:hint="eastAsia" w:ascii="宋体" w:hAnsi="宋体" w:eastAsia="宋体" w:cs="宋体"/>
                <w:color w:val="auto"/>
                <w:sz w:val="24"/>
                <w:szCs w:val="24"/>
                <w:highlight w:val="none"/>
              </w:rPr>
              <w:t>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14</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付款方式</w:t>
            </w:r>
          </w:p>
        </w:tc>
        <w:tc>
          <w:tcPr>
            <w:tcW w:w="6114" w:type="dxa"/>
            <w:tcMar>
              <w:left w:w="113" w:type="dxa"/>
              <w:right w:w="113" w:type="dxa"/>
            </w:tcMar>
            <w:vAlign w:val="center"/>
          </w:tcPr>
          <w:p>
            <w:pPr>
              <w:pStyle w:val="11"/>
              <w:numPr>
                <w:ilvl w:val="0"/>
                <w:numId w:val="0"/>
              </w:numPr>
              <w:spacing w:line="240" w:lineRule="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完成培训所有内容，经使用部门验收合格后，提供有效正规发票在10个工作日内支</w:t>
            </w:r>
            <w:r>
              <w:rPr>
                <w:rFonts w:hint="eastAsia" w:ascii="宋体" w:hAnsi="宋体" w:cs="宋体"/>
                <w:color w:val="auto"/>
                <w:sz w:val="24"/>
                <w:szCs w:val="24"/>
                <w:highlight w:val="none"/>
                <w:lang w:val="en-US" w:eastAsia="zh-CN"/>
              </w:rPr>
              <w:t>付合同款。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2"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履约保证金</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en-US" w:eastAsia="zh-CN" w:bidi="ar-SA"/>
              </w:rPr>
            </w:pPr>
            <w:r>
              <w:rPr>
                <w:rStyle w:val="117"/>
                <w:rFonts w:hint="eastAsia" w:cs="宋体"/>
                <w:color w:val="auto"/>
                <w:kern w:val="0"/>
                <w:sz w:val="24"/>
                <w:szCs w:val="24"/>
                <w:highlight w:val="none"/>
                <w:lang w:val="en-US" w:eastAsia="zh-CN" w:bidi="ar-SA"/>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2"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en-US" w:eastAsia="zh-CN"/>
              </w:rPr>
              <w:t>17</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响应文件份数</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一份正本、两份副本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及</w:t>
            </w: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响应书递交</w:t>
            </w:r>
          </w:p>
        </w:tc>
        <w:tc>
          <w:tcPr>
            <w:tcW w:w="6114" w:type="dxa"/>
            <w:tcMar>
              <w:left w:w="113" w:type="dxa"/>
              <w:right w:w="113" w:type="dxa"/>
            </w:tcMar>
            <w:vAlign w:val="center"/>
          </w:tcPr>
          <w:p>
            <w:pPr>
              <w:wordWrap w:val="0"/>
              <w:autoSpaceDE w:val="0"/>
              <w:autoSpaceDN w:val="0"/>
              <w:snapToGrid w:val="0"/>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0"/>
                <w:sz w:val="24"/>
                <w:szCs w:val="24"/>
                <w:highlight w:val="none"/>
              </w:rPr>
              <w:t>见</w:t>
            </w:r>
            <w:r>
              <w:rPr>
                <w:rFonts w:hint="eastAsia" w:ascii="宋体" w:hAnsi="宋体" w:cs="宋体"/>
                <w:color w:val="auto"/>
                <w:kern w:val="0"/>
                <w:sz w:val="24"/>
                <w:szCs w:val="24"/>
                <w:highlight w:val="none"/>
                <w:lang w:eastAsia="zh-CN"/>
              </w:rPr>
              <w:t>市场比选</w:t>
            </w:r>
            <w:r>
              <w:rPr>
                <w:rFonts w:hint="eastAsia" w:ascii="宋体" w:hAnsi="宋体" w:eastAsia="宋体" w:cs="宋体"/>
                <w:color w:val="auto"/>
                <w:kern w:val="0"/>
                <w:sz w:val="24"/>
                <w:szCs w:val="24"/>
                <w:highlight w:val="none"/>
                <w:lang w:eastAsia="zh-CN"/>
              </w:rPr>
              <w:t>公告</w:t>
            </w:r>
            <w:r>
              <w:rPr>
                <w:rFonts w:hint="eastAsia" w:ascii="宋体" w:hAnsi="宋体" w:eastAsia="宋体" w:cs="宋体"/>
                <w:color w:val="auto"/>
                <w:kern w:val="0"/>
                <w:sz w:val="24"/>
                <w:szCs w:val="24"/>
                <w:highlight w:val="none"/>
              </w:rPr>
              <w:t>，供应商应当仔细上网查看地点及时间相关发布或变更信息，递交至错误的</w:t>
            </w:r>
            <w:r>
              <w:rPr>
                <w:rFonts w:hint="eastAsia" w:ascii="宋体" w:hAnsi="宋体" w:cs="宋体"/>
                <w:color w:val="auto"/>
                <w:kern w:val="0"/>
                <w:sz w:val="24"/>
                <w:szCs w:val="24"/>
                <w:highlight w:val="none"/>
                <w:lang w:eastAsia="zh-CN"/>
              </w:rPr>
              <w:t>比选</w:t>
            </w:r>
            <w:r>
              <w:rPr>
                <w:rFonts w:hint="eastAsia" w:ascii="宋体" w:hAnsi="宋体" w:eastAsia="宋体" w:cs="宋体"/>
                <w:color w:val="auto"/>
                <w:kern w:val="0"/>
                <w:sz w:val="24"/>
                <w:szCs w:val="24"/>
                <w:highlight w:val="none"/>
              </w:rPr>
              <w:t>响应地点将造成标书无法接受。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及响应截止时间</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见</w:t>
            </w:r>
            <w:r>
              <w:rPr>
                <w:rFonts w:hint="eastAsia" w:cs="宋体"/>
                <w:color w:val="auto"/>
                <w:sz w:val="24"/>
                <w:szCs w:val="24"/>
                <w:highlight w:val="none"/>
                <w:lang w:eastAsia="zh-CN"/>
              </w:rPr>
              <w:t>市场比选</w:t>
            </w:r>
            <w:r>
              <w:rPr>
                <w:rFonts w:hint="eastAsia" w:ascii="宋体" w:hAnsi="宋体" w:eastAsia="宋体" w:cs="宋体"/>
                <w:color w:val="auto"/>
                <w:sz w:val="24"/>
                <w:szCs w:val="24"/>
                <w:highlight w:val="none"/>
                <w:lang w:eastAsia="zh-CN"/>
              </w:rPr>
              <w:t>公告</w:t>
            </w:r>
            <w:r>
              <w:rPr>
                <w:rFonts w:hint="eastAsia" w:ascii="宋体" w:hAnsi="宋体" w:eastAsia="宋体" w:cs="宋体"/>
                <w:color w:val="auto"/>
                <w:sz w:val="24"/>
                <w:szCs w:val="24"/>
                <w:highlight w:val="none"/>
                <w:lang w:val="zh-CN"/>
              </w:rPr>
              <w:t>，迟于响应截止时间递交的文件将不予接受。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20</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费用承担</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供应商参加</w:t>
            </w:r>
            <w:r>
              <w:rPr>
                <w:rFonts w:hint="eastAsia" w:cs="宋体"/>
                <w:color w:val="auto"/>
                <w:sz w:val="24"/>
                <w:szCs w:val="24"/>
                <w:highlight w:val="none"/>
                <w:lang w:eastAsia="zh-CN"/>
              </w:rPr>
              <w:t>比选</w:t>
            </w:r>
            <w:r>
              <w:rPr>
                <w:rFonts w:hint="eastAsia" w:ascii="宋体" w:hAnsi="宋体" w:eastAsia="宋体" w:cs="宋体"/>
                <w:color w:val="auto"/>
                <w:sz w:val="24"/>
                <w:szCs w:val="24"/>
                <w:highlight w:val="none"/>
              </w:rPr>
              <w:t>活动发生的一切费用均自理</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en-US" w:eastAsia="zh-CN"/>
              </w:rPr>
              <w:t>21</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合同签订时间</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采购人通知领取成交通知书后，成交供应商应在3</w:t>
            </w:r>
            <w:r>
              <w:rPr>
                <w:rFonts w:hint="eastAsia" w:cs="宋体"/>
                <w:color w:val="auto"/>
                <w:sz w:val="24"/>
                <w:szCs w:val="24"/>
                <w:highlight w:val="none"/>
                <w:lang w:eastAsia="zh-CN"/>
              </w:rPr>
              <w:t>工作</w:t>
            </w:r>
            <w:r>
              <w:rPr>
                <w:rFonts w:hint="eastAsia" w:ascii="宋体" w:hAnsi="宋体" w:eastAsia="宋体" w:cs="宋体"/>
                <w:color w:val="auto"/>
                <w:sz w:val="24"/>
                <w:szCs w:val="24"/>
                <w:highlight w:val="none"/>
              </w:rPr>
              <w:t>日内领取成交通知书，领取后</w:t>
            </w:r>
            <w:r>
              <w:rPr>
                <w:rFonts w:hint="eastAsia" w:cs="宋体"/>
                <w:color w:val="auto"/>
                <w:sz w:val="24"/>
                <w:szCs w:val="24"/>
                <w:highlight w:val="none"/>
                <w:lang w:val="en-US" w:eastAsia="zh-CN"/>
              </w:rPr>
              <w:t>3</w:t>
            </w:r>
            <w:r>
              <w:rPr>
                <w:rFonts w:hint="eastAsia" w:cs="宋体"/>
                <w:color w:val="auto"/>
                <w:sz w:val="24"/>
                <w:szCs w:val="24"/>
                <w:highlight w:val="none"/>
                <w:lang w:eastAsia="zh-CN"/>
              </w:rPr>
              <w:t>工作日</w:t>
            </w:r>
            <w:r>
              <w:rPr>
                <w:rFonts w:hint="eastAsia" w:ascii="宋体" w:hAnsi="宋体" w:eastAsia="宋体" w:cs="宋体"/>
                <w:color w:val="auto"/>
                <w:sz w:val="24"/>
                <w:szCs w:val="24"/>
                <w:highlight w:val="none"/>
              </w:rPr>
              <w:t>内与采购人签订合同，逾期不领取成交通知书或不签订合同的，顺延至第二成交供应商或重新采购。</w:t>
            </w:r>
          </w:p>
        </w:tc>
      </w:tr>
      <w:bookmarkEnd w:id="0"/>
      <w:bookmarkEnd w:id="1"/>
      <w:bookmarkEnd w:id="2"/>
      <w:bookmarkEnd w:id="3"/>
      <w:bookmarkEnd w:id="4"/>
    </w:tbl>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第三章  </w:t>
      </w:r>
      <w:r>
        <w:rPr>
          <w:rFonts w:hint="eastAsia" w:ascii="宋体" w:hAnsi="宋体" w:cs="宋体"/>
          <w:b/>
          <w:bCs/>
          <w:color w:val="auto"/>
          <w:sz w:val="28"/>
          <w:szCs w:val="28"/>
          <w:highlight w:val="none"/>
          <w:lang w:eastAsia="zh-CN"/>
        </w:rPr>
        <w:t>比选</w:t>
      </w:r>
      <w:r>
        <w:rPr>
          <w:rFonts w:hint="eastAsia" w:ascii="宋体" w:hAnsi="宋体" w:eastAsia="宋体" w:cs="宋体"/>
          <w:b/>
          <w:bCs/>
          <w:color w:val="auto"/>
          <w:sz w:val="28"/>
          <w:szCs w:val="28"/>
          <w:highlight w:val="none"/>
        </w:rPr>
        <w:t>响应供应商须知</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文件仅适用于本次</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的服务项目。根据采购人提交的服务要求，对此项目进行</w:t>
      </w:r>
      <w:r>
        <w:rPr>
          <w:rFonts w:hint="eastAsia" w:ascii="宋体" w:hAnsi="宋体" w:cs="宋体"/>
          <w:color w:val="auto"/>
          <w:sz w:val="24"/>
          <w:szCs w:val="24"/>
          <w:highlight w:val="none"/>
          <w:lang w:eastAsia="zh-CN"/>
        </w:rPr>
        <w:t>招标</w:t>
      </w:r>
      <w:r>
        <w:rPr>
          <w:rFonts w:hint="eastAsia" w:ascii="宋体" w:hAnsi="宋体" w:eastAsia="宋体" w:cs="宋体"/>
          <w:color w:val="auto"/>
          <w:sz w:val="24"/>
          <w:szCs w:val="24"/>
          <w:highlight w:val="none"/>
        </w:rPr>
        <w:t>采购，编制</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在采购人纪委监督下自行</w:t>
      </w:r>
      <w:r>
        <w:rPr>
          <w:rFonts w:hint="eastAsia" w:ascii="宋体" w:hAnsi="宋体" w:eastAsia="宋体" w:cs="宋体"/>
          <w:color w:val="auto"/>
          <w:sz w:val="24"/>
          <w:szCs w:val="24"/>
          <w:highlight w:val="none"/>
        </w:rPr>
        <w:t>组织开评标活动。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的服务系指除货物和工程以外的其他政府采购对象。无论</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文件是否列明，供应商所提供的服务必须符合国家相关现行法律法规的规定，否则</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响应无效。本</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文件所要求的证书、认证、资质，均应当是有权机构颁发，且在有效期内。</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cs="宋体"/>
          <w:b/>
          <w:bCs/>
          <w:color w:val="auto"/>
          <w:sz w:val="24"/>
          <w:szCs w:val="24"/>
          <w:highlight w:val="none"/>
          <w:lang w:eastAsia="zh-CN"/>
        </w:rPr>
        <w:t>比选</w:t>
      </w:r>
      <w:r>
        <w:rPr>
          <w:rFonts w:hint="eastAsia" w:ascii="宋体" w:hAnsi="宋体" w:eastAsia="宋体" w:cs="宋体"/>
          <w:b/>
          <w:bCs/>
          <w:color w:val="auto"/>
          <w:sz w:val="24"/>
          <w:szCs w:val="24"/>
          <w:highlight w:val="none"/>
        </w:rPr>
        <w:t>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3、供应商应当按照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文件的要求编制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响应文件应对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文件提出的要求和条件作出实质性响应。供应商应认真阅读和充分理解</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文件中所有的内容。如果供应商没有满足</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文件的有关要求，其风险由供应商自行承担。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4、供应商获取</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文件后，应仔细检查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文件的所有内容，如有残缺、疑问等问题应向采购代理机构提出，否则，由此引起的损失由供应商自行承担。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5、答疑及</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文件的澄清与修改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5.1供应商可以要求采购单位对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文件中的有关问题进行答疑、澄清。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5.2供应商对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文件如有疑问，须按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公告中的联系方式，以书面形式（如传真、信件等）通知采购人和采购代理机构。未在规定时间提出疑问的，将不予答复。在此规定时间以前收到的、且需要做出澄清的问题，将以</w:t>
      </w:r>
      <w:r>
        <w:rPr>
          <w:rFonts w:hint="eastAsia" w:ascii="宋体" w:hAnsi="宋体" w:eastAsia="宋体" w:cs="宋体"/>
          <w:color w:val="auto"/>
          <w:sz w:val="24"/>
          <w:szCs w:val="24"/>
          <w:highlight w:val="none"/>
          <w:lang w:val="en-US" w:eastAsia="zh-CN"/>
        </w:rPr>
        <w:t>书面</w:t>
      </w:r>
      <w:r>
        <w:rPr>
          <w:rFonts w:hint="eastAsia" w:ascii="宋体" w:hAnsi="宋体" w:eastAsia="宋体" w:cs="宋体"/>
          <w:color w:val="auto"/>
          <w:sz w:val="24"/>
          <w:szCs w:val="24"/>
          <w:highlight w:val="none"/>
        </w:rPr>
        <w:t>的形式告知所有供应商，但不说明问题的来源。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6.1在某些情况下，采购人可能对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6.2采购人对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文件的修改，将以补充公告的形式通知所有供应商，并对所有供应商具有约束力。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6.3为使供应商有充分时间对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文件的修改部分进行研究或由于其他原因，采购人可以决定延长</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响应截止日期，并以补充公告的形式将变更时间通知所有供应商。</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7、提交保证金</w:t>
      </w:r>
      <w:r>
        <w:rPr>
          <w:rFonts w:hint="eastAsia" w:ascii="宋体" w:hAnsi="宋体" w:cs="宋体"/>
          <w:color w:val="auto"/>
          <w:sz w:val="24"/>
          <w:szCs w:val="24"/>
          <w:highlight w:val="none"/>
          <w:lang w:eastAsia="zh-CN"/>
        </w:rPr>
        <w:t>（无）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响应保证金账截止时间为</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公告规定的时间。</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响应保证金必须从供应商基本账户汇入到指定账户。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7.2开标时出现下列情形之一的，拒绝其投标。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7.2.1未在投标截止时间前提交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供应商必须自行承担所有与参加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响应有关的一切费用。不论</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响应的结果如何，采购人和采购机构在任何情况下均无义务和责任承担这些费用。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9、合格的供应商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9.1合格的供应商应当满足本项目采购文件所载明须满足的最低条件。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9.2供应商之间如果存在下列情形之一的，且参加同一标段（包别）或者不分标段（包别）的同一项目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响应，相关供应商均按无效标进行处理：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9.2.1法定代表人为同一个人的两个及两个以上法人；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9.2.2母公司、全资子公司及其控股公司；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9.2.3参加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响应的其他组织之间存在特殊的利害关系的；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9.2.4法律和行政法规规定的其他情形。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10、勘察现场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10.1供应商应自行对供货现场和周围环境进行勘察，以获取编制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响应文件和签署合同所需的资料。勘察现场的方式、地址及联系方式见供应商须知前附表。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10.3除非有特殊要求，</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文件不单独提供现场的自然环境、气候条件、公用设施等情况，供应商被视为熟悉上述与履行合同有关的一切情况。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11、知识产权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11.1供应商须保证，采购人在中华人民共和国境内使用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响应货物、资料、技术、服务或其任何一部分时，享有不受限制的无偿使用权，不会产生因第三方提出侵犯其专利权、商标权或其它知识产权而引起的法律或经济纠纷。如供应商不拥有相应的知识产权，则在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响应报价中必须包括合法获取该知识产权的一切相关费用。如因此导致采购人损失的，供应商须承担全部赔偿责任。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11.2供应商如欲在项目实施过程中采用自有知识成果，须在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响应文件中声明，并提供相关知识产权证明文件。使用该知识成果后，供应商须提供开发接口和开发手册等技术文档。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12、纪律与保密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响应行为应遵守中国的有关法律、法规和规章。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12.2供应商不得相互串通</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响应报价，不得妨碍其他供应商的公平竞争，不得损害采购人或其他供应商的合法权益，供应商不得以向采购人、</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小组成员行贿或者采取其他不正当手段谋取成交。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12.2.1有下列情形之一的，属于供应商相互串通</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12.2.1.1供应商之间协商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响应文件的实质性内容；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12.2.1.2供应商之间约定成交供应商；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12.2.1.3供应商之间约定部分供应商放弃</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响应或者成交；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12.2.1.4属于同一集团、协会、商会等组织成员的供应商按照该组织要求协同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12.2.1.5供应商之间为谋取成交或者排斥特定供应商而采取的其他联合行动。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12.2.1.6法律法规规定的其它情形。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有下列情形之一的，视为供应商相互串通</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12.2.2.1不同供应商的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响应文件由同一单位或者个人编制；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12.2.2.2不同供应商委托同一单位或者个人办理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响应事宜；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12.2.2.3不同供应商的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响应文件载明的项目负责人（或技术负责人）为同一人；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12.2.2.4不同供应商的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响应文件相互混装；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12.2.2.5不同供应商的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文件异常一致或者</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最终报价是呈规律性差异；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12.2.2.6不同供应商的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响应保证金从同一单位（或者同一个人）的账户转出；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12.2.2.7 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12.3在确定成交供应商之前，供应商试图在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响应文件审查、澄清、比较和评价时对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小组和采购人施加任何影响都可能导致其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13、联合体</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13.1除非本项目明确要求不接受联合体形式</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响应外，两个或两个以上供应商可以组成一个联合体</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响应，以一个供应商的身份</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13.2联合体各方之间应当签订联合体协议，明确约定联合体各方应当承担的工作和相应的责任，明确联合体牵头人，并将联合体协议连同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响应文件一并提交，联合体协议上需加盖联合体各方单位公章。由同一专业的单位组成的联合体，按照同一资质等级较低的单位确定资质等级。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13.3联合体各方签订联合体协议后，不得再以自己的名义单独在同一项目中</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响应，也不得组成新的联合体参加同一项目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响应，否则相关供应商均作无效标处理。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13.4联合体</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响应的，可以由联合体中的一方或者共同提交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响应保证金，以一方名义提交保证金的，对联合体各方均具有约束力。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14、签章的效力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文件中明确要求签章的，供应商必须在相应位置签章。</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15、企业诚信库（本项目不采用）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15.1为进一步规范</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响应行为，提高</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响应工作效率，降低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响应成本，加强对供应商诚信信息的管理，加快政府采购工作电子化、信息化建设，中心实行供应商企业诚信库制度，并面向全国免费征集。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小组负责审核。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15.3为确保</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响应文件通过评审，供应商应及时对入库资料进行补充、更新。如因前款原因未通过本项目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小组评审，由供应商承担全部责任。</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r>
        <w:rPr>
          <w:rFonts w:hint="eastAsia" w:ascii="宋体" w:hAnsi="宋体" w:cs="宋体"/>
          <w:b/>
          <w:bCs/>
          <w:color w:val="auto"/>
          <w:sz w:val="24"/>
          <w:szCs w:val="24"/>
          <w:highlight w:val="none"/>
          <w:lang w:eastAsia="zh-CN"/>
        </w:rPr>
        <w:t>比选</w:t>
      </w:r>
      <w:r>
        <w:rPr>
          <w:rFonts w:hint="eastAsia" w:ascii="宋体" w:hAnsi="宋体" w:eastAsia="宋体" w:cs="宋体"/>
          <w:b/>
          <w:bCs/>
          <w:color w:val="auto"/>
          <w:sz w:val="24"/>
          <w:szCs w:val="24"/>
          <w:highlight w:val="none"/>
        </w:rPr>
        <w:t>响应文件的编制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响应的语言及度量衡单位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响应文件、以及供应商与采购单位就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响应的所有往来函电，均须使用简体中文。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文件中另有规定外，</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响应文件所使用的度量衡均须采用法定计量单位。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响应文件构成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响应文件应包括本</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文件格式中所规定的全部内容。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17.2供应商必须对其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响应文件的真实性与准确性负责。供应商一旦成为成交供应商，其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响应文件将作为合同的重要组成部分。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17.3除文件中规定允许变动的格式，供应商不得擅自对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文件规定的格式、条款和技术要求进行修改。否则，其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响应文件在评标时有可能被认为是未对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文件做出实质性的响应而中止对其作进一步的评审。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响应报价表上应清楚地标明供应商拟提供货物的名称、单价和总价。只允许有一个方案、一个报价，多方案、多报价的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响应文件将不被接受。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响应报价表上</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的价格是交货地的验收价格，其总价即为履行合同的固定价格。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bookmarkStart w:id="7" w:name="EB616bfadcee8947c09e287939cf58f192"/>
      <w:r>
        <w:rPr>
          <w:rFonts w:hint="eastAsia" w:ascii="宋体" w:hAnsi="宋体" w:eastAsia="宋体" w:cs="宋体"/>
          <w:color w:val="auto"/>
          <w:sz w:val="24"/>
          <w:szCs w:val="24"/>
          <w:highlight w:val="none"/>
        </w:rPr>
        <w:t>供应商的报价应包含所投服务、人员工资、津补贴、社保支出、交通补贴等工作所发生的一切应有费用。</w:t>
      </w:r>
      <w:bookmarkEnd w:id="7"/>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响应报价为签订合同的依据。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18.4供应商应在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响应文件中注明拟提供服务、货物的单价、服务内容明细和总价。除政策性文件规定以外，供应商所报价格在合同实施期间不因市场变化因素而变动。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响应货币：</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响应须以人民币报价。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20、证明供应商合格的文件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20.1供应商在其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响应文件中，应根据采购文件要求提交证明其有资格参加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响应和成交后有能力履行合同的证明文件，作为其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响应文件的一部分。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20.2供应商资质证书（或资格证明）处于年检、换证、升级、变更等期间，除非法律法规或发证机构有书面材料明确表明供应商资质（或资格)有效，否则一律不予认可。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响应文件的密封和标记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bookmarkStart w:id="8" w:name="_Hlt509650747"/>
      <w:bookmarkEnd w:id="8"/>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响应截止时间前，供应商须到达公告指定的地点将密封的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响应文件提交给招标代理工作人员，未密封的不予接收。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响应文件应当密封，并在密封袋上标注项目名称、项目编号、供应商名称及包别。</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21.2如果未按规定封装或加写标记或递交，采购代理机构将不承担</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响应文件错放或提前开封的责任，并导致该类别</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响应文件递交无效。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21.3供应商应按照供应商须知前附表的要求准备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r>
        <w:rPr>
          <w:rFonts w:hint="eastAsia" w:ascii="宋体" w:hAnsi="宋体" w:cs="宋体"/>
          <w:b/>
          <w:bCs/>
          <w:color w:val="auto"/>
          <w:sz w:val="24"/>
          <w:szCs w:val="24"/>
          <w:highlight w:val="none"/>
          <w:lang w:eastAsia="zh-CN"/>
        </w:rPr>
        <w:t>比选</w:t>
      </w:r>
      <w:r>
        <w:rPr>
          <w:rFonts w:hint="eastAsia" w:ascii="宋体" w:hAnsi="宋体" w:eastAsia="宋体" w:cs="宋体"/>
          <w:b/>
          <w:bCs/>
          <w:color w:val="auto"/>
          <w:sz w:val="24"/>
          <w:szCs w:val="24"/>
          <w:highlight w:val="none"/>
        </w:rPr>
        <w:t>响应文件的递交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 xml:space="preserve">响应文件的递交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响应文件的递交是指供应商在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响应截止时间前密封送达指定开标地点并递交的。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响应截止时间前，供应商可以修改或撤回已提交的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响应截止时间前递交的最后一份为准。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文件要求提交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响应文件的截止时间之后送达的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响应文件，为无效</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响应文件，将拒绝接收。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响应保证金回单复印件或影印件（如有）需一同递交，否则其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响应将被拒绝：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24、拒绝的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24.1采购单位将拒绝迟交的标书并原封退回。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响应书的修改和撤回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25.1供应商递交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响应书后，可以在规定的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响应截止时间前修改或撤回其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响应书。但这种修改和撤回，必须以书面形式通知采购单位。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25.2供应商修改书或撤回通知书，应由法定代表人或其授权代表签署，修改书应当按</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文件要求进行密封、标记和提交。</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六、开标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26、开标活动符合相关法律法规</w:t>
      </w:r>
      <w:r>
        <w:rPr>
          <w:rFonts w:hint="eastAsia" w:ascii="宋体" w:hAnsi="宋体" w:cs="宋体"/>
          <w:color w:val="auto"/>
          <w:sz w:val="24"/>
          <w:szCs w:val="24"/>
          <w:highlight w:val="none"/>
          <w:lang w:eastAsia="zh-CN"/>
        </w:rPr>
        <w:t>，在采购人纪委监督下自行组织开评标活动，供应商不参加开标</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27、开标会议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27.1主持人按</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规定，</w:t>
      </w:r>
      <w:r>
        <w:rPr>
          <w:rFonts w:hint="eastAsia" w:ascii="宋体" w:hAnsi="宋体" w:cs="宋体"/>
          <w:color w:val="auto"/>
          <w:sz w:val="24"/>
          <w:szCs w:val="24"/>
          <w:highlight w:val="none"/>
          <w:lang w:eastAsia="zh-CN"/>
        </w:rPr>
        <w:t>不</w:t>
      </w:r>
      <w:r>
        <w:rPr>
          <w:rFonts w:hint="eastAsia" w:ascii="宋体" w:hAnsi="宋体" w:eastAsia="宋体" w:cs="宋体"/>
          <w:color w:val="auto"/>
          <w:sz w:val="24"/>
          <w:szCs w:val="24"/>
          <w:highlight w:val="none"/>
        </w:rPr>
        <w:t>邀请供应商代表参加。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 按规定提交合格的撤回通知的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响应文件不予开封，并退回给供应商。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 开标由采购</w:t>
      </w:r>
      <w:r>
        <w:rPr>
          <w:rFonts w:hint="eastAsia" w:ascii="宋体" w:hAnsi="宋体" w:cs="宋体"/>
          <w:color w:val="auto"/>
          <w:sz w:val="24"/>
          <w:szCs w:val="24"/>
          <w:highlight w:val="none"/>
          <w:lang w:eastAsia="zh-CN"/>
        </w:rPr>
        <w:t>人国资处部门</w:t>
      </w:r>
      <w:r>
        <w:rPr>
          <w:rFonts w:hint="eastAsia" w:ascii="宋体" w:hAnsi="宋体" w:eastAsia="宋体" w:cs="宋体"/>
          <w:color w:val="auto"/>
          <w:sz w:val="24"/>
          <w:szCs w:val="24"/>
          <w:highlight w:val="none"/>
        </w:rPr>
        <w:t>相关人员主持。</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七、评标定标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与评标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与评审程序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小组由采购人依法组建，成员人数为3人以上单数。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小组首先对供应商的有效性进行审查。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开始前，</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小组将认真审查供应商提交的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响应书，了解其与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文件要求是否有偏离，并对照本</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文件规定评判供应商是否合格。审查完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响应书后，对合格供应商提供的样品(如有)进行检验。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28.1.4</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小组所有成员集中与单一供应商进行逐一</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小组可以根据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情况实质性变动采购需求中的技术、服务要求以及合同草案条款，但不得变动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文件中的其他内容。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文件的变动情况和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28.1.5对否定的供应商，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小组要提出充足的否定理由，并填写在评审记录上；对评审结果持有异议的，按照少数服从多数的原则由评委采取投票方式表决确定并记录入评审记录。</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28.2</w:t>
      </w:r>
      <w:r>
        <w:rPr>
          <w:rFonts w:hint="eastAsia" w:ascii="宋体" w:hAnsi="宋体" w:cs="宋体"/>
          <w:color w:val="auto"/>
          <w:sz w:val="24"/>
          <w:szCs w:val="24"/>
          <w:highlight w:val="none"/>
          <w:lang w:eastAsia="zh-CN"/>
        </w:rPr>
        <w:t>比选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28.2.1在掌握了供应商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响应书及样品（如有）的基本情况后，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小组将与供应商分别进行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28.2.2在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过程中，</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小组可以根据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情况实质性变动采购需求中的技术、服务要求以及合同草案条款，实质性变动内容是</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文件的有效组成部分。实质性变动的内容，经采购人代表确认。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文件作出的实质性变动是</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文件的有效组成部分，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小组应当及时以书面形式同时通知所有参加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文件的变动情况和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28.3.1响应报价超过项目预算控制数或不按规定格式进行报价的属于无效响应。报价表应按要求填写并装订入响应文件内。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28.3.2如</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过程中没有增加货物、工程数量或服务要求的，则二次报价时不得高于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响应书中的报价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成交后其单价部分按最后报价总价下降幅度同比例下降。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29、成交候选人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29.1推荐成交候选人。在全部满足</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文件实质性要求前提下，按照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文件中规定的各项因素进行综合评审，以总得分由高到低的顺序并经须知前附表中要求的信用信息查询后，提出成交候选供应商。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29.2评标过程的保密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开标后，直至授予成交供应商合同为止，凡属于对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响应文件的审查、澄清、评价和比较的有关资料以及成交候选人的推荐情况，与评标有关的其他任何情况均严格保密。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成交供应商确定后，采购人不对未成交供应商就评标过程以及未能成交原因作出任何解释。未成交供应商不得向</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小组组成人员或其他有关人员询问评标过程的情况和索要材料。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29.3异常情况处理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出现以下情况之一的，将重新组织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29.3.1经过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，供应商所提供的服务仍无法满足</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文件实质性要求、影响工作的；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29.3.2出现影响采购公正的违法、违规行为的。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30、质疑和投诉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供应商应在法定质疑期内一次性提出针对同一采购程序环节的质疑。提出质疑的供应商应当是参与所质疑项目采购活动的供应商。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供应商如对本采购文件有任何疑问或澄清要求，应在知其权益受到损害之日起七个工作日内提出。否则视同供应商对文件理解和接受。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供应商对成交公告有质疑的，应在成交公告期限届满之日起七个工作日前提出。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31、在</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采购中，出现下列情形之一的，本项目废标：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31.1合格供应商不足规定家数的；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31.2出现影响采购公正的违法、违规行为的；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31.3采购需求出现重大问题，导致</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 xml:space="preserve">小组认为无法继续评审的；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31.4因重大变故，采购任务取消的。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31.5法律法规规定的其他应该废标的情形。</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九、评标办法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本着坚持“公开、公平、公正”的原则，为维护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综合评分法，即在全部满足</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文件实质性要求前提下，按照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本项目采取的评标办法见供应商须知前附表。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32、评标程序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小组应认真研究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文件及采购需求，应了解和熟悉</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项目的范围、性质、特征主要技术服务要求及标准、评审标准等相关内容：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小组首先根据已发布的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文件核对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文件内容不符的，按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文件内容对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小组成员对响应文件有效性进行评审。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32.3先进行有效性评审的，采用综合评分法的将技术与商务部分得分汇总后，最后再进行报价部分评审。</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小组根据采购文件，推荐有排序的预成交候选人，并形成评标报告。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小组发现供应商的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响应文件中对同类问题表述不一致、前后矛盾、有明显文字和计算错误的内容、有可能不符合</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文件规定等情况需要澄清时，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小组将以询标的方式告知并要求供应商以书面方式进行必要的澄清、说明或补正。对否定的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响应文件，评委要提出充足的否定理由，并填写在评标记录上。对评审结果持有不同意见的，按照少数服从多数的原则由评委采取投票方式表决确定。</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小组成员应当在评审报告上签字，对自己的评审意见承担法律责任。对评审报告有异议的，应当在评审报告上签署不同意见，并说明理由，否则视为同意评审报告。</w:t>
      </w:r>
    </w:p>
    <w:p>
      <w:pPr>
        <w:pStyle w:val="48"/>
        <w:wordWrap w:val="0"/>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询标函格式如下：</w:t>
      </w:r>
    </w:p>
    <w:tbl>
      <w:tblPr>
        <w:tblStyle w:val="21"/>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2"/>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项目（标段）编号</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评标委员会询标内容</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投标供应商澄清说明</w:t>
            </w:r>
          </w:p>
        </w:tc>
        <w:tc>
          <w:tcPr>
            <w:tcW w:w="5573" w:type="dxa"/>
            <w:vAlign w:val="center"/>
          </w:tcPr>
          <w:p>
            <w:pPr>
              <w:pStyle w:val="48"/>
              <w:wordWrap w:val="0"/>
              <w:rPr>
                <w:rFonts w:hint="eastAsia" w:ascii="宋体" w:hAnsi="宋体" w:eastAsia="宋体" w:cs="宋体"/>
                <w:color w:val="auto"/>
                <w:sz w:val="24"/>
                <w:szCs w:val="24"/>
                <w:highlight w:val="none"/>
              </w:rPr>
            </w:pPr>
          </w:p>
          <w:p>
            <w:pPr>
              <w:pStyle w:val="48"/>
              <w:wordWrap w:val="0"/>
              <w:rPr>
                <w:rFonts w:hint="eastAsia" w:ascii="宋体" w:hAnsi="宋体" w:eastAsia="宋体" w:cs="宋体"/>
                <w:color w:val="auto"/>
                <w:sz w:val="24"/>
                <w:szCs w:val="24"/>
                <w:highlight w:val="none"/>
              </w:rPr>
            </w:pPr>
          </w:p>
          <w:p>
            <w:pPr>
              <w:widowControl/>
              <w:jc w:val="left"/>
              <w:rPr>
                <w:rFonts w:hint="eastAsia" w:ascii="宋体" w:hAnsi="宋体" w:eastAsia="宋体" w:cs="宋体"/>
                <w:color w:val="auto"/>
                <w:kern w:val="0"/>
                <w:sz w:val="24"/>
                <w:szCs w:val="24"/>
                <w:highlight w:val="none"/>
              </w:rPr>
            </w:pP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投标人签章： </w:t>
            </w:r>
          </w:p>
          <w:p>
            <w:pPr>
              <w:pStyle w:val="48"/>
              <w:wordWrap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审查结论</w:t>
            </w:r>
          </w:p>
          <w:p>
            <w:pPr>
              <w:pStyle w:val="48"/>
              <w:wordWrap w:val="0"/>
              <w:jc w:val="center"/>
              <w:rPr>
                <w:rFonts w:hint="eastAsia" w:ascii="宋体" w:hAnsi="宋体" w:eastAsia="宋体" w:cs="宋体"/>
                <w:color w:val="auto"/>
                <w:sz w:val="24"/>
                <w:szCs w:val="24"/>
                <w:highlight w:val="none"/>
              </w:rPr>
            </w:pPr>
          </w:p>
        </w:tc>
        <w:tc>
          <w:tcPr>
            <w:tcW w:w="5573" w:type="dxa"/>
            <w:vAlign w:val="center"/>
          </w:tcPr>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通过。 </w:t>
            </w: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不通过。</w:t>
            </w:r>
          </w:p>
          <w:p>
            <w:pPr>
              <w:pStyle w:val="48"/>
              <w:wordWrap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原因：</w:t>
            </w:r>
          </w:p>
        </w:tc>
      </w:tr>
    </w:tbl>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32.3.2评审报告是</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小组根据全体评标成员签字的原始评标记录和评标结果编写的报告，</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小组全体成员均须在评审报告上签字。评审报告应如实记录本次评标的主要过程，全面反映评标过程中的各种不同的意见，以及其他澄清、说明、补正事项。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小组在评标过程中发现的问题，应当区别情形及时作出处理。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32.3.4</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小组应当将其作为无效投标处理。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32.3.5如采购文件中要求提供原件进行审查的，各供应商应按采购文件要求将相关原件材料等带到开标现场，在开标截止时间前一并递交，迟交将不接收。相关原件的扫描件应当加盖公章装订在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响应文件内，由评标专家进行评审。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32.3.6</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小组评审</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响应文件依据为</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响应文件以及按采购文件要求递交的其它资料。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32.3.7</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小组和评标工作人员应严格遵守国家的法律、法规和规章制度；严格按照本次</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文件进行评标；公正廉洁、不徇私情，不得损害国家利益；保护采购人、供应商的合法权益。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小组的分项评分偏离超过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小组全体成员的评分均值±20%，该成员的该项分值将被剔除，以其他未超出偏离范围的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小组的评分均值（称为“评分修正值”）替代；</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小组成员的分项评分偏离均超过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小组全体成员的评分均值±20%，则以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小组全体成员的评分均值作为该供应商的分项得分。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小组发现采购文件内容违反国家有关强制性规定的，应当停止评审并向采购人说明情况。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32.5投标人存在以下不良信用记录情形之一,不得推荐为中标候选人: </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供应商被人民法院列入失信被执行人的；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供应商或其法定代表人近三年内被人民检察院列入行贿犯罪档案的；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供应商被工商行政管理部门列入企业经营异常名录的；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供应商被税务部门列入重大税收违法案件当事人名单的；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供应商被政府采购监管部门列入政府采购严重违法失信行为记录名单的。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被铜陵市公共资源交易监管部门记录的不良行为累计分值在 10 分（含）-15 分（不含），且最近一次不良行为记录公布日距开标日未超过 3 个月；</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被铜陵市公共资源交易监管部门记不良行为记录累计分值在 15 分（含）-20 分（不含），且最近一次不良行为记录公布日距开标日未超过 6 个月；</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highlight w:val="none"/>
        </w:rPr>
        <w:t>被铜陵市公共资源交易监管部门记不良行为记录累计分值达 20</w:t>
      </w:r>
      <w:r>
        <w:rPr>
          <w:rFonts w:hint="eastAsia"/>
          <w:color w:val="auto"/>
          <w:highlight w:val="none"/>
          <w:lang w:val="en-US" w:eastAsia="zh-CN"/>
        </w:rPr>
        <w:t xml:space="preserve"> </w:t>
      </w:r>
      <w:r>
        <w:rPr>
          <w:rFonts w:hint="eastAsia"/>
          <w:color w:val="auto"/>
          <w:highlight w:val="none"/>
        </w:rPr>
        <w:t>分（含）以上，且最近一次不良行为记录公布日距开标日未超过 12 个月。</w:t>
      </w:r>
    </w:p>
    <w:p>
      <w:pPr>
        <w:pStyle w:val="48"/>
        <w:wordWrap w:val="0"/>
        <w:spacing w:line="360" w:lineRule="auto"/>
        <w:ind w:firstLine="480" w:firstLineChars="200"/>
        <w:jc w:val="left"/>
        <w:rPr>
          <w:rFonts w:hint="eastAsia"/>
          <w:color w:val="auto"/>
          <w:highlight w:val="none"/>
        </w:rPr>
      </w:pPr>
      <w:r>
        <w:rPr>
          <w:rFonts w:hint="eastAsia"/>
          <w:color w:val="auto"/>
          <w:highlight w:val="none"/>
        </w:rPr>
        <w:t>以 上 情 形 第 （ 1 ）（ 3 ）（ 4 ）（ 5 ） 条 以 “ 信 用 中 国 ”</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"http://www.creditchina.gov.cn/" \h </w:instrText>
      </w:r>
      <w:r>
        <w:rPr>
          <w:rFonts w:hint="eastAsia"/>
          <w:color w:val="auto"/>
          <w:highlight w:val="none"/>
        </w:rPr>
        <w:fldChar w:fldCharType="separate"/>
      </w:r>
      <w:r>
        <w:rPr>
          <w:rFonts w:hint="eastAsia"/>
          <w:color w:val="auto"/>
          <w:highlight w:val="none"/>
        </w:rPr>
        <w:t>http://www.creditchina.gov.cn</w:t>
      </w:r>
      <w:r>
        <w:rPr>
          <w:rFonts w:hint="eastAsia"/>
          <w:color w:val="auto"/>
          <w:highlight w:val="none"/>
        </w:rPr>
        <w:fldChar w:fldCharType="end"/>
      </w:r>
      <w:r>
        <w:rPr>
          <w:rFonts w:hint="eastAsia"/>
          <w:color w:val="auto"/>
          <w:highlight w:val="none"/>
        </w:rPr>
        <w:t>）或其他指定媒介[国家税务总局网站</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"http://www.chinatax.gov.cn/" \h </w:instrText>
      </w:r>
      <w:r>
        <w:rPr>
          <w:rFonts w:hint="eastAsia"/>
          <w:color w:val="auto"/>
          <w:highlight w:val="none"/>
        </w:rPr>
        <w:fldChar w:fldCharType="separate"/>
      </w:r>
      <w:r>
        <w:rPr>
          <w:rFonts w:hint="eastAsia"/>
          <w:color w:val="auto"/>
          <w:highlight w:val="none"/>
        </w:rPr>
        <w:t>www.chinatax.gov.cn</w:t>
      </w:r>
      <w:r>
        <w:rPr>
          <w:rFonts w:hint="eastAsia"/>
          <w:color w:val="auto"/>
          <w:highlight w:val="none"/>
        </w:rPr>
        <w:fldChar w:fldCharType="end"/>
      </w:r>
      <w:r>
        <w:rPr>
          <w:rFonts w:hint="eastAsia"/>
          <w:color w:val="auto"/>
          <w:highlight w:val="none"/>
        </w:rPr>
        <w:t>）、中国政府采购网（</w:t>
      </w:r>
      <w:r>
        <w:rPr>
          <w:rFonts w:hint="eastAsia"/>
          <w:color w:val="auto"/>
          <w:highlight w:val="none"/>
        </w:rPr>
        <w:fldChar w:fldCharType="begin"/>
      </w:r>
      <w:r>
        <w:rPr>
          <w:rFonts w:hint="eastAsia"/>
          <w:color w:val="auto"/>
          <w:highlight w:val="none"/>
        </w:rPr>
        <w:instrText xml:space="preserve"> HYPERLINK "http://www.ccgp.gov.cn/" \h </w:instrText>
      </w:r>
      <w:r>
        <w:rPr>
          <w:rFonts w:hint="eastAsia"/>
          <w:color w:val="auto"/>
          <w:highlight w:val="none"/>
        </w:rPr>
        <w:fldChar w:fldCharType="separate"/>
      </w:r>
      <w:r>
        <w:rPr>
          <w:rFonts w:hint="eastAsia"/>
          <w:color w:val="auto"/>
          <w:highlight w:val="none"/>
        </w:rPr>
        <w:t>www.ccgp.gov.cn</w:t>
      </w:r>
      <w:r>
        <w:rPr>
          <w:rFonts w:hint="eastAsia"/>
          <w:color w:val="auto"/>
          <w:highlight w:val="none"/>
        </w:rPr>
        <w:fldChar w:fldCharType="end"/>
      </w:r>
      <w:r>
        <w:rPr>
          <w:rFonts w:hint="eastAsia"/>
          <w:color w:val="auto"/>
          <w:highlight w:val="none"/>
        </w:rPr>
        <w:t>）、最高人民法院网站（</w:t>
      </w:r>
      <w:r>
        <w:rPr>
          <w:rFonts w:hint="eastAsia"/>
          <w:color w:val="auto"/>
          <w:highlight w:val="none"/>
        </w:rPr>
        <w:fldChar w:fldCharType="begin"/>
      </w:r>
      <w:r>
        <w:rPr>
          <w:rFonts w:hint="eastAsia"/>
          <w:color w:val="auto"/>
          <w:highlight w:val="none"/>
        </w:rPr>
        <w:instrText xml:space="preserve"> HYPERLINK "http://www.court.gov.cn/" \h </w:instrText>
      </w:r>
      <w:r>
        <w:rPr>
          <w:rFonts w:hint="eastAsia"/>
          <w:color w:val="auto"/>
          <w:highlight w:val="none"/>
        </w:rPr>
        <w:fldChar w:fldCharType="separate"/>
      </w:r>
      <w:r>
        <w:rPr>
          <w:rFonts w:hint="eastAsia"/>
          <w:color w:val="auto"/>
          <w:highlight w:val="none"/>
        </w:rPr>
        <w:t>www.court.gov.cn</w:t>
      </w:r>
      <w:r>
        <w:rPr>
          <w:rFonts w:hint="eastAsia"/>
          <w:color w:val="auto"/>
          <w:highlight w:val="none"/>
        </w:rPr>
        <w:fldChar w:fldCharType="end"/>
      </w:r>
      <w:r>
        <w:rPr>
          <w:rFonts w:hint="eastAsia"/>
          <w:color w:val="auto"/>
          <w:highlight w:val="none"/>
        </w:rPr>
        <w:t>）、国家企业信用信息公示系统网站</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"http://www.gsxt.gov.cn/" \h </w:instrText>
      </w:r>
      <w:r>
        <w:rPr>
          <w:rFonts w:hint="eastAsia"/>
          <w:color w:val="auto"/>
          <w:highlight w:val="none"/>
        </w:rPr>
        <w:fldChar w:fldCharType="separate"/>
      </w:r>
      <w:r>
        <w:rPr>
          <w:rFonts w:hint="eastAsia"/>
          <w:color w:val="auto"/>
          <w:highlight w:val="none"/>
        </w:rPr>
        <w:t>www.gsxt.gov.cn</w:t>
      </w:r>
      <w:r>
        <w:rPr>
          <w:rFonts w:hint="eastAsia"/>
          <w:color w:val="auto"/>
          <w:highlight w:val="none"/>
        </w:rPr>
        <w:fldChar w:fldCharType="end"/>
      </w:r>
      <w:r>
        <w:rPr>
          <w:rFonts w:hint="eastAsia"/>
          <w:color w:val="auto"/>
          <w:highlight w:val="none"/>
        </w:rPr>
        <w:t>）、中国裁判文书网（wenshu.court.gov.cn）。]发布的为准。由采购人代表或委托</w:t>
      </w:r>
      <w:r>
        <w:rPr>
          <w:rFonts w:hint="eastAsia"/>
          <w:color w:val="auto"/>
          <w:highlight w:val="none"/>
          <w:lang w:eastAsia="zh-CN"/>
        </w:rPr>
        <w:t>比选</w:t>
      </w:r>
      <w:r>
        <w:rPr>
          <w:rFonts w:hint="eastAsia"/>
          <w:color w:val="auto"/>
          <w:highlight w:val="none"/>
        </w:rPr>
        <w:t>小组在推荐成交候选人前对拟推荐的成交候选人进行查询并将查询结果截图反馈至</w:t>
      </w:r>
      <w:r>
        <w:rPr>
          <w:rFonts w:hint="eastAsia"/>
          <w:color w:val="auto"/>
          <w:highlight w:val="none"/>
          <w:lang w:eastAsia="zh-CN"/>
        </w:rPr>
        <w:t>比选</w:t>
      </w:r>
      <w:r>
        <w:rPr>
          <w:rFonts w:hint="eastAsia"/>
          <w:color w:val="auto"/>
          <w:highlight w:val="none"/>
        </w:rPr>
        <w:t>小组，由</w:t>
      </w:r>
      <w:r>
        <w:rPr>
          <w:rFonts w:hint="eastAsia"/>
          <w:color w:val="auto"/>
          <w:highlight w:val="none"/>
          <w:lang w:eastAsia="zh-CN"/>
        </w:rPr>
        <w:t>比选</w:t>
      </w:r>
      <w:r>
        <w:rPr>
          <w:rFonts w:hint="eastAsia"/>
          <w:color w:val="auto"/>
          <w:highlight w:val="none"/>
        </w:rPr>
        <w:t>小组记录在评标报告中。如在上述网站查询结果均显示没有相关记录，视为没有上述不良信用记录。如评标过程中因网络、网站的问题无法查询时，在成交公告期间由采购人代表查询并直接采用。</w:t>
      </w:r>
    </w:p>
    <w:p>
      <w:pPr>
        <w:pStyle w:val="48"/>
        <w:wordWrap w:val="0"/>
        <w:spacing w:line="360" w:lineRule="auto"/>
        <w:ind w:firstLine="480" w:firstLineChars="200"/>
        <w:jc w:val="left"/>
        <w:rPr>
          <w:rFonts w:hint="eastAsia"/>
          <w:color w:val="auto"/>
          <w:highlight w:val="none"/>
        </w:rPr>
      </w:pPr>
      <w:r>
        <w:rPr>
          <w:rFonts w:hint="eastAsia"/>
          <w:color w:val="auto"/>
          <w:highlight w:val="none"/>
        </w:rPr>
        <w:t>以上情形（6）、（7）、（8）由采购人代表或委托</w:t>
      </w:r>
      <w:r>
        <w:rPr>
          <w:rFonts w:hint="eastAsia"/>
          <w:color w:val="auto"/>
          <w:highlight w:val="none"/>
          <w:lang w:eastAsia="zh-CN"/>
        </w:rPr>
        <w:t>比选</w:t>
      </w:r>
      <w:r>
        <w:rPr>
          <w:rFonts w:hint="eastAsia"/>
          <w:color w:val="auto"/>
          <w:highlight w:val="none"/>
        </w:rPr>
        <w:t>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48"/>
        <w:wordWrap w:val="0"/>
        <w:spacing w:line="360" w:lineRule="auto"/>
        <w:ind w:firstLine="482" w:firstLineChars="200"/>
        <w:jc w:val="left"/>
        <w:rPr>
          <w:color w:val="auto"/>
          <w:highlight w:val="none"/>
        </w:rPr>
      </w:pPr>
      <w:r>
        <w:rPr>
          <w:rFonts w:hint="eastAsia"/>
          <w:b/>
          <w:bCs/>
          <w:color w:val="auto"/>
          <w:highlight w:val="none"/>
        </w:rPr>
        <w:t>以上情形由</w:t>
      </w:r>
      <w:r>
        <w:rPr>
          <w:rFonts w:hint="eastAsia"/>
          <w:b/>
          <w:bCs/>
          <w:color w:val="auto"/>
          <w:highlight w:val="none"/>
          <w:lang w:eastAsia="zh-CN"/>
        </w:rPr>
        <w:t>投标供应商</w:t>
      </w:r>
      <w:r>
        <w:rPr>
          <w:rFonts w:hint="eastAsia"/>
          <w:b/>
          <w:bCs/>
          <w:color w:val="auto"/>
          <w:highlight w:val="none"/>
        </w:rPr>
        <w:t>按投标函格式填写相关承诺。</w:t>
      </w:r>
    </w:p>
    <w:p>
      <w:pPr>
        <w:pStyle w:val="48"/>
        <w:wordWrap w:val="0"/>
        <w:spacing w:line="360" w:lineRule="auto"/>
        <w:ind w:firstLine="480" w:firstLineChars="200"/>
        <w:jc w:val="left"/>
        <w:rPr>
          <w:rFonts w:hint="eastAsia"/>
          <w:color w:val="auto"/>
          <w:highlight w:val="none"/>
        </w:rPr>
      </w:pPr>
      <w:r>
        <w:rPr>
          <w:rFonts w:hint="eastAsia"/>
          <w:color w:val="auto"/>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33、有效性审查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若有一项不通过，作无效标处理。</w:t>
      </w:r>
    </w:p>
    <w:tbl>
      <w:tblPr>
        <w:tblStyle w:val="21"/>
        <w:tblW w:w="97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5"/>
        <w:gridCol w:w="1236"/>
        <w:gridCol w:w="4656"/>
        <w:gridCol w:w="31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合格条件</w:t>
            </w:r>
          </w:p>
        </w:tc>
        <w:tc>
          <w:tcPr>
            <w:tcW w:w="46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投标资格合格条件标准</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76"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授权委托书</w:t>
            </w:r>
          </w:p>
        </w:tc>
        <w:tc>
          <w:tcPr>
            <w:tcW w:w="46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比选</w:t>
            </w:r>
            <w:r>
              <w:rPr>
                <w:rFonts w:hint="eastAsia" w:ascii="宋体" w:hAnsi="宋体" w:eastAsia="宋体" w:cs="宋体"/>
                <w:color w:val="auto"/>
                <w:kern w:val="0"/>
                <w:sz w:val="24"/>
                <w:szCs w:val="24"/>
                <w:lang w:val="en-US" w:eastAsia="zh-CN"/>
              </w:rPr>
              <w:t>响应</w:t>
            </w:r>
            <w:r>
              <w:rPr>
                <w:rFonts w:hint="eastAsia" w:ascii="宋体" w:hAnsi="宋体" w:eastAsia="宋体" w:cs="宋体"/>
                <w:color w:val="auto"/>
                <w:kern w:val="0"/>
                <w:sz w:val="24"/>
                <w:szCs w:val="24"/>
              </w:rPr>
              <w:t>人授权的委托代理人有合法、有效的委托书，委托书按相应要求签字或盖章</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同时委托人符合文件相关要求。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提供授权委托书</w:t>
            </w:r>
            <w:r>
              <w:rPr>
                <w:rFonts w:hint="eastAsia" w:ascii="宋体" w:hAnsi="宋体" w:eastAsia="宋体" w:cs="宋体"/>
                <w:color w:val="auto"/>
                <w:kern w:val="0"/>
                <w:sz w:val="24"/>
                <w:szCs w:val="24"/>
                <w:lang w:val="en-US" w:eastAsia="zh-CN"/>
              </w:rPr>
              <w:t>并</w:t>
            </w:r>
            <w:r>
              <w:rPr>
                <w:rFonts w:hint="eastAsia" w:ascii="宋体" w:hAnsi="宋体" w:eastAsia="宋体" w:cs="宋体"/>
                <w:color w:val="auto"/>
                <w:kern w:val="0"/>
                <w:sz w:val="24"/>
                <w:szCs w:val="24"/>
              </w:rPr>
              <w:t>加盖投标单位公章装订在投标文件内（法定代表人参加投标的无需投标授权书，提供身份证明复印件或影印件）</w:t>
            </w:r>
            <w:r>
              <w:rPr>
                <w:rFonts w:hint="eastAsia" w:ascii="宋体" w:hAnsi="宋体" w:eastAsia="宋体" w:cs="宋体"/>
                <w:color w:val="auto"/>
                <w:kern w:val="0"/>
                <w:sz w:val="24"/>
                <w:szCs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7" w:hRule="exact"/>
          <w:jc w:val="center"/>
        </w:trPr>
        <w:tc>
          <w:tcPr>
            <w:tcW w:w="735"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236"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需要提供的投标资格证明资料</w:t>
            </w:r>
          </w:p>
        </w:tc>
        <w:tc>
          <w:tcPr>
            <w:tcW w:w="4656"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符合《中华人民共和国政府采购法》第二十二条的全部要求。</w:t>
            </w:r>
          </w:p>
        </w:tc>
        <w:tc>
          <w:tcPr>
            <w:tcW w:w="3103"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提供营业执照或事业单位法人证书副本或其它相应证件扫描件（包含复印件或影印件）和投标函，并加盖投标单位公章装订在</w:t>
            </w:r>
            <w:r>
              <w:rPr>
                <w:rFonts w:hint="eastAsia" w:ascii="宋体" w:hAnsi="宋体" w:cs="宋体"/>
                <w:color w:val="auto"/>
                <w:kern w:val="0"/>
                <w:sz w:val="24"/>
                <w:szCs w:val="24"/>
                <w:lang w:val="en-US" w:eastAsia="zh-CN"/>
              </w:rPr>
              <w:t>比选</w:t>
            </w:r>
            <w:r>
              <w:rPr>
                <w:rFonts w:hint="eastAsia" w:ascii="宋体" w:hAnsi="宋体" w:eastAsia="宋体" w:cs="宋体"/>
                <w:color w:val="auto"/>
                <w:kern w:val="0"/>
                <w:sz w:val="24"/>
                <w:szCs w:val="24"/>
                <w:lang w:val="en-US" w:eastAsia="zh-CN"/>
              </w:rPr>
              <w:t>响应</w:t>
            </w:r>
            <w:r>
              <w:rPr>
                <w:rFonts w:hint="eastAsia" w:ascii="宋体" w:hAnsi="宋体" w:eastAsia="宋体" w:cs="宋体"/>
                <w:color w:val="auto"/>
                <w:kern w:val="0"/>
                <w:sz w:val="24"/>
                <w:szCs w:val="24"/>
              </w:rPr>
              <w:t>文件内</w:t>
            </w:r>
            <w:r>
              <w:rPr>
                <w:rFonts w:hint="eastAsia" w:ascii="宋体" w:hAnsi="宋体" w:eastAsia="宋体" w:cs="宋体"/>
                <w:color w:val="auto"/>
                <w:kern w:val="0"/>
                <w:sz w:val="24"/>
                <w:szCs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rPr>
            </w:pPr>
          </w:p>
        </w:tc>
        <w:tc>
          <w:tcPr>
            <w:tcW w:w="465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至投标截止日，投标人及法定代表人三年内均未被人民检察院列入行贿犯罪档案。</w:t>
            </w:r>
          </w:p>
        </w:tc>
        <w:tc>
          <w:tcPr>
            <w:tcW w:w="3103"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09"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rPr>
            </w:pPr>
          </w:p>
        </w:tc>
        <w:tc>
          <w:tcPr>
            <w:tcW w:w="465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103"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rPr>
            </w:pPr>
          </w:p>
        </w:tc>
        <w:tc>
          <w:tcPr>
            <w:tcW w:w="465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pStyle w:val="68"/>
              <w:spacing w:before="132" w:line="240" w:lineRule="auto"/>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至投标截止日，未被铜陵市公共资源交易监管部门记录的不良行为累计分值在 10 分（含）-15 分（不含），且最近一次不良行为记录公布日距开标日未超过 3 个月；</w:t>
            </w:r>
          </w:p>
          <w:p>
            <w:pPr>
              <w:pStyle w:val="68"/>
              <w:spacing w:before="132" w:line="240" w:lineRule="auto"/>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至投标截止日，未被铜陵市公共资源交易监管部门记不良行为记录累计分值在 15 分（含）-20 分（不含），且最近一次不良行为记录公布日距开标日未超过 6 个月；</w:t>
            </w:r>
          </w:p>
          <w:p>
            <w:pPr>
              <w:pStyle w:val="68"/>
              <w:spacing w:before="132" w:line="240" w:lineRule="auto"/>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至投标截止日，未被铜陵市公共资源交易监管部门记不良行为记录累计分值达 20 分（含）以上，且最近一次不良行为记录公布日距开标日未超过 12 个月。</w:t>
            </w:r>
          </w:p>
        </w:tc>
        <w:tc>
          <w:tcPr>
            <w:tcW w:w="3103"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承诺函</w:t>
            </w:r>
          </w:p>
        </w:tc>
        <w:tc>
          <w:tcPr>
            <w:tcW w:w="46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投标人需承诺从未与服务用户发生任何法律纠纷承诺函</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00"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标书规范性</w:t>
            </w:r>
          </w:p>
        </w:tc>
        <w:tc>
          <w:tcPr>
            <w:tcW w:w="46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pStyle w:val="48"/>
              <w:wordWrap w:val="0"/>
              <w:spacing w:line="300" w:lineRule="exac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（1）在招标文件规定的投标时间截止前未有效提交投标文件的；</w:t>
            </w:r>
          </w:p>
          <w:p>
            <w:pPr>
              <w:pStyle w:val="48"/>
              <w:wordWrap w:val="0"/>
              <w:spacing w:line="300" w:lineRule="exac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（2）投标文件符合招标文件密封、标记、递交等的相应要求；</w:t>
            </w:r>
          </w:p>
          <w:p>
            <w:pPr>
              <w:spacing w:line="240" w:lineRule="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（3）应当随成交公告一并向社会公布的表单内容（如主要业绩一览表等）与投标文件中其它内容不一致的。</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执行</w:t>
            </w:r>
            <w:r>
              <w:rPr>
                <w:rFonts w:hint="eastAsia" w:ascii="宋体" w:hAnsi="宋体" w:cs="宋体"/>
                <w:color w:val="auto"/>
                <w:kern w:val="0"/>
                <w:sz w:val="24"/>
                <w:szCs w:val="24"/>
                <w:lang w:val="en-US" w:eastAsia="zh-CN"/>
              </w:rPr>
              <w:t>比选</w:t>
            </w:r>
            <w:r>
              <w:rPr>
                <w:rFonts w:hint="eastAsia" w:ascii="宋体" w:hAnsi="宋体" w:eastAsia="宋体" w:cs="宋体"/>
                <w:color w:val="auto"/>
                <w:kern w:val="0"/>
                <w:sz w:val="24"/>
                <w:szCs w:val="24"/>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标书盖章</w:t>
            </w:r>
          </w:p>
        </w:tc>
        <w:tc>
          <w:tcPr>
            <w:tcW w:w="46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投标文件盖章是否符合招标文件的要求。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执行</w:t>
            </w:r>
            <w:r>
              <w:rPr>
                <w:rFonts w:hint="eastAsia" w:ascii="宋体" w:hAnsi="宋体" w:cs="宋体"/>
                <w:color w:val="auto"/>
                <w:kern w:val="0"/>
                <w:sz w:val="24"/>
                <w:szCs w:val="24"/>
                <w:lang w:val="en-US" w:eastAsia="zh-CN"/>
              </w:rPr>
              <w:t>比选</w:t>
            </w:r>
            <w:r>
              <w:rPr>
                <w:rFonts w:hint="eastAsia" w:ascii="宋体" w:hAnsi="宋体" w:eastAsia="宋体" w:cs="宋体"/>
                <w:color w:val="auto"/>
                <w:kern w:val="0"/>
                <w:sz w:val="24"/>
                <w:szCs w:val="24"/>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标书响应情况</w:t>
            </w:r>
          </w:p>
        </w:tc>
        <w:tc>
          <w:tcPr>
            <w:tcW w:w="46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质量标准要求、服务期响应、售后服务体系与维保等内容满足</w:t>
            </w:r>
            <w:r>
              <w:rPr>
                <w:rFonts w:hint="eastAsia" w:ascii="宋体" w:hAnsi="宋体" w:cs="宋体"/>
                <w:color w:val="auto"/>
                <w:kern w:val="0"/>
                <w:sz w:val="24"/>
                <w:szCs w:val="24"/>
                <w:lang w:val="en-US" w:eastAsia="zh-CN"/>
              </w:rPr>
              <w:t>比选</w:t>
            </w:r>
            <w:r>
              <w:rPr>
                <w:rFonts w:hint="eastAsia" w:ascii="宋体" w:hAnsi="宋体" w:eastAsia="宋体" w:cs="宋体"/>
                <w:color w:val="auto"/>
                <w:kern w:val="0"/>
                <w:sz w:val="24"/>
                <w:szCs w:val="24"/>
                <w:lang w:val="en-US" w:eastAsia="zh-CN"/>
              </w:rPr>
              <w:t>文件的实质性要求。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执行</w:t>
            </w:r>
            <w:r>
              <w:rPr>
                <w:rFonts w:hint="eastAsia" w:ascii="宋体" w:hAnsi="宋体" w:cs="宋体"/>
                <w:color w:val="auto"/>
                <w:kern w:val="0"/>
                <w:sz w:val="24"/>
                <w:szCs w:val="24"/>
                <w:lang w:val="en-US" w:eastAsia="zh-CN"/>
              </w:rPr>
              <w:t>比选</w:t>
            </w:r>
            <w:r>
              <w:rPr>
                <w:rFonts w:hint="eastAsia" w:ascii="宋体" w:hAnsi="宋体" w:eastAsia="宋体" w:cs="宋体"/>
                <w:color w:val="auto"/>
                <w:kern w:val="0"/>
                <w:sz w:val="24"/>
                <w:szCs w:val="24"/>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服务要求</w:t>
            </w:r>
          </w:p>
        </w:tc>
        <w:tc>
          <w:tcPr>
            <w:tcW w:w="46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关键性服务要求真正满足。</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执行</w:t>
            </w:r>
            <w:r>
              <w:rPr>
                <w:rFonts w:hint="eastAsia" w:ascii="宋体" w:hAnsi="宋体" w:cs="宋体"/>
                <w:color w:val="auto"/>
                <w:kern w:val="0"/>
                <w:sz w:val="24"/>
                <w:szCs w:val="24"/>
                <w:lang w:val="en-US" w:eastAsia="zh-CN"/>
              </w:rPr>
              <w:t>比选</w:t>
            </w:r>
            <w:r>
              <w:rPr>
                <w:rFonts w:hint="eastAsia" w:ascii="宋体" w:hAnsi="宋体" w:eastAsia="宋体" w:cs="宋体"/>
                <w:color w:val="auto"/>
                <w:kern w:val="0"/>
                <w:sz w:val="24"/>
                <w:szCs w:val="24"/>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75"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其他要求</w:t>
            </w:r>
          </w:p>
        </w:tc>
        <w:tc>
          <w:tcPr>
            <w:tcW w:w="46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（1）无论招标文件是否列明，投标人所提供的服务均须符合国家现行法律法规的规定，否则投标无效。</w:t>
            </w:r>
          </w:p>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（2）不满足招标文件第8、11.3、21条以及其它招标公告、招标文件列明的必须满足的要求的。</w:t>
            </w:r>
          </w:p>
          <w:p>
            <w:pPr>
              <w:widowControl/>
              <w:ind w:left="53" w:leftChars="25" w:right="53" w:rightChars="25"/>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（3）不符合法律、行政法规规定的其他条件。法律、行政法规规定的其他条件或邀请函、招标文件列明的其他要求。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执行</w:t>
            </w:r>
            <w:r>
              <w:rPr>
                <w:rFonts w:hint="eastAsia" w:ascii="宋体" w:hAnsi="宋体" w:cs="宋体"/>
                <w:color w:val="auto"/>
                <w:kern w:val="0"/>
                <w:sz w:val="24"/>
                <w:szCs w:val="24"/>
                <w:lang w:val="en-US" w:eastAsia="zh-CN"/>
              </w:rPr>
              <w:t>比选</w:t>
            </w:r>
            <w:r>
              <w:rPr>
                <w:rFonts w:hint="eastAsia" w:ascii="宋体" w:hAnsi="宋体" w:eastAsia="宋体" w:cs="宋体"/>
                <w:color w:val="auto"/>
                <w:kern w:val="0"/>
                <w:sz w:val="24"/>
                <w:szCs w:val="24"/>
                <w:lang w:val="en-US" w:eastAsia="zh-CN"/>
              </w:rPr>
              <w:t>文件要求</w:t>
            </w:r>
          </w:p>
        </w:tc>
      </w:tr>
    </w:tbl>
    <w:p>
      <w:pPr>
        <w:pStyle w:val="18"/>
        <w:shd w:val="clear" w:color="auto" w:fill="FFFFFF"/>
        <w:spacing w:beforeAutospacing="0" w:afterAutospacing="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以上各项中有一项不符合即为不合格。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34、报价部分评审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34.1如采用综合评分法的，应当在技术与商务部分评审结束后，评审其报价部分。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小组将对进入报价部分评审的各供应商的报价部分有效性进行审查，经评审有效后，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小组将对报价部分进行校核，看其是否有计算或表达上的错误，修正错误的原则如下：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34.2.1如果数字表示的金额和用文字表示的金额不一致时，应以文字表示的金额为准；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34.2.2如果单价与数量的乘积和总价不一致，以单价为准；当单位小数点有明显的错误时，评委会将以总价为准，并修正其单价。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34.2.3如果</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响应报价同时出现上述1、2两种情况，按第2种修正原则调整或修正</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按上述修正错误的原则及方法调整或修正</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响应报价，供应商同意后，调整后的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响应报价对供应商起约束作用。如果供应商不接受修正后的报价，则其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响应将被拒绝并且其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响应保证金也将被没收，并不影响评标工作。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响应报价无效的几种情形：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响应报价高于预算控制</w:t>
      </w:r>
      <w:r>
        <w:rPr>
          <w:rFonts w:hint="eastAsia" w:ascii="宋体" w:hAnsi="宋体" w:eastAsia="宋体" w:cs="宋体"/>
          <w:color w:val="auto"/>
          <w:sz w:val="24"/>
          <w:szCs w:val="24"/>
          <w:highlight w:val="none"/>
          <w:lang w:val="en-US" w:eastAsia="zh-CN"/>
        </w:rPr>
        <w:t>价</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34.3.2经</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小组认定低于成本的；</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34.3.3经</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小组认定报价出现异常导致不能保证政府采购资金的使用效益的</w:t>
      </w:r>
      <w:r>
        <w:rPr>
          <w:rFonts w:hint="eastAsia" w:ascii="宋体" w:hAnsi="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34.3.4不符合法律法规及采购文件中其它合格性评审要求。</w:t>
      </w:r>
    </w:p>
    <w:p>
      <w:pPr>
        <w:spacing w:line="360" w:lineRule="auto"/>
        <w:ind w:firstLine="562" w:firstLineChars="200"/>
        <w:outlineLvl w:val="1"/>
        <w:rPr>
          <w:rFonts w:ascii="宋体" w:hAnsi="宋体" w:eastAsia="宋体" w:cs="@仿宋_GB2312"/>
          <w:b/>
          <w:sz w:val="28"/>
          <w:szCs w:val="20"/>
        </w:rPr>
      </w:pPr>
      <w:r>
        <w:rPr>
          <w:rFonts w:hint="eastAsia" w:ascii="宋体" w:hAnsi="宋体" w:eastAsia="宋体" w:cs="@仿宋_GB2312"/>
          <w:b/>
          <w:sz w:val="28"/>
          <w:szCs w:val="20"/>
        </w:rPr>
        <w:t>评审方法和标准</w:t>
      </w:r>
    </w:p>
    <w:p>
      <w:pPr>
        <w:spacing w:line="360" w:lineRule="auto"/>
        <w:ind w:firstLine="435"/>
        <w:rPr>
          <w:rFonts w:ascii="宋体" w:hAnsi="宋体" w:eastAsia="宋体" w:cs="@仿宋_GB2312"/>
          <w:sz w:val="24"/>
          <w:szCs w:val="20"/>
        </w:rPr>
      </w:pPr>
      <w:r>
        <w:rPr>
          <w:rFonts w:hint="eastAsia" w:ascii="宋体" w:hAnsi="宋体" w:eastAsia="宋体" w:cs="@仿宋_GB2312"/>
          <w:sz w:val="24"/>
          <w:szCs w:val="20"/>
          <w:lang w:val="en-US" w:eastAsia="zh-CN"/>
        </w:rPr>
        <w:t>35、</w:t>
      </w:r>
      <w:r>
        <w:rPr>
          <w:rFonts w:ascii="宋体" w:hAnsi="宋体" w:eastAsia="宋体" w:cs="@仿宋_GB2312"/>
          <w:sz w:val="24"/>
          <w:szCs w:val="20"/>
        </w:rPr>
        <w:t>1</w:t>
      </w:r>
      <w:r>
        <w:rPr>
          <w:rFonts w:hint="eastAsia" w:ascii="宋体" w:hAnsi="宋体" w:eastAsia="宋体" w:cs="@仿宋_GB2312"/>
          <w:sz w:val="24"/>
          <w:szCs w:val="20"/>
        </w:rPr>
        <w:t>磋商小组按照下表对进入综合评分的所有供应商的响应文件进行综合评分。</w:t>
      </w:r>
    </w:p>
    <w:p>
      <w:pPr>
        <w:numPr>
          <w:ilvl w:val="0"/>
          <w:numId w:val="4"/>
        </w:numPr>
        <w:spacing w:line="360" w:lineRule="auto"/>
        <w:ind w:firstLine="480" w:firstLineChars="200"/>
        <w:rPr>
          <w:rFonts w:hint="eastAsia" w:ascii="宋体" w:hAnsi="宋体" w:eastAsia="宋体" w:cs="宋体"/>
          <w:b w:val="0"/>
          <w:bCs w:val="0"/>
          <w:color w:val="C00000"/>
          <w:sz w:val="24"/>
          <w:szCs w:val="24"/>
          <w:highlight w:val="none"/>
        </w:rPr>
      </w:pPr>
      <w:r>
        <w:rPr>
          <w:rFonts w:ascii="宋体" w:hAnsi="宋体" w:eastAsia="宋体" w:cs="@仿宋_GB2312"/>
          <w:sz w:val="24"/>
          <w:szCs w:val="20"/>
        </w:rPr>
        <w:t>2</w:t>
      </w:r>
      <w:r>
        <w:rPr>
          <w:rFonts w:hint="eastAsia" w:ascii="宋体" w:hAnsi="宋体" w:eastAsia="宋体" w:cs="@仿宋_GB2312"/>
          <w:sz w:val="24"/>
          <w:szCs w:val="20"/>
        </w:rPr>
        <w:t>本项目综合评分满分为1</w:t>
      </w:r>
      <w:r>
        <w:rPr>
          <w:rFonts w:ascii="宋体" w:hAnsi="宋体" w:eastAsia="宋体" w:cs="@仿宋_GB2312"/>
          <w:sz w:val="24"/>
          <w:szCs w:val="20"/>
        </w:rPr>
        <w:t>00</w:t>
      </w:r>
      <w:r>
        <w:rPr>
          <w:rFonts w:hint="eastAsia" w:ascii="宋体" w:hAnsi="宋体" w:eastAsia="宋体" w:cs="@仿宋_GB2312"/>
          <w:sz w:val="24"/>
          <w:szCs w:val="20"/>
        </w:rPr>
        <w:t>分，其中：技术资信分值占总分值的权重为</w:t>
      </w:r>
      <w:r>
        <w:rPr>
          <w:rFonts w:ascii="宋体" w:hAnsi="宋体" w:eastAsia="宋体" w:cs="@仿宋_GB2312"/>
          <w:sz w:val="24"/>
          <w:szCs w:val="20"/>
          <w:u w:val="single"/>
        </w:rPr>
        <w:t xml:space="preserve"> </w:t>
      </w:r>
      <w:r>
        <w:rPr>
          <w:rFonts w:hint="eastAsia" w:ascii="宋体" w:hAnsi="宋体" w:eastAsia="宋体" w:cs="@仿宋_GB2312"/>
          <w:sz w:val="24"/>
          <w:szCs w:val="20"/>
          <w:u w:val="single"/>
          <w:lang w:val="en-US" w:eastAsia="zh-CN"/>
        </w:rPr>
        <w:t>8</w:t>
      </w:r>
      <w:r>
        <w:rPr>
          <w:rFonts w:hint="eastAsia" w:ascii="宋体" w:hAnsi="宋体" w:eastAsia="宋体" w:cs="@仿宋_GB2312"/>
          <w:sz w:val="24"/>
          <w:szCs w:val="20"/>
          <w:u w:val="single"/>
        </w:rPr>
        <w:t>0</w:t>
      </w:r>
      <w:r>
        <w:rPr>
          <w:rFonts w:ascii="宋体" w:hAnsi="宋体" w:eastAsia="宋体" w:cs="@仿宋_GB2312"/>
          <w:sz w:val="24"/>
          <w:szCs w:val="20"/>
          <w:u w:val="single"/>
        </w:rPr>
        <w:t xml:space="preserve"> </w:t>
      </w:r>
      <w:r>
        <w:rPr>
          <w:rFonts w:ascii="宋体" w:hAnsi="宋体" w:eastAsia="宋体" w:cs="@仿宋_GB2312"/>
          <w:sz w:val="24"/>
          <w:szCs w:val="20"/>
        </w:rPr>
        <w:t>%，价格分值占总分值的权重为</w:t>
      </w:r>
      <w:r>
        <w:rPr>
          <w:rFonts w:ascii="宋体" w:hAnsi="宋体" w:eastAsia="宋体" w:cs="@仿宋_GB2312"/>
          <w:sz w:val="24"/>
          <w:szCs w:val="20"/>
          <w:u w:val="single"/>
        </w:rPr>
        <w:t xml:space="preserve"> </w:t>
      </w:r>
      <w:r>
        <w:rPr>
          <w:rFonts w:hint="eastAsia" w:ascii="宋体" w:hAnsi="宋体" w:eastAsia="宋体" w:cs="@仿宋_GB2312"/>
          <w:sz w:val="24"/>
          <w:szCs w:val="20"/>
          <w:u w:val="single"/>
          <w:lang w:val="en-US" w:eastAsia="zh-CN"/>
        </w:rPr>
        <w:t>2</w:t>
      </w:r>
      <w:r>
        <w:rPr>
          <w:rFonts w:hint="eastAsia" w:ascii="宋体" w:hAnsi="宋体" w:eastAsia="宋体" w:cs="@仿宋_GB2312"/>
          <w:sz w:val="24"/>
          <w:szCs w:val="20"/>
          <w:u w:val="single"/>
        </w:rPr>
        <w:t>0</w:t>
      </w:r>
      <w:r>
        <w:rPr>
          <w:rFonts w:ascii="宋体" w:hAnsi="宋体" w:eastAsia="宋体" w:cs="@仿宋_GB2312"/>
          <w:sz w:val="24"/>
          <w:szCs w:val="20"/>
          <w:u w:val="single"/>
        </w:rPr>
        <w:t xml:space="preserve"> </w:t>
      </w:r>
      <w:r>
        <w:rPr>
          <w:rFonts w:ascii="宋体" w:hAnsi="宋体" w:eastAsia="宋体" w:cs="@仿宋_GB2312"/>
          <w:sz w:val="24"/>
          <w:szCs w:val="20"/>
        </w:rPr>
        <w:t>%。具体评分细则如下：</w:t>
      </w:r>
    </w:p>
    <w:tbl>
      <w:tblPr>
        <w:tblStyle w:val="21"/>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1223"/>
        <w:gridCol w:w="5339"/>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55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4"/>
                <w:szCs w:val="24"/>
              </w:rPr>
            </w:pPr>
            <w:r>
              <w:rPr>
                <w:rFonts w:hint="eastAsia" w:ascii="宋体" w:hAnsi="宋体" w:eastAsia="宋体" w:cs="宋体"/>
                <w:b/>
                <w:bCs/>
                <w:sz w:val="24"/>
                <w:szCs w:val="24"/>
              </w:rPr>
              <w:t>类别</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4"/>
                <w:szCs w:val="24"/>
              </w:rPr>
            </w:pPr>
            <w:r>
              <w:rPr>
                <w:rFonts w:hint="eastAsia" w:ascii="宋体" w:hAnsi="宋体" w:eastAsia="宋体" w:cs="宋体"/>
                <w:b/>
                <w:bCs/>
                <w:sz w:val="24"/>
                <w:szCs w:val="24"/>
              </w:rPr>
              <w:t>评分内容</w:t>
            </w:r>
          </w:p>
        </w:tc>
        <w:tc>
          <w:tcPr>
            <w:tcW w:w="533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4"/>
                <w:szCs w:val="24"/>
              </w:rPr>
            </w:pPr>
            <w:r>
              <w:rPr>
                <w:rFonts w:hint="eastAsia" w:ascii="宋体" w:hAnsi="宋体" w:eastAsia="宋体" w:cs="宋体"/>
                <w:b/>
                <w:bCs/>
                <w:sz w:val="24"/>
                <w:szCs w:val="24"/>
              </w:rPr>
              <w:t>评分标准</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4"/>
                <w:szCs w:val="24"/>
              </w:rPr>
            </w:pPr>
            <w:r>
              <w:rPr>
                <w:rFonts w:hint="eastAsia" w:ascii="宋体" w:hAnsi="宋体" w:eastAsia="宋体" w:cs="宋体"/>
                <w:b/>
                <w:bCs/>
                <w:sz w:val="24"/>
                <w:szCs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tcBorders>
              <w:top w:val="single" w:color="auto" w:sz="4" w:space="0"/>
              <w:left w:val="single" w:color="auto" w:sz="4" w:space="0"/>
              <w:right w:val="single" w:color="auto" w:sz="4" w:space="0"/>
            </w:tcBorders>
            <w:noWrap w:val="0"/>
            <w:vAlign w:val="center"/>
          </w:tcPr>
          <w:p>
            <w:pPr>
              <w:spacing w:line="240" w:lineRule="auto"/>
              <w:jc w:val="center"/>
              <w:rPr>
                <w:rFonts w:ascii="宋体" w:hAnsi="宋体" w:eastAsia="宋体" w:cs="宋体"/>
                <w:sz w:val="24"/>
                <w:szCs w:val="24"/>
              </w:rPr>
            </w:pPr>
            <w:r>
              <w:rPr>
                <w:rFonts w:hint="eastAsia" w:ascii="宋体" w:hAnsi="宋体" w:eastAsia="宋体" w:cs="宋体"/>
                <w:sz w:val="24"/>
                <w:szCs w:val="24"/>
              </w:rPr>
              <w:t>技术部分</w:t>
            </w:r>
          </w:p>
          <w:p>
            <w:pPr>
              <w:spacing w:line="240" w:lineRule="auto"/>
              <w:jc w:val="center"/>
              <w:rPr>
                <w:rFonts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ascii="宋体" w:hAnsi="宋体" w:eastAsia="宋体" w:cs="宋体"/>
                <w:sz w:val="24"/>
                <w:szCs w:val="24"/>
                <w:u w:val="single"/>
              </w:rPr>
              <w:t>4</w:t>
            </w:r>
            <w:r>
              <w:rPr>
                <w:rFonts w:hint="eastAsia" w:ascii="宋体" w:hAnsi="宋体" w:eastAsia="宋体" w:cs="宋体"/>
                <w:sz w:val="24"/>
                <w:szCs w:val="24"/>
                <w:u w:val="single"/>
              </w:rPr>
              <w:t xml:space="preserve">5 </w:t>
            </w:r>
            <w:r>
              <w:rPr>
                <w:rFonts w:hint="eastAsia" w:ascii="宋体" w:hAnsi="宋体" w:eastAsia="宋体" w:cs="宋体"/>
                <w:sz w:val="24"/>
                <w:szCs w:val="24"/>
              </w:rPr>
              <w:t>分）</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hint="eastAsia" w:ascii="宋体" w:hAnsi="宋体" w:eastAsia="宋体" w:cs="宋体"/>
                <w:bCs/>
                <w:sz w:val="24"/>
                <w:szCs w:val="24"/>
              </w:rPr>
              <w:t>技术响应程度</w:t>
            </w:r>
          </w:p>
        </w:tc>
        <w:tc>
          <w:tcPr>
            <w:tcW w:w="533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ascii="宋体" w:hAnsi="宋体" w:eastAsia="宋体" w:cs="宋体"/>
                <w:sz w:val="24"/>
                <w:szCs w:val="24"/>
              </w:rPr>
            </w:pPr>
            <w:r>
              <w:rPr>
                <w:rFonts w:hint="eastAsia" w:ascii="宋体" w:hAnsi="宋体" w:eastAsia="宋体" w:cs="宋体"/>
                <w:sz w:val="24"/>
                <w:szCs w:val="24"/>
              </w:rPr>
              <w:t>1. 所投产品完全满足</w:t>
            </w:r>
            <w:r>
              <w:rPr>
                <w:rFonts w:hint="eastAsia" w:ascii="宋体" w:hAnsi="宋体" w:eastAsia="宋体" w:cs="宋体"/>
                <w:sz w:val="24"/>
                <w:szCs w:val="24"/>
                <w:lang w:eastAsia="zh-CN"/>
              </w:rPr>
              <w:t>比选</w:t>
            </w:r>
            <w:r>
              <w:rPr>
                <w:rFonts w:hint="eastAsia" w:ascii="宋体" w:hAnsi="宋体" w:eastAsia="宋体" w:cs="宋体"/>
                <w:sz w:val="24"/>
                <w:szCs w:val="24"/>
              </w:rPr>
              <w:t>文件相应技术参数要求的，得45分。</w:t>
            </w:r>
          </w:p>
          <w:p>
            <w:pPr>
              <w:adjustRightInd w:val="0"/>
              <w:snapToGrid w:val="0"/>
              <w:spacing w:line="240" w:lineRule="auto"/>
              <w:rPr>
                <w:rFonts w:ascii="宋体" w:hAnsi="宋体" w:eastAsia="宋体" w:cs="宋体"/>
                <w:sz w:val="24"/>
                <w:szCs w:val="24"/>
              </w:rPr>
            </w:pPr>
            <w:r>
              <w:rPr>
                <w:rFonts w:hint="eastAsia" w:ascii="宋体" w:hAnsi="宋体" w:eastAsia="宋体" w:cs="宋体"/>
                <w:sz w:val="24"/>
                <w:szCs w:val="24"/>
              </w:rPr>
              <w:t>2.标注“★”的技术参数及要求不满足（或负偏离）的，每项扣3分；</w:t>
            </w:r>
          </w:p>
          <w:p>
            <w:pPr>
              <w:adjustRightInd w:val="0"/>
              <w:snapToGrid w:val="0"/>
              <w:spacing w:line="240" w:lineRule="auto"/>
              <w:rPr>
                <w:rFonts w:ascii="宋体" w:hAnsi="宋体" w:eastAsia="宋体" w:cs="宋体"/>
                <w:sz w:val="24"/>
                <w:szCs w:val="24"/>
              </w:rPr>
            </w:pPr>
            <w:r>
              <w:rPr>
                <w:rFonts w:hint="eastAsia" w:ascii="宋体" w:hAnsi="宋体" w:eastAsia="宋体" w:cs="宋体"/>
                <w:sz w:val="24"/>
                <w:szCs w:val="24"/>
              </w:rPr>
              <w:t>3.未标注“★”技术参数及要求不满足（或负偏离）的，每项扣1分。</w:t>
            </w:r>
          </w:p>
          <w:p>
            <w:pPr>
              <w:spacing w:line="240" w:lineRule="auto"/>
              <w:jc w:val="left"/>
              <w:rPr>
                <w:rFonts w:ascii="宋体" w:hAnsi="宋体" w:eastAsia="宋体" w:cs="宋体"/>
                <w:sz w:val="24"/>
                <w:szCs w:val="24"/>
              </w:rPr>
            </w:pPr>
            <w:r>
              <w:rPr>
                <w:rFonts w:hint="eastAsia" w:ascii="宋体" w:hAnsi="宋体" w:eastAsia="宋体" w:cs="宋体"/>
                <w:sz w:val="24"/>
                <w:szCs w:val="24"/>
              </w:rPr>
              <w:t>4.本项扣完为止。</w:t>
            </w:r>
          </w:p>
          <w:p>
            <w:pPr>
              <w:spacing w:line="240" w:lineRule="auto"/>
              <w:jc w:val="left"/>
              <w:rPr>
                <w:rFonts w:ascii="@仿宋_GB2312" w:hAnsi="@仿宋_GB2312" w:eastAsia="宋体" w:cs="@仿宋_GB2312"/>
                <w:sz w:val="24"/>
                <w:szCs w:val="24"/>
              </w:rPr>
            </w:pPr>
            <w:r>
              <w:rPr>
                <w:rFonts w:hint="eastAsia" w:ascii="宋体" w:hAnsi="宋体" w:eastAsia="宋体" w:cs="宋体"/>
                <w:b/>
                <w:bCs/>
                <w:sz w:val="24"/>
                <w:szCs w:val="24"/>
              </w:rPr>
              <w:t>注：以</w:t>
            </w:r>
            <w:r>
              <w:rPr>
                <w:rFonts w:hint="eastAsia" w:ascii="宋体" w:hAnsi="宋体" w:eastAsia="宋体" w:cs="宋体"/>
                <w:b/>
                <w:bCs/>
                <w:sz w:val="24"/>
                <w:szCs w:val="24"/>
                <w:lang w:eastAsia="zh-CN"/>
              </w:rPr>
              <w:t>比选</w:t>
            </w:r>
            <w:r>
              <w:rPr>
                <w:rFonts w:hint="eastAsia" w:ascii="宋体" w:hAnsi="宋体" w:eastAsia="宋体" w:cs="宋体"/>
                <w:b/>
                <w:bCs/>
                <w:sz w:val="24"/>
                <w:szCs w:val="24"/>
              </w:rPr>
              <w:t>响应表及采购需求中要求的证明材料作为评审依据。</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ascii="宋体" w:hAnsi="宋体" w:eastAsia="宋体" w:cs="宋体"/>
                <w:bCs/>
                <w:sz w:val="24"/>
                <w:szCs w:val="24"/>
              </w:rPr>
              <w:t>35</w:t>
            </w:r>
            <w:r>
              <w:rPr>
                <w:rFonts w:hint="eastAsia" w:ascii="宋体" w:hAnsi="宋体" w:eastAsia="宋体" w:cs="宋体"/>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8" w:type="dxa"/>
            <w:vMerge w:val="restart"/>
            <w:tcBorders>
              <w:left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hint="eastAsia" w:ascii="宋体" w:hAnsi="宋体" w:eastAsia="宋体" w:cs="宋体"/>
                <w:bCs/>
                <w:sz w:val="24"/>
                <w:szCs w:val="24"/>
              </w:rPr>
              <w:t>商务部分（</w:t>
            </w:r>
            <w:r>
              <w:rPr>
                <w:rFonts w:ascii="宋体" w:hAnsi="宋体" w:eastAsia="宋体" w:cs="宋体"/>
                <w:bCs/>
                <w:sz w:val="24"/>
                <w:szCs w:val="24"/>
              </w:rPr>
              <w:t>45</w:t>
            </w:r>
            <w:r>
              <w:rPr>
                <w:rFonts w:hint="eastAsia" w:ascii="宋体" w:hAnsi="宋体" w:eastAsia="宋体" w:cs="宋体"/>
                <w:bCs/>
                <w:sz w:val="24"/>
                <w:szCs w:val="24"/>
              </w:rPr>
              <w:t>分）</w:t>
            </w:r>
          </w:p>
          <w:p>
            <w:pPr>
              <w:spacing w:line="240" w:lineRule="auto"/>
              <w:rPr>
                <w:rFonts w:ascii="宋体" w:hAnsi="宋体" w:eastAsia="宋体" w:cs="宋体"/>
                <w:b/>
                <w:bCs/>
                <w:sz w:val="24"/>
                <w:szCs w:val="24"/>
              </w:rPr>
            </w:pPr>
          </w:p>
        </w:tc>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hint="eastAsia" w:ascii="Arial" w:hAnsi="Arial" w:eastAsia="宋体" w:cs="Arial"/>
                <w:sz w:val="24"/>
                <w:szCs w:val="24"/>
              </w:rPr>
              <w:t>供应商</w:t>
            </w:r>
            <w:r>
              <w:rPr>
                <w:rFonts w:ascii="Arial" w:hAnsi="Arial" w:eastAsia="宋体" w:cs="Arial"/>
                <w:sz w:val="24"/>
                <w:szCs w:val="24"/>
              </w:rPr>
              <w:t>业绩及业主单位评价</w:t>
            </w:r>
          </w:p>
        </w:tc>
        <w:tc>
          <w:tcPr>
            <w:tcW w:w="533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rPr>
                <w:rFonts w:ascii="Arial" w:hAnsi="Arial" w:eastAsia="宋体" w:cs="Arial"/>
                <w:sz w:val="24"/>
                <w:szCs w:val="24"/>
              </w:rPr>
            </w:pPr>
            <w:r>
              <w:rPr>
                <w:rFonts w:hint="eastAsia" w:ascii="Arial" w:hAnsi="Arial" w:eastAsia="宋体" w:cs="Arial"/>
                <w:sz w:val="24"/>
                <w:szCs w:val="24"/>
              </w:rPr>
              <w:t>1</w:t>
            </w:r>
            <w:r>
              <w:rPr>
                <w:rFonts w:ascii="Arial" w:hAnsi="Arial" w:eastAsia="宋体" w:cs="Arial"/>
                <w:sz w:val="24"/>
                <w:szCs w:val="24"/>
              </w:rPr>
              <w:t>.</w:t>
            </w:r>
            <w:r>
              <w:rPr>
                <w:rFonts w:hint="eastAsia" w:ascii="Arial" w:hAnsi="Arial" w:eastAsia="宋体" w:cs="Arial"/>
                <w:sz w:val="24"/>
                <w:szCs w:val="24"/>
              </w:rPr>
              <w:t>根据供应商近三年（合同签订时间为20</w:t>
            </w:r>
            <w:r>
              <w:rPr>
                <w:rFonts w:ascii="Arial" w:hAnsi="Arial" w:eastAsia="宋体" w:cs="Arial"/>
                <w:sz w:val="24"/>
                <w:szCs w:val="24"/>
              </w:rPr>
              <w:t>20</w:t>
            </w:r>
            <w:r>
              <w:rPr>
                <w:rFonts w:hint="eastAsia" w:ascii="Arial" w:hAnsi="Arial" w:eastAsia="宋体" w:cs="Arial"/>
                <w:sz w:val="24"/>
                <w:szCs w:val="24"/>
              </w:rPr>
              <w:t>年1月1日至响应文件递交截止时间）有安全体验馆、安全实训教室项目建设、或者安全教育实训活动案例的，每提供一个案例合同得</w:t>
            </w:r>
            <w:r>
              <w:rPr>
                <w:rFonts w:ascii="Arial" w:hAnsi="Arial" w:eastAsia="宋体" w:cs="Arial"/>
                <w:sz w:val="24"/>
                <w:szCs w:val="24"/>
              </w:rPr>
              <w:t>2</w:t>
            </w:r>
            <w:r>
              <w:rPr>
                <w:rFonts w:hint="eastAsia" w:ascii="Arial" w:hAnsi="Arial" w:eastAsia="宋体" w:cs="Arial"/>
                <w:sz w:val="24"/>
                <w:szCs w:val="24"/>
              </w:rPr>
              <w:t>分，最多得</w:t>
            </w:r>
            <w:r>
              <w:rPr>
                <w:rFonts w:ascii="Arial" w:hAnsi="Arial" w:eastAsia="宋体" w:cs="Arial"/>
                <w:sz w:val="24"/>
                <w:szCs w:val="24"/>
              </w:rPr>
              <w:t>6</w:t>
            </w:r>
            <w:r>
              <w:rPr>
                <w:rFonts w:hint="eastAsia" w:ascii="Arial" w:hAnsi="Arial" w:eastAsia="宋体" w:cs="Arial"/>
                <w:sz w:val="24"/>
                <w:szCs w:val="24"/>
              </w:rPr>
              <w:t>分。（以供应商提供的合同复印件为评审依据，原件备查。）</w:t>
            </w:r>
          </w:p>
          <w:p>
            <w:pPr>
              <w:widowControl/>
              <w:spacing w:line="240" w:lineRule="auto"/>
              <w:rPr>
                <w:rFonts w:ascii="Arial" w:hAnsi="Arial" w:eastAsia="宋体" w:cs="Arial"/>
                <w:sz w:val="24"/>
                <w:szCs w:val="24"/>
              </w:rPr>
            </w:pPr>
            <w:r>
              <w:rPr>
                <w:rFonts w:ascii="Arial" w:hAnsi="Arial" w:eastAsia="宋体" w:cs="Arial"/>
                <w:sz w:val="24"/>
                <w:szCs w:val="24"/>
              </w:rPr>
              <w:t>2.自2020年1月1日以来，供应商</w:t>
            </w:r>
            <w:r>
              <w:rPr>
                <w:rFonts w:hint="eastAsia" w:ascii="Arial" w:hAnsi="Arial" w:eastAsia="宋体" w:cs="Arial"/>
                <w:sz w:val="24"/>
                <w:szCs w:val="24"/>
              </w:rPr>
              <w:t>具有高校安全教育服务项目</w:t>
            </w:r>
            <w:r>
              <w:rPr>
                <w:rFonts w:ascii="Arial" w:hAnsi="Arial" w:eastAsia="宋体" w:cs="Arial"/>
                <w:sz w:val="24"/>
                <w:szCs w:val="24"/>
              </w:rPr>
              <w:t>业主单位的评价意见，每</w:t>
            </w:r>
            <w:r>
              <w:rPr>
                <w:rFonts w:hint="eastAsia" w:ascii="Arial" w:hAnsi="Arial" w:eastAsia="宋体" w:cs="Arial"/>
                <w:sz w:val="24"/>
                <w:szCs w:val="24"/>
              </w:rPr>
              <w:t>提供一</w:t>
            </w:r>
            <w:r>
              <w:rPr>
                <w:rFonts w:ascii="Arial" w:hAnsi="Arial" w:eastAsia="宋体" w:cs="Arial"/>
                <w:sz w:val="24"/>
                <w:szCs w:val="24"/>
              </w:rPr>
              <w:t>个好评得2分，</w:t>
            </w:r>
            <w:r>
              <w:rPr>
                <w:rFonts w:hint="eastAsia" w:ascii="Arial" w:hAnsi="Arial" w:eastAsia="宋体" w:cs="Arial"/>
                <w:sz w:val="24"/>
                <w:szCs w:val="24"/>
              </w:rPr>
              <w:t>最多得</w:t>
            </w:r>
            <w:r>
              <w:rPr>
                <w:rFonts w:ascii="Arial" w:hAnsi="Arial" w:eastAsia="宋体" w:cs="Arial"/>
                <w:sz w:val="24"/>
                <w:szCs w:val="24"/>
              </w:rPr>
              <w:t>6</w:t>
            </w:r>
            <w:r>
              <w:rPr>
                <w:rFonts w:hint="eastAsia" w:ascii="Arial" w:hAnsi="Arial" w:eastAsia="宋体" w:cs="Arial"/>
                <w:sz w:val="24"/>
                <w:szCs w:val="24"/>
              </w:rPr>
              <w:t>分。</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4"/>
                <w:szCs w:val="24"/>
              </w:rPr>
            </w:pPr>
            <w:r>
              <w:rPr>
                <w:rFonts w:ascii="宋体" w:hAnsi="宋体" w:eastAsia="宋体" w:cs="宋体"/>
                <w:sz w:val="24"/>
                <w:szCs w:val="24"/>
              </w:rPr>
              <w:t>12</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tcBorders>
              <w:left w:val="single" w:color="auto" w:sz="4" w:space="0"/>
              <w:right w:val="single" w:color="auto" w:sz="4" w:space="0"/>
            </w:tcBorders>
            <w:noWrap w:val="0"/>
            <w:vAlign w:val="center"/>
          </w:tcPr>
          <w:p>
            <w:pPr>
              <w:spacing w:line="240" w:lineRule="auto"/>
              <w:ind w:firstLine="435"/>
              <w:jc w:val="center"/>
              <w:rPr>
                <w:rFonts w:ascii="宋体" w:hAnsi="宋体" w:eastAsia="宋体" w:cs="宋体"/>
                <w:b/>
                <w:bCs/>
                <w:sz w:val="24"/>
                <w:szCs w:val="24"/>
              </w:rPr>
            </w:pPr>
          </w:p>
        </w:tc>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hint="eastAsia" w:ascii="宋体" w:hAnsi="宋体" w:eastAsia="宋体" w:cs="宋体"/>
                <w:bCs/>
                <w:sz w:val="24"/>
                <w:szCs w:val="24"/>
              </w:rPr>
              <w:t>资质证书</w:t>
            </w:r>
          </w:p>
        </w:tc>
        <w:tc>
          <w:tcPr>
            <w:tcW w:w="5339" w:type="dxa"/>
            <w:tcBorders>
              <w:top w:val="single" w:color="auto" w:sz="4" w:space="0"/>
              <w:left w:val="single" w:color="auto" w:sz="4" w:space="0"/>
              <w:bottom w:val="single" w:color="auto" w:sz="4" w:space="0"/>
              <w:right w:val="single" w:color="auto" w:sz="4" w:space="0"/>
            </w:tcBorders>
            <w:noWrap w:val="0"/>
            <w:vAlign w:val="center"/>
          </w:tcPr>
          <w:p>
            <w:pPr>
              <w:pStyle w:val="50"/>
              <w:numPr>
                <w:ilvl w:val="0"/>
                <w:numId w:val="0"/>
              </w:numPr>
              <w:spacing w:line="240" w:lineRule="auto"/>
              <w:ind w:leftChars="0"/>
              <w:jc w:val="left"/>
              <w:rPr>
                <w:rFonts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具有质量管理体系认证证书且在有效期内得</w:t>
            </w:r>
            <w:r>
              <w:rPr>
                <w:rFonts w:ascii="宋体" w:hAnsi="宋体" w:eastAsia="宋体" w:cs="宋体"/>
                <w:bCs/>
                <w:sz w:val="24"/>
                <w:szCs w:val="24"/>
              </w:rPr>
              <w:t>3</w:t>
            </w:r>
            <w:r>
              <w:rPr>
                <w:rFonts w:hint="eastAsia" w:ascii="宋体" w:hAnsi="宋体" w:eastAsia="宋体" w:cs="宋体"/>
                <w:bCs/>
                <w:sz w:val="24"/>
                <w:szCs w:val="24"/>
              </w:rPr>
              <w:t>分，没有不得分。</w:t>
            </w:r>
          </w:p>
          <w:p>
            <w:pPr>
              <w:pStyle w:val="50"/>
              <w:numPr>
                <w:ilvl w:val="0"/>
                <w:numId w:val="0"/>
              </w:numPr>
              <w:spacing w:line="240" w:lineRule="auto"/>
              <w:ind w:leftChars="0"/>
              <w:jc w:val="left"/>
              <w:rPr>
                <w:rFonts w:ascii="宋体" w:hAnsi="宋体" w:eastAsia="宋体" w:cs="宋体"/>
                <w:bCs/>
                <w:sz w:val="24"/>
                <w:szCs w:val="24"/>
              </w:rPr>
            </w:pPr>
            <w:r>
              <w:rPr>
                <w:rFonts w:hint="eastAsia" w:ascii="宋体" w:hAnsi="宋体" w:eastAsia="宋体" w:cs="宋体"/>
                <w:bCs/>
                <w:sz w:val="24"/>
                <w:szCs w:val="24"/>
                <w:lang w:val="en-US" w:eastAsia="zh-CN"/>
              </w:rPr>
              <w:t>2.</w:t>
            </w:r>
            <w:r>
              <w:rPr>
                <w:rFonts w:hint="eastAsia" w:ascii="宋体" w:hAnsi="宋体" w:eastAsia="宋体" w:cs="宋体"/>
                <w:bCs/>
                <w:sz w:val="24"/>
                <w:szCs w:val="24"/>
              </w:rPr>
              <w:t>是体验式安全宣传教育基地通用要求国家标准起草单位的得</w:t>
            </w:r>
            <w:r>
              <w:rPr>
                <w:rFonts w:ascii="宋体" w:hAnsi="宋体" w:eastAsia="宋体" w:cs="宋体"/>
                <w:bCs/>
                <w:sz w:val="24"/>
                <w:szCs w:val="24"/>
              </w:rPr>
              <w:t>3</w:t>
            </w:r>
            <w:r>
              <w:rPr>
                <w:rFonts w:hint="eastAsia" w:ascii="宋体" w:hAnsi="宋体" w:eastAsia="宋体" w:cs="宋体"/>
                <w:bCs/>
                <w:sz w:val="24"/>
                <w:szCs w:val="24"/>
              </w:rPr>
              <w:t>分，提供查询截图。</w:t>
            </w:r>
          </w:p>
          <w:p>
            <w:pPr>
              <w:pStyle w:val="50"/>
              <w:numPr>
                <w:ilvl w:val="0"/>
                <w:numId w:val="0"/>
              </w:numPr>
              <w:spacing w:line="240" w:lineRule="auto"/>
              <w:ind w:leftChars="0"/>
              <w:jc w:val="left"/>
              <w:rPr>
                <w:rFonts w:ascii="宋体" w:hAnsi="宋体" w:eastAsia="宋体" w:cs="宋体"/>
                <w:bCs/>
                <w:sz w:val="24"/>
                <w:szCs w:val="24"/>
              </w:rPr>
            </w:pPr>
            <w:r>
              <w:rPr>
                <w:rFonts w:hint="eastAsia" w:ascii="宋体" w:hAnsi="宋体" w:eastAsia="宋体" w:cs="宋体"/>
                <w:bCs/>
                <w:sz w:val="24"/>
                <w:szCs w:val="24"/>
                <w:lang w:val="en-US" w:eastAsia="zh-CN"/>
              </w:rPr>
              <w:t>3.</w:t>
            </w:r>
            <w:r>
              <w:rPr>
                <w:rFonts w:hint="eastAsia" w:ascii="宋体" w:hAnsi="宋体" w:eastAsia="宋体" w:cs="宋体"/>
                <w:bCs/>
                <w:sz w:val="24"/>
                <w:szCs w:val="24"/>
              </w:rPr>
              <w:t>具有中国教育发展战略学会安全教育专业委员会理事证书的得5分，没有不得分。</w:t>
            </w:r>
          </w:p>
          <w:p>
            <w:pPr>
              <w:spacing w:line="240" w:lineRule="auto"/>
              <w:jc w:val="left"/>
              <w:rPr>
                <w:rFonts w:ascii="宋体" w:hAnsi="宋体" w:eastAsia="宋体" w:cs="宋体"/>
                <w:bCs/>
                <w:sz w:val="24"/>
                <w:szCs w:val="24"/>
              </w:rPr>
            </w:pPr>
            <w:r>
              <w:rPr>
                <w:rFonts w:hint="eastAsia" w:ascii="宋体" w:hAnsi="宋体" w:eastAsia="宋体" w:cs="宋体"/>
                <w:bCs/>
                <w:sz w:val="24"/>
                <w:szCs w:val="24"/>
                <w:lang w:val="en-US" w:eastAsia="zh-CN"/>
              </w:rPr>
              <w:t>4.</w:t>
            </w:r>
            <w:r>
              <w:rPr>
                <w:rFonts w:hint="eastAsia" w:ascii="宋体" w:hAnsi="宋体" w:eastAsia="宋体" w:cs="宋体"/>
                <w:bCs/>
                <w:sz w:val="24"/>
                <w:szCs w:val="24"/>
              </w:rPr>
              <w:t>具有省级以上有关“安全实训教室（馆）建设”、“虚拟现实安全体验馆”的大学生安全教育专业学术机构推荐函，提供一份得</w:t>
            </w:r>
            <w:r>
              <w:rPr>
                <w:rFonts w:ascii="宋体" w:hAnsi="宋体" w:eastAsia="宋体" w:cs="宋体"/>
                <w:bCs/>
                <w:sz w:val="24"/>
                <w:szCs w:val="24"/>
              </w:rPr>
              <w:t>3</w:t>
            </w:r>
            <w:r>
              <w:rPr>
                <w:rFonts w:hint="eastAsia" w:ascii="宋体" w:hAnsi="宋体" w:eastAsia="宋体" w:cs="宋体"/>
                <w:bCs/>
                <w:sz w:val="24"/>
                <w:szCs w:val="24"/>
              </w:rPr>
              <w:t>分，最多得</w:t>
            </w:r>
            <w:r>
              <w:rPr>
                <w:rFonts w:ascii="宋体" w:hAnsi="宋体" w:eastAsia="宋体" w:cs="宋体"/>
                <w:bCs/>
                <w:sz w:val="24"/>
                <w:szCs w:val="24"/>
              </w:rPr>
              <w:t>9</w:t>
            </w:r>
            <w:r>
              <w:rPr>
                <w:rFonts w:hint="eastAsia" w:ascii="宋体" w:hAnsi="宋体" w:eastAsia="宋体" w:cs="宋体"/>
                <w:bCs/>
                <w:sz w:val="24"/>
                <w:szCs w:val="24"/>
              </w:rPr>
              <w:t>分，没有不得分。</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ascii="宋体" w:hAnsi="宋体" w:eastAsia="宋体" w:cs="宋体"/>
                <w:bCs/>
                <w:sz w:val="24"/>
                <w:szCs w:val="24"/>
              </w:rPr>
              <w:t>20</w:t>
            </w:r>
            <w:r>
              <w:rPr>
                <w:rFonts w:hint="eastAsia" w:ascii="宋体" w:hAnsi="宋体" w:eastAsia="宋体" w:cs="宋体"/>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8" w:type="dxa"/>
            <w:vMerge w:val="continue"/>
            <w:tcBorders>
              <w:left w:val="single" w:color="auto" w:sz="4" w:space="0"/>
              <w:right w:val="single" w:color="auto" w:sz="4" w:space="0"/>
            </w:tcBorders>
            <w:noWrap w:val="0"/>
            <w:vAlign w:val="center"/>
          </w:tcPr>
          <w:p>
            <w:pPr>
              <w:spacing w:line="240" w:lineRule="auto"/>
              <w:ind w:firstLine="435"/>
              <w:jc w:val="center"/>
              <w:rPr>
                <w:rFonts w:ascii="宋体" w:hAnsi="宋体" w:eastAsia="宋体" w:cs="宋体"/>
                <w:b/>
                <w:bCs/>
                <w:sz w:val="24"/>
                <w:szCs w:val="24"/>
              </w:rPr>
            </w:pPr>
          </w:p>
        </w:tc>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hint="eastAsia" w:ascii="宋体" w:hAnsi="宋体" w:eastAsia="宋体" w:cs="宋体"/>
                <w:bCs/>
                <w:sz w:val="24"/>
                <w:szCs w:val="24"/>
              </w:rPr>
              <w:t>安全性与知识产权</w:t>
            </w:r>
          </w:p>
        </w:tc>
        <w:tc>
          <w:tcPr>
            <w:tcW w:w="533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ascii="宋体" w:hAnsi="宋体" w:eastAsia="宋体" w:cs="宋体"/>
                <w:bCs/>
                <w:sz w:val="24"/>
                <w:szCs w:val="24"/>
              </w:rPr>
            </w:pPr>
            <w:r>
              <w:rPr>
                <w:rFonts w:hint="eastAsia" w:ascii="宋体" w:hAnsi="宋体" w:eastAsia="宋体" w:cs="宋体"/>
                <w:bCs/>
                <w:sz w:val="24"/>
                <w:szCs w:val="24"/>
              </w:rPr>
              <w:t>1、供应商可提供设备配套服务（互联网+大学生安全教育服务），并可提供国家版权局发布的互联网安全教育微课学习服务平台软件著作权登记证书的得</w:t>
            </w:r>
            <w:r>
              <w:rPr>
                <w:rFonts w:ascii="宋体" w:hAnsi="宋体" w:eastAsia="宋体" w:cs="宋体"/>
                <w:bCs/>
                <w:sz w:val="24"/>
                <w:szCs w:val="24"/>
              </w:rPr>
              <w:t>4</w:t>
            </w:r>
            <w:r>
              <w:rPr>
                <w:rFonts w:hint="eastAsia" w:ascii="宋体" w:hAnsi="宋体" w:eastAsia="宋体" w:cs="宋体"/>
                <w:bCs/>
                <w:sz w:val="24"/>
                <w:szCs w:val="24"/>
              </w:rPr>
              <w:t>分，未提供不得分。</w:t>
            </w:r>
          </w:p>
          <w:p>
            <w:pPr>
              <w:spacing w:line="240" w:lineRule="auto"/>
              <w:jc w:val="left"/>
              <w:rPr>
                <w:rFonts w:ascii="宋体" w:hAnsi="宋体" w:eastAsia="宋体" w:cs="宋体"/>
                <w:bCs/>
                <w:sz w:val="24"/>
                <w:szCs w:val="24"/>
              </w:rPr>
            </w:pPr>
            <w:r>
              <w:rPr>
                <w:rFonts w:hint="eastAsia" w:ascii="宋体" w:hAnsi="宋体" w:eastAsia="宋体" w:cs="宋体"/>
                <w:bCs/>
                <w:sz w:val="24"/>
                <w:szCs w:val="24"/>
              </w:rPr>
              <w:t>2、该配套服务平台需通过国家公安部信息系统安全等级备案（三级及以上），提供三级及以上备案证明得</w:t>
            </w:r>
            <w:r>
              <w:rPr>
                <w:rFonts w:ascii="宋体" w:hAnsi="宋体" w:eastAsia="宋体" w:cs="宋体"/>
                <w:bCs/>
                <w:sz w:val="24"/>
                <w:szCs w:val="24"/>
              </w:rPr>
              <w:t>2</w:t>
            </w:r>
            <w:r>
              <w:rPr>
                <w:rFonts w:hint="eastAsia" w:ascii="宋体" w:hAnsi="宋体" w:eastAsia="宋体" w:cs="宋体"/>
                <w:bCs/>
                <w:sz w:val="24"/>
                <w:szCs w:val="24"/>
              </w:rPr>
              <w:t>分，提供三级以下得1分，不提供不得分。</w:t>
            </w:r>
          </w:p>
          <w:p>
            <w:pPr>
              <w:spacing w:line="240" w:lineRule="auto"/>
              <w:jc w:val="left"/>
              <w:rPr>
                <w:rFonts w:ascii="宋体" w:hAnsi="宋体" w:eastAsia="宋体" w:cs="宋体"/>
                <w:bCs/>
                <w:sz w:val="24"/>
                <w:szCs w:val="24"/>
              </w:rPr>
            </w:pPr>
            <w:r>
              <w:rPr>
                <w:rFonts w:hint="eastAsia" w:ascii="宋体" w:hAnsi="宋体" w:eastAsia="宋体" w:cs="宋体"/>
                <w:bCs/>
                <w:sz w:val="24"/>
                <w:szCs w:val="24"/>
              </w:rPr>
              <w:t>3</w:t>
            </w:r>
            <w:r>
              <w:rPr>
                <w:rFonts w:ascii="宋体" w:hAnsi="宋体" w:eastAsia="宋体" w:cs="宋体"/>
                <w:bCs/>
                <w:sz w:val="24"/>
                <w:szCs w:val="24"/>
              </w:rPr>
              <w:t>.</w:t>
            </w:r>
            <w:r>
              <w:rPr>
                <w:rFonts w:hint="eastAsia" w:ascii="宋体" w:hAnsi="宋体" w:eastAsia="宋体" w:cs="宋体"/>
                <w:bCs/>
                <w:sz w:val="24"/>
                <w:szCs w:val="24"/>
              </w:rPr>
              <w:t xml:space="preserve"> 该配套服务平台具有教育部教育移动互联网应用程序备案的，得</w:t>
            </w:r>
            <w:r>
              <w:rPr>
                <w:rFonts w:ascii="宋体" w:hAnsi="宋体" w:eastAsia="宋体" w:cs="宋体"/>
                <w:bCs/>
                <w:sz w:val="24"/>
                <w:szCs w:val="24"/>
              </w:rPr>
              <w:t xml:space="preserve"> 2分</w:t>
            </w:r>
            <w:r>
              <w:rPr>
                <w:rFonts w:hint="eastAsia" w:ascii="宋体" w:hAnsi="宋体" w:eastAsia="宋体" w:cs="宋体"/>
                <w:bCs/>
                <w:sz w:val="24"/>
                <w:szCs w:val="24"/>
              </w:rPr>
              <w:t>，不提供不得分。</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ascii="宋体" w:hAnsi="宋体" w:eastAsia="宋体" w:cs="宋体"/>
                <w:bCs/>
                <w:sz w:val="24"/>
                <w:szCs w:val="24"/>
              </w:rPr>
              <w:t>8</w:t>
            </w:r>
            <w:r>
              <w:rPr>
                <w:rFonts w:hint="eastAsia" w:ascii="宋体" w:hAnsi="宋体" w:eastAsia="宋体" w:cs="宋体"/>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8" w:hRule="atLeast"/>
          <w:jc w:val="center"/>
        </w:trPr>
        <w:tc>
          <w:tcPr>
            <w:tcW w:w="1558" w:type="dxa"/>
            <w:vMerge w:val="continue"/>
            <w:tcBorders>
              <w:left w:val="single" w:color="auto" w:sz="4" w:space="0"/>
              <w:right w:val="single" w:color="auto" w:sz="4" w:space="0"/>
            </w:tcBorders>
            <w:noWrap w:val="0"/>
            <w:vAlign w:val="center"/>
          </w:tcPr>
          <w:p>
            <w:pPr>
              <w:spacing w:line="240" w:lineRule="auto"/>
              <w:ind w:firstLine="435"/>
              <w:jc w:val="center"/>
              <w:rPr>
                <w:rFonts w:ascii="宋体" w:hAnsi="宋体" w:eastAsia="宋体" w:cs="宋体"/>
                <w:b/>
                <w:bCs/>
                <w:sz w:val="24"/>
                <w:szCs w:val="24"/>
              </w:rPr>
            </w:pPr>
          </w:p>
        </w:tc>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hint="eastAsia" w:ascii="宋体" w:hAnsi="宋体" w:eastAsia="宋体" w:cs="宋体"/>
                <w:bCs/>
                <w:sz w:val="24"/>
                <w:szCs w:val="24"/>
              </w:rPr>
              <w:t>售后服务</w:t>
            </w:r>
          </w:p>
        </w:tc>
        <w:tc>
          <w:tcPr>
            <w:tcW w:w="533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w:t>
            </w:r>
            <w:r>
              <w:rPr>
                <w:rFonts w:hint="eastAsia" w:ascii="宋体" w:hAnsi="宋体" w:eastAsia="宋体" w:cs="宋体"/>
                <w:bCs/>
                <w:sz w:val="24"/>
                <w:szCs w:val="24"/>
              </w:rPr>
              <w:t>可根据采购单位需求提供切实可行的有关安全教育主题的活动方案，内容需具备丰富性及可行性，方案数量达到5个及以上得</w:t>
            </w:r>
            <w:r>
              <w:rPr>
                <w:rFonts w:ascii="宋体" w:hAnsi="宋体" w:eastAsia="宋体" w:cs="宋体"/>
                <w:bCs/>
                <w:sz w:val="24"/>
                <w:szCs w:val="24"/>
              </w:rPr>
              <w:t>3</w:t>
            </w:r>
            <w:r>
              <w:rPr>
                <w:rFonts w:hint="eastAsia" w:ascii="宋体" w:hAnsi="宋体" w:eastAsia="宋体" w:cs="宋体"/>
                <w:bCs/>
                <w:sz w:val="24"/>
                <w:szCs w:val="24"/>
              </w:rPr>
              <w:t>分，5个以下得1-</w:t>
            </w:r>
            <w:r>
              <w:rPr>
                <w:rFonts w:ascii="宋体" w:hAnsi="宋体" w:eastAsia="宋体" w:cs="宋体"/>
                <w:bCs/>
                <w:sz w:val="24"/>
                <w:szCs w:val="24"/>
              </w:rPr>
              <w:t>2</w:t>
            </w:r>
            <w:r>
              <w:rPr>
                <w:rFonts w:hint="eastAsia" w:ascii="宋体" w:hAnsi="宋体" w:eastAsia="宋体" w:cs="宋体"/>
                <w:bCs/>
                <w:sz w:val="24"/>
                <w:szCs w:val="24"/>
              </w:rPr>
              <w:t>分，不提供不得分。</w:t>
            </w:r>
          </w:p>
          <w:p>
            <w:pPr>
              <w:spacing w:line="240" w:lineRule="auto"/>
              <w:ind w:left="240" w:hanging="240" w:hangingChars="100"/>
              <w:jc w:val="left"/>
              <w:rPr>
                <w:rFonts w:ascii="宋体" w:hAnsi="宋体" w:eastAsia="宋体" w:cs="宋体"/>
                <w:bCs/>
                <w:sz w:val="24"/>
                <w:szCs w:val="24"/>
              </w:rPr>
            </w:pPr>
            <w:r>
              <w:rPr>
                <w:rFonts w:hint="eastAsia" w:ascii="宋体" w:hAnsi="宋体" w:eastAsia="宋体" w:cs="宋体"/>
                <w:bCs/>
                <w:sz w:val="24"/>
                <w:szCs w:val="24"/>
              </w:rPr>
              <w:t>2</w:t>
            </w:r>
            <w:r>
              <w:rPr>
                <w:rFonts w:hint="eastAsia" w:ascii="宋体" w:hAnsi="宋体" w:eastAsia="宋体" w:cs="宋体"/>
                <w:bCs/>
                <w:sz w:val="24"/>
                <w:szCs w:val="24"/>
                <w:lang w:val="en-US" w:eastAsia="zh-CN"/>
              </w:rPr>
              <w:t>.</w:t>
            </w:r>
            <w:r>
              <w:rPr>
                <w:rFonts w:hint="eastAsia" w:ascii="宋体" w:hAnsi="宋体" w:eastAsia="宋体" w:cs="宋体"/>
                <w:bCs/>
                <w:sz w:val="24"/>
                <w:szCs w:val="24"/>
              </w:rPr>
              <w:t>供应商需提供售后服务承诺函：</w:t>
            </w:r>
          </w:p>
          <w:p>
            <w:pPr>
              <w:spacing w:line="240" w:lineRule="auto"/>
              <w:jc w:val="left"/>
              <w:rPr>
                <w:rFonts w:ascii="宋体" w:hAnsi="宋体" w:eastAsia="宋体" w:cs="宋体"/>
                <w:bCs/>
                <w:sz w:val="24"/>
                <w:szCs w:val="24"/>
              </w:rPr>
            </w:pPr>
            <w:r>
              <w:rPr>
                <w:rFonts w:hint="eastAsia" w:ascii="宋体" w:hAnsi="宋体" w:eastAsia="宋体" w:cs="宋体"/>
                <w:bCs/>
                <w:sz w:val="24"/>
                <w:szCs w:val="24"/>
              </w:rPr>
              <w:t>1）内容包含故障响应时间、技术人员配备情况、人员培训得</w:t>
            </w:r>
            <w:r>
              <w:rPr>
                <w:rFonts w:ascii="宋体" w:hAnsi="宋体" w:eastAsia="宋体" w:cs="宋体"/>
                <w:bCs/>
                <w:sz w:val="24"/>
                <w:szCs w:val="24"/>
              </w:rPr>
              <w:t>2</w:t>
            </w:r>
            <w:r>
              <w:rPr>
                <w:rFonts w:hint="eastAsia" w:ascii="宋体" w:hAnsi="宋体" w:eastAsia="宋体" w:cs="宋体"/>
                <w:bCs/>
                <w:sz w:val="24"/>
                <w:szCs w:val="24"/>
              </w:rPr>
              <w:t>分，没有不得分；</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4"/>
                <w:szCs w:val="24"/>
              </w:rPr>
            </w:pPr>
            <w:r>
              <w:rPr>
                <w:rFonts w:ascii="宋体" w:hAnsi="宋体" w:eastAsia="宋体" w:cs="宋体"/>
                <w:bCs/>
                <w:sz w:val="24"/>
                <w:szCs w:val="24"/>
              </w:rPr>
              <w:t>5</w:t>
            </w:r>
            <w:r>
              <w:rPr>
                <w:rFonts w:hint="eastAsia" w:ascii="宋体" w:hAnsi="宋体" w:eastAsia="宋体" w:cs="宋体"/>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1558" w:type="dxa"/>
            <w:tcBorders>
              <w:left w:val="single" w:color="auto" w:sz="4" w:space="0"/>
              <w:right w:val="single" w:color="auto" w:sz="4" w:space="0"/>
            </w:tcBorders>
            <w:noWrap w:val="0"/>
            <w:vAlign w:val="center"/>
          </w:tcPr>
          <w:p>
            <w:pPr>
              <w:spacing w:line="240" w:lineRule="auto"/>
              <w:jc w:val="center"/>
              <w:rPr>
                <w:rFonts w:ascii="宋体" w:hAnsi="宋体" w:eastAsia="宋体" w:cs="宋体"/>
                <w:sz w:val="24"/>
                <w:szCs w:val="24"/>
              </w:rPr>
            </w:pPr>
            <w:r>
              <w:rPr>
                <w:rFonts w:hint="eastAsia" w:ascii="宋体" w:hAnsi="宋体" w:eastAsia="宋体" w:cs="宋体"/>
                <w:sz w:val="24"/>
                <w:szCs w:val="24"/>
              </w:rPr>
              <w:t>价格分</w:t>
            </w:r>
          </w:p>
          <w:p>
            <w:pPr>
              <w:spacing w:line="240" w:lineRule="auto"/>
              <w:jc w:val="center"/>
              <w:rPr>
                <w:rFonts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ascii="宋体" w:hAnsi="宋体" w:eastAsia="宋体" w:cs="宋体"/>
                <w:sz w:val="24"/>
                <w:szCs w:val="24"/>
                <w:u w:val="single"/>
              </w:rPr>
              <w:t>20</w:t>
            </w:r>
            <w:r>
              <w:rPr>
                <w:rFonts w:hint="eastAsia" w:ascii="宋体" w:hAnsi="宋体" w:eastAsia="宋体" w:cs="宋体"/>
                <w:sz w:val="24"/>
                <w:szCs w:val="24"/>
                <w:u w:val="single"/>
              </w:rPr>
              <w:t xml:space="preserve"> </w:t>
            </w:r>
            <w:r>
              <w:rPr>
                <w:rFonts w:hint="eastAsia" w:ascii="宋体" w:hAnsi="宋体" w:eastAsia="宋体" w:cs="宋体"/>
                <w:sz w:val="24"/>
                <w:szCs w:val="24"/>
              </w:rPr>
              <w:t>分）</w:t>
            </w:r>
          </w:p>
        </w:tc>
        <w:tc>
          <w:tcPr>
            <w:tcW w:w="7666"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ascii="宋体" w:hAnsi="宋体" w:eastAsia="宋体" w:cs="宋体"/>
                <w:bCs/>
                <w:sz w:val="24"/>
                <w:szCs w:val="24"/>
              </w:rPr>
            </w:pPr>
            <w:r>
              <w:rPr>
                <w:rFonts w:hint="eastAsia" w:ascii="宋体" w:hAnsi="宋体" w:eastAsia="宋体" w:cs="宋体"/>
                <w:bCs/>
                <w:sz w:val="24"/>
                <w:szCs w:val="24"/>
              </w:rPr>
              <w:t>价格分统一采用低价优先法，即满足</w:t>
            </w:r>
            <w:r>
              <w:rPr>
                <w:rFonts w:hint="eastAsia" w:ascii="宋体" w:hAnsi="宋体" w:eastAsia="宋体" w:cs="宋体"/>
                <w:bCs/>
                <w:sz w:val="24"/>
                <w:szCs w:val="24"/>
                <w:lang w:eastAsia="zh-CN"/>
              </w:rPr>
              <w:t>比选</w:t>
            </w:r>
            <w:r>
              <w:rPr>
                <w:rFonts w:hint="eastAsia" w:ascii="宋体" w:hAnsi="宋体" w:eastAsia="宋体" w:cs="宋体"/>
                <w:bCs/>
                <w:sz w:val="24"/>
                <w:szCs w:val="24"/>
              </w:rPr>
              <w:t>文件要求且价格最低的最后报价为评标基准价，其价格分为满分</w:t>
            </w:r>
            <w:r>
              <w:rPr>
                <w:rFonts w:ascii="宋体" w:hAnsi="宋体" w:eastAsia="宋体" w:cs="宋体"/>
                <w:bCs/>
                <w:sz w:val="24"/>
                <w:szCs w:val="24"/>
              </w:rPr>
              <w:t xml:space="preserve"> 20 分。其他供应商的价格分统一按照下列公式计算：</w:t>
            </w:r>
          </w:p>
          <w:p>
            <w:pPr>
              <w:spacing w:line="240" w:lineRule="auto"/>
              <w:jc w:val="left"/>
              <w:rPr>
                <w:rFonts w:ascii="宋体" w:hAnsi="宋体" w:eastAsia="宋体" w:cs="宋体"/>
                <w:bCs/>
                <w:sz w:val="24"/>
                <w:szCs w:val="24"/>
              </w:rPr>
            </w:pPr>
            <w:r>
              <w:rPr>
                <w:rFonts w:hint="eastAsia" w:ascii="宋体" w:hAnsi="宋体" w:eastAsia="宋体" w:cs="宋体"/>
                <w:bCs/>
                <w:sz w:val="24"/>
                <w:szCs w:val="24"/>
              </w:rPr>
              <w:t>最后报价得分＝（评标基准价</w:t>
            </w:r>
            <w:r>
              <w:rPr>
                <w:rFonts w:ascii="宋体" w:hAnsi="宋体" w:eastAsia="宋体" w:cs="宋体"/>
                <w:bCs/>
                <w:sz w:val="24"/>
                <w:szCs w:val="24"/>
              </w:rPr>
              <w:t>/最后报价）×20％×100</w:t>
            </w:r>
          </w:p>
        </w:tc>
      </w:tr>
    </w:tbl>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十、合同的签订、履行及验收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36、合同授予标准：本项目合同将授予成交供应商。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37、采购人拒绝</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响应的权力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采购人不承诺将合同授予报价最低的供应商。采购人在发出成交通知书前，有权依据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小组的评标报告拒绝不合格的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38、合同协议书的签订</w:t>
      </w:r>
    </w:p>
    <w:p>
      <w:pPr>
        <w:spacing w:line="360" w:lineRule="auto"/>
        <w:ind w:firstLine="480" w:firstLineChars="200"/>
        <w:rPr>
          <w:rFonts w:hint="eastAsia" w:ascii="宋体" w:hAnsi="宋体" w:eastAsia="宋体" w:cs="宋体"/>
          <w:color w:val="auto"/>
          <w:sz w:val="24"/>
          <w:szCs w:val="24"/>
          <w:highlight w:val="none"/>
        </w:rPr>
      </w:pPr>
      <w:bookmarkStart w:id="9" w:name="项目清单"/>
      <w:r>
        <w:rPr>
          <w:rFonts w:hint="eastAsia" w:ascii="宋体" w:hAnsi="宋体" w:eastAsia="宋体" w:cs="宋体"/>
          <w:color w:val="auto"/>
          <w:sz w:val="24"/>
          <w:szCs w:val="24"/>
          <w:highlight w:val="none"/>
        </w:rPr>
        <w:t>38.1成交供应商应在成交通知书发出之日起三十日内（具体时间、地点见成交通知书）与采购人签订合同。采购人应按照</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文件和成交供应商的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响应文件与成交供应商签订采购合同，采购人不得向成交供应商提出任何不合理的要求，作为签订合同的条件，不得与成交供应商私下订立背离合同实质性内容的任何协议，所签订的合同不得对</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文件和成交供应商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响应文件作实质性修改。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38.2成交供应商如不按本</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文件规定与采购人订立合同，则采购人将废除授标，有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响应担保的将不予退还，给采购人造成的损失超过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响应担保数额的，还应当对超过部分予以赔偿，同时依法承担相应法律责任。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38.3成交供应商应当按照合同约定履行义务，完成成交项目，不得将成交项目转让（转包）给他人。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38.4 采购双方必须严格按照</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响应文件及有关承诺签订采购合同，不得擅自变更。合同的标的、价款、质量、履行期限、服务要求等主要条款应当与</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文件和成交供应商的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响应文件的内容一致，采购人和成交供应商不得再行订立背离合同实质性内容的其他协议。对任何因双方擅自变更合同引起的问题代理机构概不负责，合同风险由双方自行承担。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38.5采购人保留以书面形式要求对服务细则作适当调整的权利。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39、履行合同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39.1成交供应商与采购人签订合同后，合同双方应严格执行合同条款，履行合同规定的义务，保证合同的顺利完成。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39.2在合同履行过程中，如发生合同纠纷，合同双方应按照《合同法》的有关规定进行处理。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40.1采购人须建立</w:t>
      </w:r>
      <w:r>
        <w:rPr>
          <w:rFonts w:hint="eastAsia" w:ascii="宋体" w:hAnsi="宋体" w:eastAsia="宋体" w:cs="宋体"/>
          <w:color w:val="auto"/>
          <w:sz w:val="24"/>
          <w:szCs w:val="24"/>
          <w:highlight w:val="none"/>
          <w:lang w:eastAsia="zh-CN"/>
        </w:rPr>
        <w:t>会前</w:t>
      </w:r>
      <w:r>
        <w:rPr>
          <w:rFonts w:hint="eastAsia" w:ascii="宋体" w:hAnsi="宋体" w:eastAsia="宋体" w:cs="宋体"/>
          <w:color w:val="auto"/>
          <w:sz w:val="24"/>
          <w:szCs w:val="24"/>
          <w:highlight w:val="none"/>
        </w:rPr>
        <w:t>考核制度。考核时应成立三人以上</w:t>
      </w:r>
      <w:r>
        <w:rPr>
          <w:rFonts w:hint="eastAsia" w:ascii="宋体" w:hAnsi="宋体" w:eastAsia="宋体" w:cs="宋体"/>
          <w:color w:val="auto"/>
          <w:sz w:val="24"/>
          <w:szCs w:val="24"/>
          <w:highlight w:val="none"/>
          <w:lang w:eastAsia="zh-CN"/>
        </w:rPr>
        <w:t>考核小组</w:t>
      </w:r>
      <w:r>
        <w:rPr>
          <w:rFonts w:hint="eastAsia" w:ascii="宋体" w:hAnsi="宋体" w:eastAsia="宋体" w:cs="宋体"/>
          <w:color w:val="auto"/>
          <w:sz w:val="24"/>
          <w:szCs w:val="24"/>
          <w:highlight w:val="none"/>
        </w:rPr>
        <w:t>（由合同双方、专业人员等相关人员组成），依据考核方案进行考核。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40.3涉及安全等其他需要由行业主管部门进行验收的项目，必须邀请相关部门参与验收。</w:t>
      </w:r>
    </w:p>
    <w:p>
      <w:pPr>
        <w:spacing w:line="360" w:lineRule="auto"/>
        <w:ind w:firstLine="480" w:firstLineChars="200"/>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40.4验收费用</w:t>
      </w:r>
      <w:r>
        <w:rPr>
          <w:rFonts w:hint="eastAsia" w:ascii="宋体" w:hAnsi="宋体" w:cs="宋体"/>
          <w:color w:val="auto"/>
          <w:sz w:val="24"/>
          <w:szCs w:val="24"/>
          <w:highlight w:val="none"/>
          <w:lang w:eastAsia="zh-CN"/>
        </w:rPr>
        <w:t>（如有）</w:t>
      </w:r>
      <w:r>
        <w:rPr>
          <w:rFonts w:hint="eastAsia" w:ascii="宋体" w:hAnsi="宋体" w:eastAsia="宋体" w:cs="宋体"/>
          <w:color w:val="auto"/>
          <w:sz w:val="24"/>
          <w:szCs w:val="24"/>
          <w:highlight w:val="none"/>
        </w:rPr>
        <w:t>均由合同乙方（成交供应商）承担，采购文件中另有约定的除外。</w:t>
      </w:r>
      <w:bookmarkEnd w:id="9"/>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numPr>
          <w:ilvl w:val="0"/>
          <w:numId w:val="5"/>
        </w:numPr>
        <w:spacing w:line="360" w:lineRule="auto"/>
        <w:jc w:val="center"/>
        <w:rPr>
          <w:rFonts w:hint="eastAsia" w:ascii="宋体" w:hAnsi="宋体" w:eastAsia="宋体" w:cs="@仿宋_GB2312"/>
          <w:b/>
          <w:sz w:val="30"/>
          <w:szCs w:val="30"/>
        </w:rPr>
      </w:pPr>
      <w:bookmarkStart w:id="10" w:name="_Toc220232392"/>
      <w:bookmarkStart w:id="11" w:name="_Toc407096156"/>
      <w:r>
        <w:rPr>
          <w:rFonts w:hint="eastAsia" w:ascii="宋体" w:hAnsi="宋体" w:eastAsia="宋体" w:cs="@仿宋_GB2312"/>
          <w:b/>
          <w:sz w:val="30"/>
          <w:szCs w:val="30"/>
        </w:rPr>
        <w:t>采购需求</w:t>
      </w:r>
    </w:p>
    <w:p>
      <w:pPr>
        <w:autoSpaceDE w:val="0"/>
        <w:autoSpaceDN w:val="0"/>
        <w:spacing w:before="3"/>
        <w:ind w:left="145" w:right="134"/>
        <w:jc w:val="both"/>
        <w:rPr>
          <w:rFonts w:hint="eastAsia" w:ascii="宋体" w:hAnsi="宋体" w:eastAsia="宋体" w:cs="@仿宋_GB2312"/>
          <w:b w:val="0"/>
          <w:bCs/>
          <w:sz w:val="24"/>
          <w:szCs w:val="24"/>
          <w:lang w:eastAsia="zh-CN"/>
        </w:rPr>
      </w:pPr>
      <w:r>
        <w:rPr>
          <w:rFonts w:hint="eastAsia" w:ascii="宋体" w:hAnsi="宋体" w:eastAsia="宋体" w:cs="@仿宋_GB2312"/>
          <w:b w:val="0"/>
          <w:bCs/>
          <w:sz w:val="24"/>
          <w:szCs w:val="24"/>
          <w:lang w:eastAsia="zh-CN"/>
        </w:rPr>
        <w:t>一、培训内容：</w:t>
      </w:r>
    </w:p>
    <w:p>
      <w:pPr>
        <w:keepNext w:val="0"/>
        <w:keepLines w:val="0"/>
        <w:pageBreakBefore w:val="0"/>
        <w:widowControl w:val="0"/>
        <w:numPr>
          <w:ilvl w:val="0"/>
          <w:numId w:val="0"/>
        </w:numPr>
        <w:kinsoku/>
        <w:wordWrap/>
        <w:overflowPunct/>
        <w:topLinePunct w:val="0"/>
        <w:bidi w:val="0"/>
        <w:adjustRightInd/>
        <w:snapToGrid/>
        <w:spacing w:line="440" w:lineRule="exact"/>
        <w:ind w:firstLine="480" w:firstLineChars="20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w:t>
      </w:r>
      <w:r>
        <w:rPr>
          <w:rFonts w:hint="eastAsia" w:ascii="宋体" w:hAnsi="宋体" w:cs="宋体"/>
          <w:kern w:val="0"/>
          <w:sz w:val="24"/>
          <w:szCs w:val="24"/>
          <w:lang w:val="en-US" w:eastAsia="zh-CN"/>
        </w:rPr>
        <w:t>、</w:t>
      </w:r>
      <w:r>
        <w:rPr>
          <w:rFonts w:hint="eastAsia" w:ascii="宋体" w:hAnsi="宋体" w:eastAsia="宋体" w:cs="宋体"/>
          <w:kern w:val="0"/>
          <w:sz w:val="24"/>
          <w:szCs w:val="24"/>
          <w:lang w:eastAsia="zh-CN"/>
        </w:rPr>
        <w:t>烟雾逃生训练帐篷：火场逃生要点，弯腰低身，捂住口鼻。主要功能是使体验者通过设施体验身处黑暗中以及火场烟雾之中的感受，了解火灾烟雾对人的危害，学会正确的逃生方法，克服恐慌心理。体验时间</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lang w:eastAsia="en-US"/>
        </w:rPr>
        <w:t>1(</w:t>
      </w:r>
      <w:r>
        <w:rPr>
          <w:rFonts w:hint="eastAsia" w:ascii="宋体" w:hAnsi="宋体" w:eastAsia="宋体" w:cs="宋体"/>
          <w:kern w:val="0"/>
          <w:sz w:val="24"/>
          <w:szCs w:val="24"/>
          <w:lang w:eastAsia="zh-CN"/>
        </w:rPr>
        <w:t>分钟</w:t>
      </w:r>
      <w:r>
        <w:rPr>
          <w:rFonts w:hint="eastAsia" w:ascii="宋体" w:hAnsi="宋体" w:eastAsia="宋体" w:cs="宋体"/>
          <w:kern w:val="0"/>
          <w:sz w:val="24"/>
          <w:szCs w:val="24"/>
          <w:lang w:eastAsia="en-US"/>
        </w:rPr>
        <w:t>)</w:t>
      </w:r>
      <w:r>
        <w:rPr>
          <w:rFonts w:hint="eastAsia" w:ascii="宋体" w:hAnsi="宋体" w:eastAsia="宋体" w:cs="宋体"/>
          <w:kern w:val="0"/>
          <w:sz w:val="24"/>
          <w:szCs w:val="24"/>
          <w:lang w:eastAsia="zh-CN"/>
        </w:rPr>
        <w:t>。</w:t>
      </w:r>
    </w:p>
    <w:p>
      <w:pPr>
        <w:keepNext w:val="0"/>
        <w:keepLines w:val="0"/>
        <w:pageBreakBefore w:val="0"/>
        <w:widowControl w:val="0"/>
        <w:numPr>
          <w:ilvl w:val="0"/>
          <w:numId w:val="0"/>
        </w:numPr>
        <w:kinsoku/>
        <w:wordWrap/>
        <w:overflowPunct/>
        <w:topLinePunct w:val="0"/>
        <w:bidi w:val="0"/>
        <w:adjustRightInd/>
        <w:snapToGrid/>
        <w:spacing w:line="440" w:lineRule="exact"/>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en-US"/>
        </w:rPr>
        <w:t>2</w:t>
      </w:r>
      <w:r>
        <w:rPr>
          <w:rFonts w:hint="eastAsia" w:ascii="宋体" w:hAnsi="宋体" w:cs="宋体"/>
          <w:kern w:val="0"/>
          <w:sz w:val="24"/>
          <w:szCs w:val="24"/>
          <w:lang w:eastAsia="zh-CN"/>
        </w:rPr>
        <w:t>、</w:t>
      </w:r>
      <w:r>
        <w:rPr>
          <w:rFonts w:hint="eastAsia" w:ascii="宋体" w:hAnsi="宋体" w:eastAsia="宋体" w:cs="宋体"/>
          <w:kern w:val="0"/>
          <w:sz w:val="24"/>
          <w:szCs w:val="24"/>
          <w:lang w:eastAsia="zh-CN"/>
        </w:rPr>
        <w:t>灭火实训教学系统：灭火器扑灭初起火灾的操作，训练灭火器使用全过程。</w:t>
      </w:r>
    </w:p>
    <w:p>
      <w:pPr>
        <w:keepNext w:val="0"/>
        <w:keepLines w:val="0"/>
        <w:pageBreakBefore w:val="0"/>
        <w:widowControl w:val="0"/>
        <w:numPr>
          <w:ilvl w:val="0"/>
          <w:numId w:val="0"/>
        </w:numPr>
        <w:kinsoku/>
        <w:wordWrap/>
        <w:overflowPunct/>
        <w:topLinePunct w:val="0"/>
        <w:bidi w:val="0"/>
        <w:adjustRightInd/>
        <w:snapToGrid/>
        <w:spacing w:line="440" w:lineRule="exact"/>
        <w:jc w:val="left"/>
        <w:textAlignment w:val="auto"/>
        <w:rPr>
          <w:rFonts w:hint="eastAsia" w:ascii="宋体" w:hAnsi="宋体" w:cs="宋体"/>
          <w:kern w:val="0"/>
          <w:sz w:val="24"/>
          <w:szCs w:val="24"/>
          <w:lang w:eastAsia="zh-CN"/>
        </w:rPr>
      </w:pPr>
      <w:r>
        <w:rPr>
          <w:rFonts w:hint="eastAsia" w:ascii="宋体" w:hAnsi="宋体" w:eastAsia="宋体" w:cs="宋体"/>
          <w:kern w:val="0"/>
          <w:sz w:val="24"/>
          <w:szCs w:val="24"/>
          <w:lang w:eastAsia="en-US"/>
        </w:rPr>
        <w:t>体验时间</w:t>
      </w:r>
      <w:r>
        <w:rPr>
          <w:rFonts w:hint="eastAsia" w:ascii="宋体" w:hAnsi="宋体" w:cs="宋体"/>
          <w:kern w:val="0"/>
          <w:sz w:val="24"/>
          <w:szCs w:val="24"/>
          <w:lang w:eastAsia="zh-CN"/>
        </w:rPr>
        <w:t>（</w:t>
      </w:r>
      <w:r>
        <w:rPr>
          <w:rFonts w:ascii="宋体" w:hAnsi="宋体" w:eastAsia="宋体" w:cs="宋体"/>
          <w:kern w:val="0"/>
          <w:sz w:val="24"/>
          <w:szCs w:val="24"/>
          <w:lang w:eastAsia="en-US"/>
        </w:rPr>
        <w:t>2</w:t>
      </w:r>
      <w:r>
        <w:rPr>
          <w:rFonts w:hint="eastAsia" w:ascii="宋体" w:hAnsi="宋体" w:cs="宋体"/>
          <w:kern w:val="0"/>
          <w:sz w:val="24"/>
          <w:szCs w:val="24"/>
          <w:lang w:eastAsia="zh-CN"/>
        </w:rPr>
        <w:t>分钟）。</w:t>
      </w:r>
    </w:p>
    <w:p>
      <w:pPr>
        <w:keepNext w:val="0"/>
        <w:keepLines w:val="0"/>
        <w:pageBreakBefore w:val="0"/>
        <w:widowControl w:val="0"/>
        <w:numPr>
          <w:ilvl w:val="0"/>
          <w:numId w:val="0"/>
        </w:numPr>
        <w:kinsoku/>
        <w:wordWrap/>
        <w:overflowPunct/>
        <w:topLinePunct w:val="0"/>
        <w:bidi w:val="0"/>
        <w:adjustRightInd/>
        <w:snapToGrid/>
        <w:spacing w:line="440" w:lineRule="exact"/>
        <w:ind w:firstLine="468" w:firstLineChars="200"/>
        <w:jc w:val="left"/>
        <w:textAlignment w:val="auto"/>
        <w:rPr>
          <w:rFonts w:hint="eastAsia" w:ascii="宋体" w:hAnsi="宋体" w:cs="宋体"/>
          <w:kern w:val="0"/>
          <w:sz w:val="24"/>
          <w:szCs w:val="24"/>
          <w:lang w:eastAsia="zh-CN"/>
        </w:rPr>
      </w:pPr>
      <w:r>
        <w:rPr>
          <w:rFonts w:hint="eastAsia" w:ascii="宋体" w:hAnsi="宋体" w:cs="宋体"/>
          <w:spacing w:val="-3"/>
          <w:kern w:val="0"/>
          <w:sz w:val="24"/>
          <w:szCs w:val="24"/>
          <w:lang w:val="en-US" w:eastAsia="zh-CN"/>
        </w:rPr>
        <w:t>3、</w:t>
      </w:r>
      <w:r>
        <w:rPr>
          <w:rFonts w:hint="eastAsia" w:ascii="宋体" w:hAnsi="宋体" w:cs="宋体"/>
          <w:kern w:val="0"/>
          <w:sz w:val="24"/>
          <w:szCs w:val="24"/>
          <w:lang w:eastAsia="zh-CN"/>
        </w:rPr>
        <w:t>结绳训练：学习、练习结绳方法，主要是固定</w:t>
      </w:r>
      <w:r>
        <w:rPr>
          <w:rFonts w:ascii="宋体" w:hAnsi="宋体" w:eastAsia="宋体" w:cs="宋体"/>
          <w:spacing w:val="-2"/>
          <w:kern w:val="0"/>
          <w:sz w:val="24"/>
          <w:szCs w:val="24"/>
          <w:lang w:eastAsia="zh-CN"/>
        </w:rPr>
        <w:t>、短绳接成长绳、下降用绳中间结扣</w:t>
      </w:r>
      <w:r>
        <w:rPr>
          <w:rFonts w:hint="eastAsia" w:ascii="宋体" w:hAnsi="宋体" w:eastAsia="宋体" w:cs="宋体"/>
          <w:spacing w:val="-2"/>
          <w:kern w:val="0"/>
          <w:sz w:val="24"/>
          <w:szCs w:val="24"/>
          <w:lang w:eastAsia="zh-CN"/>
        </w:rPr>
        <w:t>以保证下降安全</w:t>
      </w:r>
      <w:r>
        <w:rPr>
          <w:rFonts w:hint="eastAsia" w:ascii="宋体" w:hAnsi="宋体" w:eastAsia="宋体" w:cs="宋体"/>
          <w:kern w:val="0"/>
          <w:sz w:val="24"/>
          <w:szCs w:val="24"/>
          <w:lang w:eastAsia="zh-CN"/>
        </w:rPr>
        <w:t>。学习并掌握当灾难突袭时在不同场景下的正确逃生技能。</w:t>
      </w:r>
      <w:r>
        <w:rPr>
          <w:rFonts w:hint="eastAsia" w:ascii="宋体" w:hAnsi="宋体" w:cs="宋体"/>
          <w:kern w:val="0"/>
          <w:sz w:val="24"/>
          <w:szCs w:val="24"/>
          <w:lang w:eastAsia="zh-CN"/>
        </w:rPr>
        <w:t>体验时间（</w:t>
      </w:r>
      <w:r>
        <w:rPr>
          <w:rFonts w:ascii="宋体" w:hAnsi="宋体" w:eastAsia="宋体" w:cs="宋体"/>
          <w:kern w:val="0"/>
          <w:sz w:val="24"/>
          <w:szCs w:val="24"/>
          <w:lang w:eastAsia="en-US"/>
        </w:rPr>
        <w:t>5</w:t>
      </w:r>
      <w:r>
        <w:rPr>
          <w:rFonts w:hint="eastAsia" w:ascii="宋体" w:hAnsi="宋体" w:cs="宋体"/>
          <w:kern w:val="0"/>
          <w:sz w:val="24"/>
          <w:szCs w:val="24"/>
          <w:lang w:eastAsia="zh-CN"/>
        </w:rPr>
        <w:t>分钟）。</w:t>
      </w:r>
    </w:p>
    <w:p>
      <w:pPr>
        <w:keepNext w:val="0"/>
        <w:keepLines w:val="0"/>
        <w:pageBreakBefore w:val="0"/>
        <w:widowControl w:val="0"/>
        <w:numPr>
          <w:ilvl w:val="0"/>
          <w:numId w:val="0"/>
        </w:numPr>
        <w:kinsoku/>
        <w:wordWrap/>
        <w:overflowPunct/>
        <w:topLinePunct w:val="0"/>
        <w:bidi w:val="0"/>
        <w:adjustRightInd/>
        <w:snapToGrid/>
        <w:spacing w:line="440" w:lineRule="exact"/>
        <w:ind w:firstLine="480" w:firstLineChars="200"/>
        <w:jc w:val="left"/>
        <w:textAlignment w:val="auto"/>
        <w:rPr>
          <w:rFonts w:hint="default" w:ascii="宋体" w:hAnsi="宋体" w:cs="@仿宋_GB2312"/>
          <w:b w:val="0"/>
          <w:bCs/>
          <w:sz w:val="24"/>
          <w:szCs w:val="24"/>
          <w:lang w:val="en-US" w:eastAsia="zh-CN"/>
        </w:rPr>
      </w:pPr>
      <w:r>
        <w:rPr>
          <w:rFonts w:hint="eastAsia" w:ascii="宋体" w:hAnsi="宋体" w:cs="宋体"/>
          <w:kern w:val="0"/>
          <w:sz w:val="24"/>
          <w:szCs w:val="24"/>
          <w:lang w:val="en-US" w:eastAsia="zh-CN"/>
        </w:rPr>
        <w:t>4、</w:t>
      </w:r>
      <w:r>
        <w:rPr>
          <w:rFonts w:hint="eastAsia" w:ascii="宋体" w:hAnsi="宋体" w:eastAsia="宋体" w:cs="宋体"/>
          <w:kern w:val="0"/>
          <w:sz w:val="24"/>
          <w:szCs w:val="24"/>
          <w:lang w:eastAsia="zh-CN"/>
        </w:rPr>
        <w:t>醉酒行走体验</w:t>
      </w:r>
      <w:r>
        <w:rPr>
          <w:rFonts w:hint="eastAsia" w:ascii="宋体" w:hAnsi="宋体" w:cs="@仿宋_GB2312"/>
          <w:b w:val="0"/>
          <w:bCs/>
          <w:sz w:val="24"/>
          <w:szCs w:val="24"/>
          <w:lang w:val="en-US" w:eastAsia="zh-CN"/>
        </w:rPr>
        <w:t>：</w:t>
      </w:r>
      <w:r>
        <w:rPr>
          <w:rFonts w:ascii="宋体" w:hAnsi="宋体" w:eastAsia="宋体" w:cs="宋体"/>
          <w:spacing w:val="-2"/>
          <w:kern w:val="0"/>
          <w:sz w:val="24"/>
          <w:szCs w:val="24"/>
          <w:lang w:eastAsia="zh-CN"/>
        </w:rPr>
        <w:t>戴上模拟眼镜体验醉酒的情况下影</w:t>
      </w:r>
      <w:r>
        <w:rPr>
          <w:rFonts w:ascii="宋体" w:hAnsi="宋体" w:eastAsia="宋体" w:cs="宋体"/>
          <w:spacing w:val="-15"/>
          <w:kern w:val="0"/>
          <w:sz w:val="24"/>
          <w:szCs w:val="24"/>
          <w:lang w:eastAsia="zh-CN"/>
        </w:rPr>
        <w:t>响身体的平衡、脚步不稳、视觉模糊</w:t>
      </w:r>
      <w:r>
        <w:rPr>
          <w:rFonts w:ascii="宋体" w:hAnsi="宋体" w:eastAsia="宋体" w:cs="宋体"/>
          <w:spacing w:val="-1"/>
          <w:kern w:val="0"/>
          <w:sz w:val="24"/>
          <w:szCs w:val="24"/>
          <w:lang w:eastAsia="zh-CN"/>
        </w:rPr>
        <w:t>等醉酒状态，使体验者认识到醉酒</w:t>
      </w:r>
      <w:r>
        <w:rPr>
          <w:rFonts w:ascii="宋体" w:hAnsi="宋体" w:eastAsia="宋体" w:cs="宋体"/>
          <w:spacing w:val="-3"/>
          <w:kern w:val="0"/>
          <w:sz w:val="24"/>
          <w:szCs w:val="24"/>
          <w:lang w:eastAsia="zh-CN"/>
        </w:rPr>
        <w:t>后驾车危害的严重性。</w:t>
      </w:r>
      <w:r>
        <w:rPr>
          <w:rFonts w:hint="eastAsia" w:ascii="宋体" w:hAnsi="宋体" w:cs="宋体"/>
          <w:spacing w:val="-3"/>
          <w:kern w:val="0"/>
          <w:sz w:val="24"/>
          <w:szCs w:val="24"/>
          <w:lang w:eastAsia="zh-CN"/>
        </w:rPr>
        <w:t>体验时间（</w:t>
      </w:r>
      <w:r>
        <w:rPr>
          <w:rFonts w:hint="eastAsia" w:ascii="宋体" w:hAnsi="宋体" w:cs="宋体"/>
          <w:spacing w:val="-3"/>
          <w:kern w:val="0"/>
          <w:sz w:val="24"/>
          <w:szCs w:val="24"/>
          <w:lang w:val="en-US" w:eastAsia="zh-CN"/>
        </w:rPr>
        <w:t>3分钟）。</w:t>
      </w:r>
    </w:p>
    <w:p>
      <w:pPr>
        <w:numPr>
          <w:ilvl w:val="0"/>
          <w:numId w:val="0"/>
        </w:numPr>
        <w:spacing w:line="360" w:lineRule="auto"/>
        <w:rPr>
          <w:rFonts w:hint="eastAsia" w:ascii="宋体" w:hAnsi="宋体" w:eastAsia="宋体" w:cs="@仿宋_GB2312"/>
          <w:b w:val="0"/>
          <w:bCs/>
          <w:sz w:val="24"/>
          <w:szCs w:val="24"/>
          <w:lang w:eastAsia="zh-CN"/>
        </w:rPr>
      </w:pPr>
      <w:r>
        <w:rPr>
          <w:rFonts w:hint="eastAsia" w:ascii="宋体" w:hAnsi="宋体" w:eastAsia="宋体" w:cs="@仿宋_GB2312"/>
          <w:b w:val="0"/>
          <w:bCs/>
          <w:sz w:val="24"/>
          <w:szCs w:val="24"/>
          <w:lang w:eastAsia="zh-CN"/>
        </w:rPr>
        <w:t>二、主要技术参数要求：</w:t>
      </w:r>
    </w:p>
    <w:tbl>
      <w:tblPr>
        <w:tblStyle w:val="21"/>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328"/>
        <w:gridCol w:w="5872"/>
        <w:gridCol w:w="715"/>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5"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328"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项目名称</w:t>
            </w:r>
          </w:p>
        </w:tc>
        <w:tc>
          <w:tcPr>
            <w:tcW w:w="5872"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技术参数及要求</w:t>
            </w:r>
          </w:p>
        </w:tc>
        <w:tc>
          <w:tcPr>
            <w:tcW w:w="715"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数量</w:t>
            </w:r>
          </w:p>
        </w:tc>
        <w:tc>
          <w:tcPr>
            <w:tcW w:w="700"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noWrap w:val="0"/>
            <w:vAlign w:val="center"/>
          </w:tcPr>
          <w:p>
            <w:pPr>
              <w:spacing w:line="240" w:lineRule="auto"/>
              <w:jc w:val="center"/>
              <w:rPr>
                <w:rFonts w:ascii="宋体" w:hAnsi="宋体" w:eastAsia="宋体" w:cs="宋体"/>
                <w:sz w:val="21"/>
                <w:szCs w:val="21"/>
              </w:rPr>
            </w:pPr>
            <w:r>
              <w:rPr>
                <w:rFonts w:ascii="宋体" w:hAnsi="宋体" w:eastAsia="宋体" w:cs="宋体"/>
                <w:sz w:val="21"/>
                <w:szCs w:val="21"/>
              </w:rPr>
              <w:t>1</w:t>
            </w:r>
          </w:p>
        </w:tc>
        <w:tc>
          <w:tcPr>
            <w:tcW w:w="1328"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烟雾逃生训练帐篷</w:t>
            </w:r>
          </w:p>
        </w:tc>
        <w:tc>
          <w:tcPr>
            <w:tcW w:w="5872" w:type="dxa"/>
            <w:noWrap w:val="0"/>
            <w:vAlign w:val="center"/>
          </w:tcPr>
          <w:p>
            <w:pPr>
              <w:numPr>
                <w:ilvl w:val="0"/>
                <w:numId w:val="6"/>
              </w:numPr>
              <w:spacing w:line="240" w:lineRule="auto"/>
              <w:jc w:val="left"/>
              <w:rPr>
                <w:rFonts w:ascii="宋体" w:hAnsi="宋体" w:eastAsia="宋体" w:cs="宋体"/>
                <w:sz w:val="21"/>
                <w:szCs w:val="21"/>
              </w:rPr>
            </w:pPr>
            <w:r>
              <w:rPr>
                <w:rFonts w:hint="eastAsia" w:ascii="宋体" w:hAnsi="宋体" w:eastAsia="宋体" w:cs="宋体"/>
                <w:sz w:val="21"/>
                <w:szCs w:val="21"/>
              </w:rPr>
              <w:t>充气帐篷：重量：</w:t>
            </w:r>
            <w:r>
              <w:rPr>
                <w:rFonts w:ascii="宋体" w:hAnsi="宋体" w:eastAsia="宋体" w:cs="宋体"/>
                <w:sz w:val="21"/>
                <w:szCs w:val="21"/>
              </w:rPr>
              <w:t>100KG；</w:t>
            </w:r>
          </w:p>
          <w:p>
            <w:pPr>
              <w:tabs>
                <w:tab w:val="left" w:pos="312"/>
              </w:tabs>
              <w:spacing w:line="240" w:lineRule="auto"/>
              <w:jc w:val="left"/>
              <w:rPr>
                <w:rFonts w:ascii="宋体" w:hAnsi="宋体" w:eastAsia="宋体" w:cs="宋体"/>
                <w:sz w:val="21"/>
                <w:szCs w:val="21"/>
              </w:rPr>
            </w:pPr>
            <w:r>
              <w:rPr>
                <w:rFonts w:hint="eastAsia" w:ascii="宋体" w:hAnsi="宋体" w:eastAsia="宋体" w:cs="宋体"/>
                <w:sz w:val="21"/>
                <w:szCs w:val="21"/>
              </w:rPr>
              <w:t>材料：选用进口</w:t>
            </w:r>
            <w:r>
              <w:rPr>
                <w:rFonts w:ascii="宋体" w:hAnsi="宋体" w:eastAsia="宋体" w:cs="宋体"/>
                <w:sz w:val="21"/>
                <w:szCs w:val="21"/>
              </w:rPr>
              <w:t>1000股交织聚脂纤维双面PVC夹网布，抗拉强度3478N，撕裂强度1572N、粘着力188N/5cm，抗寒-30度、抗热+65度，使用寿命达5-10年；</w:t>
            </w:r>
            <w:r>
              <w:rPr>
                <w:rFonts w:hint="eastAsia" w:ascii="宋体" w:hAnsi="宋体" w:eastAsia="宋体" w:cs="宋体"/>
                <w:sz w:val="21"/>
                <w:szCs w:val="21"/>
              </w:rPr>
              <w:t>工艺：双针车缝。</w:t>
            </w:r>
          </w:p>
          <w:p>
            <w:pPr>
              <w:spacing w:line="240" w:lineRule="auto"/>
              <w:jc w:val="left"/>
              <w:rPr>
                <w:rFonts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w:t>
            </w:r>
            <w:r>
              <w:rPr>
                <w:rFonts w:hint="eastAsia" w:ascii="宋体" w:hAnsi="宋体" w:eastAsia="宋体" w:cs="宋体"/>
                <w:sz w:val="21"/>
                <w:szCs w:val="21"/>
              </w:rPr>
              <w:t>鼓风机</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符合</w:t>
            </w:r>
            <w:r>
              <w:rPr>
                <w:rFonts w:ascii="宋体" w:hAnsi="宋体" w:eastAsia="宋体" w:cs="宋体"/>
                <w:sz w:val="21"/>
                <w:szCs w:val="21"/>
              </w:rPr>
              <w:t>CE、UL、GS等多种国家认证标准；</w:t>
            </w:r>
            <w:r>
              <w:rPr>
                <w:rFonts w:hint="eastAsia" w:ascii="宋体" w:hAnsi="宋体" w:eastAsia="宋体" w:cs="宋体"/>
                <w:sz w:val="21"/>
                <w:szCs w:val="21"/>
              </w:rPr>
              <w:t>国标电压：</w:t>
            </w:r>
            <w:r>
              <w:rPr>
                <w:rFonts w:ascii="宋体" w:hAnsi="宋体" w:eastAsia="宋体" w:cs="宋体"/>
                <w:sz w:val="21"/>
                <w:szCs w:val="21"/>
              </w:rPr>
              <w:t>220V-240V；</w:t>
            </w:r>
            <w:r>
              <w:rPr>
                <w:rFonts w:hint="eastAsia" w:ascii="宋体" w:hAnsi="宋体" w:eastAsia="宋体" w:cs="宋体"/>
                <w:sz w:val="21"/>
                <w:szCs w:val="21"/>
              </w:rPr>
              <w:t>工作频率：</w:t>
            </w:r>
            <w:r>
              <w:rPr>
                <w:rFonts w:ascii="宋体" w:hAnsi="宋体" w:eastAsia="宋体" w:cs="宋体"/>
                <w:sz w:val="21"/>
                <w:szCs w:val="21"/>
              </w:rPr>
              <w:t>50HZ；</w:t>
            </w:r>
            <w:r>
              <w:rPr>
                <w:rFonts w:hint="eastAsia" w:ascii="宋体" w:hAnsi="宋体" w:eastAsia="宋体" w:cs="宋体"/>
                <w:sz w:val="21"/>
                <w:szCs w:val="21"/>
              </w:rPr>
              <w:t>总功率：</w:t>
            </w:r>
            <w:r>
              <w:rPr>
                <w:rFonts w:ascii="宋体" w:hAnsi="宋体" w:eastAsia="宋体" w:cs="宋体"/>
                <w:sz w:val="21"/>
                <w:szCs w:val="21"/>
              </w:rPr>
              <w:t>750W。</w:t>
            </w:r>
          </w:p>
          <w:p>
            <w:pPr>
              <w:spacing w:line="240" w:lineRule="auto"/>
              <w:jc w:val="left"/>
              <w:rPr>
                <w:rFonts w:ascii="宋体" w:hAnsi="宋体" w:eastAsia="宋体" w:cs="宋体"/>
                <w:sz w:val="21"/>
                <w:szCs w:val="21"/>
              </w:rPr>
            </w:pPr>
            <w:r>
              <w:rPr>
                <w:rFonts w:hint="eastAsia" w:ascii="宋体" w:hAnsi="宋体" w:eastAsia="宋体" w:cs="宋体"/>
                <w:sz w:val="21"/>
                <w:szCs w:val="21"/>
              </w:rPr>
              <w:t>3</w:t>
            </w:r>
            <w:r>
              <w:rPr>
                <w:rFonts w:ascii="宋体" w:hAnsi="宋体" w:eastAsia="宋体" w:cs="宋体"/>
                <w:sz w:val="21"/>
                <w:szCs w:val="21"/>
              </w:rPr>
              <w:t>.</w:t>
            </w:r>
            <w:r>
              <w:rPr>
                <w:rFonts w:hint="eastAsia" w:ascii="宋体" w:hAnsi="宋体" w:eastAsia="宋体" w:cs="宋体"/>
                <w:sz w:val="21"/>
                <w:szCs w:val="21"/>
              </w:rPr>
              <w:t>安全通道标志</w:t>
            </w:r>
          </w:p>
          <w:p>
            <w:pPr>
              <w:spacing w:line="240" w:lineRule="auto"/>
              <w:jc w:val="left"/>
              <w:rPr>
                <w:rFonts w:ascii="宋体" w:hAnsi="宋体" w:eastAsia="宋体" w:cs="宋体"/>
                <w:sz w:val="21"/>
                <w:szCs w:val="21"/>
              </w:rPr>
            </w:pPr>
            <w:r>
              <w:rPr>
                <w:rFonts w:hint="eastAsia" w:ascii="宋体" w:hAnsi="宋体" w:eastAsia="宋体" w:cs="宋体"/>
                <w:sz w:val="21"/>
                <w:szCs w:val="21"/>
              </w:rPr>
              <w:t>规格：</w:t>
            </w:r>
            <w:r>
              <w:rPr>
                <w:rFonts w:ascii="宋体" w:hAnsi="宋体" w:eastAsia="宋体" w:cs="宋体"/>
                <w:sz w:val="21"/>
                <w:szCs w:val="21"/>
              </w:rPr>
              <w:t>13.5cm*36CM；</w:t>
            </w:r>
            <w:r>
              <w:rPr>
                <w:rFonts w:hint="eastAsia" w:ascii="宋体" w:hAnsi="宋体" w:eastAsia="宋体" w:cs="宋体"/>
                <w:sz w:val="21"/>
                <w:szCs w:val="21"/>
              </w:rPr>
              <w:t>工艺：印刷</w:t>
            </w:r>
            <w:r>
              <w:rPr>
                <w:rFonts w:ascii="宋体" w:hAnsi="宋体" w:eastAsia="宋体" w:cs="宋体"/>
                <w:sz w:val="21"/>
                <w:szCs w:val="21"/>
              </w:rPr>
              <w:t>+腹亮光膜（荧光）</w:t>
            </w:r>
          </w:p>
          <w:p>
            <w:pPr>
              <w:spacing w:line="240" w:lineRule="auto"/>
              <w:jc w:val="left"/>
              <w:rPr>
                <w:rFonts w:ascii="宋体" w:hAnsi="宋体" w:eastAsia="宋体" w:cs="宋体"/>
                <w:sz w:val="21"/>
                <w:szCs w:val="21"/>
              </w:rPr>
            </w:pPr>
            <w:r>
              <w:rPr>
                <w:rFonts w:hint="eastAsia" w:ascii="宋体" w:hAnsi="宋体" w:eastAsia="宋体" w:cs="宋体"/>
                <w:sz w:val="21"/>
                <w:szCs w:val="21"/>
              </w:rPr>
              <w:t>4</w:t>
            </w:r>
            <w:r>
              <w:rPr>
                <w:rFonts w:ascii="宋体" w:hAnsi="宋体" w:eastAsia="宋体" w:cs="宋体"/>
                <w:sz w:val="21"/>
                <w:szCs w:val="21"/>
              </w:rPr>
              <w:t>.</w:t>
            </w:r>
            <w:r>
              <w:rPr>
                <w:rFonts w:hint="eastAsia" w:ascii="宋体" w:hAnsi="宋体" w:eastAsia="宋体" w:cs="宋体"/>
                <w:sz w:val="21"/>
                <w:szCs w:val="21"/>
              </w:rPr>
              <w:t>烟雾剂：容量：</w:t>
            </w:r>
            <w:r>
              <w:rPr>
                <w:rFonts w:ascii="宋体" w:hAnsi="宋体" w:eastAsia="宋体" w:cs="宋体"/>
                <w:sz w:val="21"/>
                <w:szCs w:val="21"/>
              </w:rPr>
              <w:t>500ml；</w:t>
            </w:r>
            <w:r>
              <w:rPr>
                <w:rFonts w:hint="eastAsia" w:ascii="宋体" w:hAnsi="宋体" w:eastAsia="宋体" w:cs="宋体"/>
                <w:sz w:val="21"/>
                <w:szCs w:val="21"/>
              </w:rPr>
              <w:t>保质期：三年</w:t>
            </w:r>
            <w:r>
              <w:rPr>
                <w:rFonts w:hint="eastAsia" w:ascii="宋体" w:hAnsi="宋体" w:eastAsia="宋体" w:cs="宋体"/>
                <w:sz w:val="21"/>
                <w:szCs w:val="21"/>
                <w:lang w:eastAsia="zh-CN"/>
              </w:rPr>
              <w:t>；</w:t>
            </w:r>
            <w:r>
              <w:rPr>
                <w:rFonts w:hint="eastAsia" w:ascii="宋体" w:hAnsi="宋体" w:eastAsia="宋体" w:cs="宋体"/>
                <w:sz w:val="21"/>
                <w:szCs w:val="21"/>
              </w:rPr>
              <w:t>环保蒸馏配方不会因为杂质的碳化，造成烟雾发生器电热管堵塞，影响机器寿命。</w:t>
            </w:r>
          </w:p>
          <w:p>
            <w:pPr>
              <w:spacing w:line="240" w:lineRule="auto"/>
              <w:jc w:val="left"/>
              <w:rPr>
                <w:rFonts w:ascii="宋体" w:hAnsi="宋体" w:eastAsia="宋体" w:cs="宋体"/>
                <w:sz w:val="21"/>
                <w:szCs w:val="21"/>
              </w:rPr>
            </w:pPr>
            <w:r>
              <w:rPr>
                <w:rFonts w:hint="eastAsia" w:ascii="宋体" w:hAnsi="宋体" w:eastAsia="宋体" w:cs="宋体"/>
                <w:sz w:val="21"/>
                <w:szCs w:val="21"/>
              </w:rPr>
              <w:t>纯白色的高浓度烟雾（通过射灯可变换多种颜色）</w:t>
            </w:r>
            <w:r>
              <w:rPr>
                <w:rFonts w:ascii="宋体" w:hAnsi="宋体" w:eastAsia="宋体" w:cs="宋体"/>
                <w:sz w:val="21"/>
                <w:szCs w:val="21"/>
              </w:rPr>
              <w:t>,可在空气中长时间停留。</w:t>
            </w:r>
            <w:r>
              <w:rPr>
                <w:rFonts w:hint="eastAsia" w:ascii="宋体" w:hAnsi="宋体" w:eastAsia="宋体" w:cs="宋体"/>
                <w:sz w:val="21"/>
                <w:szCs w:val="21"/>
              </w:rPr>
              <w:t>产品安全环保、无毒无污染、无刺激、无残留。</w:t>
            </w:r>
          </w:p>
          <w:p>
            <w:pPr>
              <w:spacing w:line="240" w:lineRule="auto"/>
              <w:jc w:val="left"/>
              <w:rPr>
                <w:rFonts w:ascii="宋体" w:hAnsi="宋体" w:eastAsia="宋体" w:cs="宋体"/>
                <w:sz w:val="21"/>
                <w:szCs w:val="21"/>
              </w:rPr>
            </w:pPr>
            <w:r>
              <w:rPr>
                <w:rFonts w:hint="eastAsia" w:ascii="宋体" w:hAnsi="宋体" w:eastAsia="宋体" w:cs="宋体"/>
                <w:sz w:val="21"/>
                <w:szCs w:val="21"/>
              </w:rPr>
              <w:t>5</w:t>
            </w:r>
            <w:r>
              <w:rPr>
                <w:rFonts w:ascii="宋体" w:hAnsi="宋体" w:eastAsia="宋体" w:cs="宋体"/>
                <w:sz w:val="21"/>
                <w:szCs w:val="21"/>
              </w:rPr>
              <w:t>.</w:t>
            </w:r>
            <w:r>
              <w:rPr>
                <w:rFonts w:hint="eastAsia" w:ascii="宋体" w:hAnsi="宋体" w:eastAsia="宋体" w:cs="宋体"/>
                <w:sz w:val="21"/>
                <w:szCs w:val="21"/>
              </w:rPr>
              <w:t>警示灯（红绿色）型号：</w:t>
            </w:r>
            <w:r>
              <w:rPr>
                <w:rFonts w:ascii="宋体" w:hAnsi="宋体" w:eastAsia="宋体" w:cs="宋体"/>
                <w:sz w:val="21"/>
                <w:szCs w:val="21"/>
              </w:rPr>
              <w:t>LTE-1101L-J；</w:t>
            </w:r>
            <w:r>
              <w:rPr>
                <w:rFonts w:hint="eastAsia" w:ascii="宋体" w:hAnsi="宋体" w:eastAsia="宋体" w:cs="宋体"/>
                <w:sz w:val="21"/>
                <w:szCs w:val="21"/>
              </w:rPr>
              <w:t>颜色：红、绿；功率：≤</w:t>
            </w:r>
            <w:r>
              <w:rPr>
                <w:rFonts w:ascii="宋体" w:hAnsi="宋体" w:eastAsia="宋体" w:cs="宋体"/>
                <w:sz w:val="21"/>
                <w:szCs w:val="21"/>
              </w:rPr>
              <w:t>0.5W；</w:t>
            </w:r>
            <w:r>
              <w:rPr>
                <w:rFonts w:hint="eastAsia" w:ascii="宋体" w:hAnsi="宋体" w:eastAsia="宋体" w:cs="宋体"/>
                <w:sz w:val="21"/>
                <w:szCs w:val="21"/>
              </w:rPr>
              <w:t>光源类型：</w:t>
            </w:r>
            <w:r>
              <w:rPr>
                <w:rFonts w:ascii="宋体" w:hAnsi="宋体" w:eastAsia="宋体" w:cs="宋体"/>
                <w:sz w:val="21"/>
                <w:szCs w:val="21"/>
              </w:rPr>
              <w:t>LED灯珠旋转；</w:t>
            </w:r>
            <w:r>
              <w:rPr>
                <w:rFonts w:hint="eastAsia" w:ascii="宋体" w:hAnsi="宋体" w:eastAsia="宋体" w:cs="宋体"/>
                <w:sz w:val="21"/>
                <w:szCs w:val="21"/>
              </w:rPr>
              <w:t>规格尺寸：</w:t>
            </w:r>
            <w:r>
              <w:rPr>
                <w:rFonts w:ascii="宋体" w:hAnsi="宋体" w:eastAsia="宋体" w:cs="宋体"/>
                <w:sz w:val="21"/>
                <w:szCs w:val="21"/>
              </w:rPr>
              <w:t>155mm*圆柱直径102mm；</w:t>
            </w:r>
            <w:r>
              <w:rPr>
                <w:rFonts w:hint="eastAsia" w:ascii="宋体" w:hAnsi="宋体" w:eastAsia="宋体" w:cs="宋体"/>
                <w:sz w:val="21"/>
                <w:szCs w:val="21"/>
              </w:rPr>
              <w:t>工作湿度：</w:t>
            </w:r>
            <w:r>
              <w:rPr>
                <w:rFonts w:ascii="宋体" w:hAnsi="宋体" w:eastAsia="宋体" w:cs="宋体"/>
                <w:sz w:val="21"/>
                <w:szCs w:val="21"/>
              </w:rPr>
              <w:t>10%-90%；</w:t>
            </w:r>
            <w:r>
              <w:rPr>
                <w:rFonts w:hint="eastAsia" w:ascii="宋体" w:hAnsi="宋体" w:eastAsia="宋体" w:cs="宋体"/>
                <w:sz w:val="21"/>
                <w:szCs w:val="21"/>
              </w:rPr>
              <w:t>防护等级：</w:t>
            </w:r>
            <w:r>
              <w:rPr>
                <w:rFonts w:ascii="宋体" w:hAnsi="宋体" w:eastAsia="宋体" w:cs="宋体"/>
                <w:sz w:val="21"/>
                <w:szCs w:val="21"/>
              </w:rPr>
              <w:t>IP44；</w:t>
            </w:r>
            <w:r>
              <w:rPr>
                <w:rFonts w:hint="eastAsia" w:ascii="宋体" w:hAnsi="宋体" w:eastAsia="宋体" w:cs="宋体"/>
                <w:sz w:val="21"/>
                <w:szCs w:val="21"/>
              </w:rPr>
              <w:t>工作电压：</w:t>
            </w:r>
            <w:r>
              <w:rPr>
                <w:rFonts w:ascii="宋体" w:hAnsi="宋体" w:eastAsia="宋体" w:cs="宋体"/>
                <w:sz w:val="21"/>
                <w:szCs w:val="21"/>
              </w:rPr>
              <w:t>DC 12V；</w:t>
            </w:r>
            <w:r>
              <w:rPr>
                <w:rFonts w:hint="eastAsia" w:ascii="宋体" w:hAnsi="宋体" w:eastAsia="宋体" w:cs="宋体"/>
                <w:sz w:val="21"/>
                <w:szCs w:val="21"/>
              </w:rPr>
              <w:t>供电端口：</w:t>
            </w:r>
            <w:r>
              <w:rPr>
                <w:rFonts w:ascii="宋体" w:hAnsi="宋体" w:eastAsia="宋体" w:cs="宋体"/>
                <w:sz w:val="21"/>
                <w:szCs w:val="21"/>
              </w:rPr>
              <w:t>DC5.5*2.1标准接口。</w:t>
            </w:r>
          </w:p>
          <w:p>
            <w:pPr>
              <w:spacing w:line="240" w:lineRule="auto"/>
              <w:jc w:val="left"/>
              <w:rPr>
                <w:rFonts w:ascii="宋体" w:hAnsi="宋体" w:eastAsia="宋体" w:cs="宋体"/>
                <w:sz w:val="21"/>
                <w:szCs w:val="21"/>
              </w:rPr>
            </w:pPr>
            <w:r>
              <w:rPr>
                <w:rFonts w:hint="eastAsia" w:ascii="宋体" w:hAnsi="宋体" w:eastAsia="宋体" w:cs="宋体"/>
                <w:sz w:val="21"/>
                <w:szCs w:val="21"/>
              </w:rPr>
              <w:t>6</w:t>
            </w:r>
            <w:r>
              <w:rPr>
                <w:rFonts w:ascii="宋体" w:hAnsi="宋体" w:eastAsia="宋体" w:cs="宋体"/>
                <w:sz w:val="21"/>
                <w:szCs w:val="21"/>
              </w:rPr>
              <w:t>.</w:t>
            </w:r>
            <w:r>
              <w:rPr>
                <w:rFonts w:hint="eastAsia" w:ascii="宋体" w:hAnsi="宋体" w:eastAsia="宋体" w:cs="宋体"/>
                <w:sz w:val="21"/>
                <w:szCs w:val="21"/>
              </w:rPr>
              <w:t>扩音器产品型号：</w:t>
            </w:r>
            <w:r>
              <w:rPr>
                <w:rFonts w:ascii="宋体" w:hAnsi="宋体" w:eastAsia="宋体" w:cs="宋体"/>
                <w:sz w:val="21"/>
                <w:szCs w:val="21"/>
              </w:rPr>
              <w:t>ML-687A；</w:t>
            </w:r>
            <w:r>
              <w:rPr>
                <w:rFonts w:hint="eastAsia" w:ascii="宋体" w:hAnsi="宋体" w:eastAsia="宋体" w:cs="宋体"/>
                <w:sz w:val="21"/>
                <w:szCs w:val="21"/>
              </w:rPr>
              <w:t>传送距离：</w:t>
            </w:r>
            <w:r>
              <w:rPr>
                <w:rFonts w:ascii="宋体" w:hAnsi="宋体" w:eastAsia="宋体" w:cs="宋体"/>
                <w:sz w:val="21"/>
                <w:szCs w:val="21"/>
              </w:rPr>
              <w:t>350米；</w:t>
            </w:r>
            <w:r>
              <w:rPr>
                <w:rFonts w:hint="eastAsia" w:ascii="宋体" w:hAnsi="宋体" w:eastAsia="宋体" w:cs="宋体"/>
                <w:sz w:val="21"/>
                <w:szCs w:val="21"/>
              </w:rPr>
              <w:t>限输出功率：≥</w:t>
            </w:r>
            <w:r>
              <w:rPr>
                <w:rFonts w:ascii="宋体" w:hAnsi="宋体" w:eastAsia="宋体" w:cs="宋体"/>
                <w:sz w:val="21"/>
                <w:szCs w:val="21"/>
              </w:rPr>
              <w:t>5W；</w:t>
            </w:r>
            <w:r>
              <w:rPr>
                <w:rFonts w:hint="eastAsia" w:ascii="宋体" w:hAnsi="宋体" w:eastAsia="宋体" w:cs="宋体"/>
                <w:sz w:val="21"/>
                <w:szCs w:val="21"/>
              </w:rPr>
              <w:t>失真率：＜</w:t>
            </w:r>
            <w:r>
              <w:rPr>
                <w:rFonts w:ascii="宋体" w:hAnsi="宋体" w:eastAsia="宋体" w:cs="宋体"/>
                <w:sz w:val="21"/>
                <w:szCs w:val="21"/>
              </w:rPr>
              <w:t>1%；</w:t>
            </w:r>
            <w:r>
              <w:rPr>
                <w:rFonts w:hint="eastAsia" w:ascii="宋体" w:hAnsi="宋体" w:eastAsia="宋体" w:cs="宋体"/>
                <w:sz w:val="21"/>
                <w:szCs w:val="21"/>
              </w:rPr>
              <w:t>录音时间：</w:t>
            </w:r>
            <w:r>
              <w:rPr>
                <w:rFonts w:ascii="宋体" w:hAnsi="宋体" w:eastAsia="宋体" w:cs="宋体"/>
                <w:sz w:val="21"/>
                <w:szCs w:val="21"/>
              </w:rPr>
              <w:t>60秒。</w:t>
            </w:r>
          </w:p>
          <w:p>
            <w:pPr>
              <w:spacing w:line="240" w:lineRule="auto"/>
              <w:jc w:val="left"/>
              <w:rPr>
                <w:rFonts w:ascii="宋体" w:hAnsi="宋体" w:eastAsia="宋体" w:cs="宋体"/>
                <w:sz w:val="21"/>
                <w:szCs w:val="21"/>
              </w:rPr>
            </w:pPr>
            <w:r>
              <w:rPr>
                <w:rFonts w:hint="eastAsia" w:ascii="宋体" w:hAnsi="宋体" w:eastAsia="宋体" w:cs="宋体"/>
                <w:sz w:val="21"/>
                <w:szCs w:val="21"/>
              </w:rPr>
              <w:t>7</w:t>
            </w:r>
            <w:r>
              <w:rPr>
                <w:rFonts w:ascii="宋体" w:hAnsi="宋体" w:eastAsia="宋体" w:cs="宋体"/>
                <w:sz w:val="21"/>
                <w:szCs w:val="21"/>
              </w:rPr>
              <w:t>.</w:t>
            </w:r>
            <w:r>
              <w:rPr>
                <w:rFonts w:hint="eastAsia" w:ascii="宋体" w:hAnsi="宋体" w:eastAsia="宋体" w:cs="宋体"/>
                <w:sz w:val="21"/>
                <w:szCs w:val="21"/>
              </w:rPr>
              <w:t>移动电源尺寸：</w:t>
            </w:r>
            <w:r>
              <w:rPr>
                <w:rFonts w:ascii="宋体" w:hAnsi="宋体" w:eastAsia="宋体" w:cs="宋体"/>
                <w:sz w:val="21"/>
                <w:szCs w:val="21"/>
              </w:rPr>
              <w:t>146*60*24.5（mm）；</w:t>
            </w:r>
            <w:r>
              <w:rPr>
                <w:rFonts w:hint="eastAsia" w:ascii="宋体" w:hAnsi="宋体" w:eastAsia="宋体" w:cs="宋体"/>
                <w:sz w:val="21"/>
                <w:szCs w:val="21"/>
              </w:rPr>
              <w:t>重量：约</w:t>
            </w:r>
            <w:r>
              <w:rPr>
                <w:rFonts w:ascii="宋体" w:hAnsi="宋体" w:eastAsia="宋体" w:cs="宋体"/>
                <w:sz w:val="21"/>
                <w:szCs w:val="21"/>
              </w:rPr>
              <w:t>275g；</w:t>
            </w:r>
            <w:r>
              <w:rPr>
                <w:rFonts w:hint="eastAsia" w:ascii="宋体" w:hAnsi="宋体" w:eastAsia="宋体" w:cs="宋体"/>
                <w:sz w:val="21"/>
                <w:szCs w:val="21"/>
              </w:rPr>
              <w:t>寿命：循环次数≥</w:t>
            </w:r>
            <w:r>
              <w:rPr>
                <w:rFonts w:ascii="宋体" w:hAnsi="宋体" w:eastAsia="宋体" w:cs="宋体"/>
                <w:sz w:val="21"/>
                <w:szCs w:val="21"/>
              </w:rPr>
              <w:t>1000次；</w:t>
            </w:r>
            <w:r>
              <w:rPr>
                <w:rFonts w:hint="eastAsia" w:ascii="宋体" w:hAnsi="宋体" w:eastAsia="宋体" w:cs="宋体"/>
                <w:sz w:val="21"/>
                <w:szCs w:val="21"/>
              </w:rPr>
              <w:t>充满时间：约</w:t>
            </w:r>
            <w:r>
              <w:rPr>
                <w:rFonts w:ascii="宋体" w:hAnsi="宋体" w:eastAsia="宋体" w:cs="宋体"/>
                <w:sz w:val="21"/>
                <w:szCs w:val="21"/>
              </w:rPr>
              <w:t>6.5小时；</w:t>
            </w:r>
            <w:r>
              <w:rPr>
                <w:rFonts w:hint="eastAsia" w:ascii="宋体" w:hAnsi="宋体" w:eastAsia="宋体" w:cs="宋体"/>
                <w:sz w:val="21"/>
                <w:szCs w:val="21"/>
              </w:rPr>
              <w:t>容量：</w:t>
            </w:r>
            <w:r>
              <w:rPr>
                <w:rFonts w:ascii="宋体" w:hAnsi="宋体" w:eastAsia="宋体" w:cs="宋体"/>
                <w:sz w:val="21"/>
                <w:szCs w:val="21"/>
              </w:rPr>
              <w:t>10000毫安；</w:t>
            </w:r>
            <w:r>
              <w:rPr>
                <w:rFonts w:hint="eastAsia" w:ascii="宋体" w:hAnsi="宋体" w:eastAsia="宋体" w:cs="宋体"/>
                <w:sz w:val="21"/>
                <w:szCs w:val="21"/>
              </w:rPr>
              <w:t>输入电压：</w:t>
            </w:r>
            <w:r>
              <w:rPr>
                <w:rFonts w:ascii="宋体" w:hAnsi="宋体" w:eastAsia="宋体" w:cs="宋体"/>
                <w:sz w:val="21"/>
                <w:szCs w:val="21"/>
              </w:rPr>
              <w:t>DC 5V；</w:t>
            </w:r>
            <w:r>
              <w:rPr>
                <w:rFonts w:hint="eastAsia" w:ascii="宋体" w:hAnsi="宋体" w:eastAsia="宋体" w:cs="宋体"/>
                <w:sz w:val="21"/>
                <w:szCs w:val="21"/>
              </w:rPr>
              <w:t>输入电流：</w:t>
            </w:r>
            <w:r>
              <w:rPr>
                <w:rFonts w:ascii="宋体" w:hAnsi="宋体" w:eastAsia="宋体" w:cs="宋体"/>
                <w:sz w:val="21"/>
                <w:szCs w:val="21"/>
              </w:rPr>
              <w:t>1.5A；</w:t>
            </w:r>
            <w:r>
              <w:rPr>
                <w:rFonts w:hint="eastAsia" w:ascii="宋体" w:hAnsi="宋体" w:eastAsia="宋体" w:cs="宋体"/>
                <w:sz w:val="21"/>
                <w:szCs w:val="21"/>
              </w:rPr>
              <w:t>输出电压：</w:t>
            </w:r>
            <w:r>
              <w:rPr>
                <w:rFonts w:ascii="宋体" w:hAnsi="宋体" w:eastAsia="宋体" w:cs="宋体"/>
                <w:sz w:val="21"/>
                <w:szCs w:val="21"/>
              </w:rPr>
              <w:t>USB 5V；DC 9V/12V；</w:t>
            </w:r>
            <w:r>
              <w:rPr>
                <w:rFonts w:hint="eastAsia" w:ascii="宋体" w:hAnsi="宋体" w:eastAsia="宋体" w:cs="宋体"/>
                <w:sz w:val="21"/>
                <w:szCs w:val="21"/>
              </w:rPr>
              <w:t>输出电流：</w:t>
            </w:r>
            <w:r>
              <w:rPr>
                <w:rFonts w:ascii="宋体" w:hAnsi="宋体" w:eastAsia="宋体" w:cs="宋体"/>
                <w:sz w:val="21"/>
                <w:szCs w:val="21"/>
              </w:rPr>
              <w:t>2A。</w:t>
            </w:r>
          </w:p>
          <w:p>
            <w:pPr>
              <w:spacing w:line="240" w:lineRule="auto"/>
              <w:jc w:val="left"/>
              <w:rPr>
                <w:rFonts w:ascii="宋体" w:hAnsi="宋体" w:eastAsia="宋体" w:cs="宋体"/>
                <w:sz w:val="21"/>
                <w:szCs w:val="21"/>
              </w:rPr>
            </w:pPr>
            <w:r>
              <w:rPr>
                <w:rFonts w:hint="eastAsia" w:ascii="宋体" w:hAnsi="宋体" w:eastAsia="宋体" w:cs="宋体"/>
                <w:sz w:val="21"/>
                <w:szCs w:val="21"/>
              </w:rPr>
              <w:t>8</w:t>
            </w:r>
            <w:r>
              <w:rPr>
                <w:rFonts w:ascii="宋体" w:hAnsi="宋体" w:eastAsia="宋体" w:cs="宋体"/>
                <w:sz w:val="21"/>
                <w:szCs w:val="21"/>
              </w:rPr>
              <w:t>.</w:t>
            </w:r>
            <w:r>
              <w:rPr>
                <w:rFonts w:hint="eastAsia" w:ascii="宋体" w:hAnsi="宋体" w:eastAsia="宋体" w:cs="宋体"/>
                <w:sz w:val="21"/>
                <w:szCs w:val="21"/>
              </w:rPr>
              <w:t>插线板国标电压：</w:t>
            </w:r>
            <w:r>
              <w:rPr>
                <w:rFonts w:ascii="宋体" w:hAnsi="宋体" w:eastAsia="宋体" w:cs="宋体"/>
                <w:sz w:val="21"/>
                <w:szCs w:val="21"/>
              </w:rPr>
              <w:t>220V-240V；</w:t>
            </w:r>
            <w:r>
              <w:rPr>
                <w:rFonts w:hint="eastAsia" w:ascii="宋体" w:hAnsi="宋体" w:eastAsia="宋体" w:cs="宋体"/>
                <w:sz w:val="21"/>
                <w:szCs w:val="21"/>
              </w:rPr>
              <w:t>工作频率：</w:t>
            </w:r>
            <w:r>
              <w:rPr>
                <w:rFonts w:ascii="宋体" w:hAnsi="宋体" w:eastAsia="宋体" w:cs="宋体"/>
                <w:sz w:val="21"/>
                <w:szCs w:val="21"/>
              </w:rPr>
              <w:t>50HZ；</w:t>
            </w:r>
            <w:r>
              <w:rPr>
                <w:rFonts w:hint="eastAsia" w:ascii="宋体" w:hAnsi="宋体" w:eastAsia="宋体" w:cs="宋体"/>
                <w:sz w:val="21"/>
                <w:szCs w:val="21"/>
              </w:rPr>
              <w:t>工作电流：</w:t>
            </w:r>
            <w:r>
              <w:rPr>
                <w:rFonts w:ascii="宋体" w:hAnsi="宋体" w:eastAsia="宋体" w:cs="宋体"/>
                <w:sz w:val="21"/>
                <w:szCs w:val="21"/>
              </w:rPr>
              <w:t>16A。</w:t>
            </w:r>
          </w:p>
          <w:p>
            <w:pPr>
              <w:numPr>
                <w:ilvl w:val="0"/>
                <w:numId w:val="6"/>
              </w:numPr>
              <w:spacing w:after="120" w:line="240" w:lineRule="auto"/>
              <w:rPr>
                <w:rFonts w:ascii="宋体" w:hAnsi="宋体" w:eastAsia="宋体" w:cs="宋体"/>
                <w:sz w:val="21"/>
                <w:szCs w:val="21"/>
              </w:rPr>
            </w:pPr>
            <w:r>
              <w:rPr>
                <w:rFonts w:hint="eastAsia" w:ascii="宋体" w:hAnsi="宋体" w:eastAsia="宋体" w:cs="宋体"/>
                <w:sz w:val="21"/>
                <w:szCs w:val="21"/>
              </w:rPr>
              <w:t>教学设计要求：</w:t>
            </w:r>
          </w:p>
          <w:p>
            <w:pPr>
              <w:spacing w:after="120" w:line="240" w:lineRule="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1</w:t>
            </w:r>
            <w:r>
              <w:rPr>
                <w:rFonts w:hint="eastAsia" w:ascii="宋体" w:hAnsi="宋体" w:eastAsia="宋体" w:cs="宋体"/>
                <w:sz w:val="21"/>
                <w:szCs w:val="21"/>
              </w:rPr>
              <w:t>）房间内产生模拟的烟雾，并由声光电，监控系统产生火灾的效果。</w:t>
            </w:r>
          </w:p>
          <w:p>
            <w:pPr>
              <w:spacing w:after="120" w:line="240" w:lineRule="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2</w:t>
            </w:r>
            <w:r>
              <w:rPr>
                <w:rFonts w:hint="eastAsia" w:ascii="宋体" w:hAnsi="宋体" w:eastAsia="宋体" w:cs="宋体"/>
                <w:sz w:val="21"/>
                <w:szCs w:val="21"/>
              </w:rPr>
              <w:t>）体验者能够在模拟的通道内按指示标识进行逃生。</w:t>
            </w:r>
          </w:p>
          <w:p>
            <w:pPr>
              <w:spacing w:after="120" w:line="240" w:lineRule="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3</w:t>
            </w:r>
            <w:r>
              <w:rPr>
                <w:rFonts w:hint="eastAsia" w:ascii="宋体" w:hAnsi="宋体" w:eastAsia="宋体" w:cs="宋体"/>
                <w:sz w:val="21"/>
                <w:szCs w:val="21"/>
              </w:rPr>
              <w:t>）规范体验者逃生时间，路线，姿态是否正确。</w:t>
            </w:r>
          </w:p>
        </w:tc>
        <w:tc>
          <w:tcPr>
            <w:tcW w:w="715"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w:t>
            </w:r>
          </w:p>
        </w:tc>
        <w:tc>
          <w:tcPr>
            <w:tcW w:w="70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vMerge w:val="restart"/>
            <w:noWrap w:val="0"/>
            <w:vAlign w:val="center"/>
          </w:tcPr>
          <w:p>
            <w:pPr>
              <w:spacing w:line="240" w:lineRule="auto"/>
              <w:jc w:val="center"/>
              <w:rPr>
                <w:rFonts w:ascii="宋体" w:hAnsi="宋体" w:eastAsia="宋体" w:cs="宋体"/>
                <w:sz w:val="21"/>
                <w:szCs w:val="21"/>
              </w:rPr>
            </w:pPr>
            <w:r>
              <w:rPr>
                <w:rFonts w:ascii="宋体" w:hAnsi="宋体" w:eastAsia="宋体" w:cs="宋体"/>
                <w:sz w:val="21"/>
                <w:szCs w:val="21"/>
              </w:rPr>
              <w:t>2</w:t>
            </w:r>
          </w:p>
        </w:tc>
        <w:tc>
          <w:tcPr>
            <w:tcW w:w="1328" w:type="dxa"/>
            <w:vMerge w:val="restart"/>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sz w:val="21"/>
                <w:szCs w:val="21"/>
              </w:rPr>
              <w:t>▲</w:t>
            </w:r>
            <w:r>
              <w:rPr>
                <w:rFonts w:hint="eastAsia" w:ascii="宋体" w:hAnsi="宋体" w:eastAsia="宋体" w:cs="宋体"/>
                <w:bCs/>
                <w:sz w:val="21"/>
                <w:szCs w:val="21"/>
              </w:rPr>
              <w:t>灭火实训教学系统</w:t>
            </w:r>
          </w:p>
        </w:tc>
        <w:tc>
          <w:tcPr>
            <w:tcW w:w="5872" w:type="dxa"/>
            <w:noWrap w:val="0"/>
            <w:vAlign w:val="center"/>
          </w:tcPr>
          <w:p>
            <w:pPr>
              <w:spacing w:after="120" w:line="240" w:lineRule="auto"/>
              <w:rPr>
                <w:rFonts w:ascii="宋体" w:hAnsi="宋体" w:eastAsia="宋体" w:cs="宋体"/>
                <w:sz w:val="21"/>
                <w:szCs w:val="21"/>
              </w:rPr>
            </w:pPr>
            <w:r>
              <w:rPr>
                <w:rFonts w:hint="eastAsia" w:ascii="宋体" w:hAnsi="宋体" w:eastAsia="宋体" w:cs="宋体"/>
                <w:sz w:val="21"/>
                <w:szCs w:val="21"/>
              </w:rPr>
              <w:t>1.模拟火源装置：</w:t>
            </w:r>
          </w:p>
          <w:p>
            <w:pPr>
              <w:spacing w:after="120" w:line="240" w:lineRule="auto"/>
              <w:rPr>
                <w:rFonts w:ascii="宋体" w:hAnsi="宋体" w:eastAsia="宋体" w:cs="宋体"/>
                <w:sz w:val="21"/>
                <w:szCs w:val="21"/>
              </w:rPr>
            </w:pPr>
            <w:r>
              <w:rPr>
                <w:rFonts w:hint="eastAsia" w:ascii="宋体" w:hAnsi="宋体" w:eastAsia="宋体" w:cs="宋体"/>
                <w:sz w:val="21"/>
                <w:szCs w:val="21"/>
              </w:rPr>
              <w:t>电气</w:t>
            </w:r>
            <w:r>
              <w:rPr>
                <w:rFonts w:hint="eastAsia" w:ascii="宋体" w:hAnsi="宋体" w:eastAsia="宋体" w:cs="宋体"/>
                <w:sz w:val="21"/>
                <w:szCs w:val="21"/>
                <w:lang w:eastAsia="zh-CN"/>
              </w:rPr>
              <w:t>；</w:t>
            </w:r>
            <w:r>
              <w:rPr>
                <w:rFonts w:hint="eastAsia" w:ascii="宋体" w:hAnsi="宋体" w:eastAsia="宋体" w:cs="宋体"/>
                <w:sz w:val="21"/>
                <w:szCs w:val="21"/>
              </w:rPr>
              <w:t>额定输入电压 220VAC±10%</w:t>
            </w:r>
            <w:r>
              <w:rPr>
                <w:rFonts w:hint="eastAsia" w:ascii="宋体" w:hAnsi="宋体" w:eastAsia="宋体" w:cs="宋体"/>
                <w:sz w:val="21"/>
                <w:szCs w:val="21"/>
                <w:lang w:eastAsia="zh-CN"/>
              </w:rPr>
              <w:t>；</w:t>
            </w:r>
            <w:r>
              <w:rPr>
                <w:rFonts w:hint="eastAsia" w:ascii="宋体" w:hAnsi="宋体" w:eastAsia="宋体" w:cs="宋体"/>
                <w:sz w:val="21"/>
                <w:szCs w:val="21"/>
              </w:rPr>
              <w:t>内部工作电压 12V</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额定功率：120W</w:t>
            </w:r>
            <w:r>
              <w:rPr>
                <w:rFonts w:hint="eastAsia" w:ascii="宋体" w:hAnsi="宋体" w:eastAsia="宋体" w:cs="宋体"/>
                <w:sz w:val="21"/>
                <w:szCs w:val="21"/>
                <w:lang w:eastAsia="zh-CN"/>
              </w:rPr>
              <w:t>；</w:t>
            </w:r>
            <w:r>
              <w:rPr>
                <w:rFonts w:hint="eastAsia" w:ascii="宋体" w:hAnsi="宋体" w:eastAsia="宋体" w:cs="宋体"/>
                <w:sz w:val="21"/>
                <w:szCs w:val="21"/>
              </w:rPr>
              <w:t>电源频率：50HZ</w:t>
            </w:r>
            <w:r>
              <w:rPr>
                <w:rFonts w:hint="eastAsia" w:ascii="宋体" w:hAnsi="宋体" w:eastAsia="宋体" w:cs="宋体"/>
                <w:sz w:val="21"/>
                <w:szCs w:val="21"/>
                <w:lang w:eastAsia="zh-CN"/>
              </w:rPr>
              <w:t>；</w:t>
            </w:r>
            <w:r>
              <w:rPr>
                <w:rFonts w:hint="eastAsia" w:ascii="宋体" w:hAnsi="宋体" w:eastAsia="宋体" w:cs="宋体"/>
                <w:sz w:val="21"/>
                <w:szCs w:val="21"/>
              </w:rPr>
              <w:t>环境温度：0～50°C</w:t>
            </w:r>
            <w:r>
              <w:rPr>
                <w:rFonts w:hint="eastAsia" w:ascii="宋体" w:hAnsi="宋体" w:eastAsia="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环境湿度：45~80%PH</w:t>
            </w:r>
            <w:r>
              <w:rPr>
                <w:rFonts w:hint="eastAsia" w:ascii="宋体" w:hAnsi="宋体" w:eastAsia="宋体" w:cs="宋体"/>
                <w:sz w:val="21"/>
                <w:szCs w:val="21"/>
                <w:lang w:eastAsia="zh-CN"/>
              </w:rPr>
              <w:t>；</w:t>
            </w:r>
            <w:r>
              <w:rPr>
                <w:rFonts w:hint="eastAsia" w:ascii="宋体" w:hAnsi="宋体" w:eastAsia="宋体" w:cs="宋体"/>
                <w:sz w:val="21"/>
                <w:szCs w:val="21"/>
              </w:rPr>
              <w:t>遥控模块供电：DC 3.7V到24V通用</w:t>
            </w:r>
          </w:p>
          <w:p>
            <w:pPr>
              <w:spacing w:after="120" w:line="240" w:lineRule="auto"/>
              <w:rPr>
                <w:rFonts w:ascii="宋体" w:hAnsi="宋体" w:eastAsia="宋体" w:cs="宋体"/>
                <w:sz w:val="21"/>
                <w:szCs w:val="21"/>
              </w:rPr>
            </w:pPr>
            <w:r>
              <w:rPr>
                <w:rFonts w:hint="eastAsia" w:ascii="宋体" w:hAnsi="宋体" w:eastAsia="宋体" w:cs="宋体"/>
                <w:sz w:val="21"/>
                <w:szCs w:val="21"/>
              </w:rPr>
              <w:t>待机功耗：7mA</w:t>
            </w:r>
            <w:r>
              <w:rPr>
                <w:rFonts w:hint="eastAsia" w:ascii="宋体" w:hAnsi="宋体" w:eastAsia="宋体" w:cs="宋体"/>
                <w:sz w:val="21"/>
                <w:szCs w:val="21"/>
                <w:lang w:eastAsia="zh-CN"/>
              </w:rPr>
              <w:t>；</w:t>
            </w:r>
            <w:r>
              <w:rPr>
                <w:rFonts w:hint="eastAsia" w:ascii="宋体" w:hAnsi="宋体" w:eastAsia="宋体" w:cs="宋体"/>
                <w:sz w:val="21"/>
                <w:szCs w:val="21"/>
              </w:rPr>
              <w:t>工作电流：30mA</w:t>
            </w:r>
            <w:r>
              <w:rPr>
                <w:rFonts w:hint="eastAsia" w:ascii="宋体" w:hAnsi="宋体" w:eastAsia="宋体" w:cs="宋体"/>
                <w:sz w:val="21"/>
                <w:szCs w:val="21"/>
                <w:lang w:eastAsia="zh-CN"/>
              </w:rPr>
              <w:t>；</w:t>
            </w:r>
            <w:r>
              <w:rPr>
                <w:rFonts w:hint="eastAsia" w:ascii="宋体" w:hAnsi="宋体" w:eastAsia="宋体" w:cs="宋体"/>
                <w:sz w:val="21"/>
                <w:szCs w:val="21"/>
              </w:rPr>
              <w:t>模块负载：1A （10瓦以内）</w:t>
            </w:r>
          </w:p>
          <w:p>
            <w:pPr>
              <w:spacing w:after="120" w:line="240" w:lineRule="auto"/>
              <w:rPr>
                <w:rFonts w:ascii="宋体" w:hAnsi="宋体" w:eastAsia="宋体" w:cs="宋体"/>
                <w:sz w:val="21"/>
                <w:szCs w:val="21"/>
              </w:rPr>
            </w:pPr>
            <w:r>
              <w:rPr>
                <w:rFonts w:hint="eastAsia" w:ascii="宋体" w:hAnsi="宋体" w:eastAsia="宋体" w:cs="宋体"/>
                <w:sz w:val="21"/>
                <w:szCs w:val="21"/>
              </w:rPr>
              <w:t>无线频率：315mHz</w:t>
            </w:r>
            <w:r>
              <w:rPr>
                <w:rFonts w:hint="eastAsia" w:ascii="宋体" w:hAnsi="宋体" w:eastAsia="宋体" w:cs="宋体"/>
                <w:sz w:val="21"/>
                <w:szCs w:val="21"/>
                <w:lang w:eastAsia="zh-CN"/>
              </w:rPr>
              <w:t>；</w:t>
            </w:r>
            <w:r>
              <w:rPr>
                <w:rFonts w:hint="eastAsia" w:ascii="宋体" w:hAnsi="宋体" w:eastAsia="宋体" w:cs="宋体"/>
                <w:sz w:val="21"/>
                <w:szCs w:val="21"/>
              </w:rPr>
              <w:t>遥控距离：空旷25米左右</w:t>
            </w:r>
            <w:r>
              <w:rPr>
                <w:rFonts w:hint="eastAsia" w:ascii="宋体" w:hAnsi="宋体" w:eastAsia="宋体" w:cs="宋体"/>
                <w:sz w:val="21"/>
                <w:szCs w:val="21"/>
                <w:lang w:eastAsia="zh-CN"/>
              </w:rPr>
              <w:t>；</w:t>
            </w:r>
            <w:r>
              <w:rPr>
                <w:rFonts w:hint="eastAsia" w:ascii="宋体" w:hAnsi="宋体" w:eastAsia="宋体" w:cs="宋体"/>
                <w:sz w:val="21"/>
                <w:szCs w:val="21"/>
              </w:rPr>
              <w:t>雷达发射频率：24.00</w:t>
            </w:r>
            <w:r>
              <w:rPr>
                <w:rFonts w:hint="eastAsia" w:ascii="宋体" w:hAnsi="宋体" w:eastAsia="宋体" w:cs="宋体"/>
                <w:sz w:val="21"/>
                <w:szCs w:val="21"/>
                <w:lang w:val="zh-CN"/>
              </w:rPr>
              <w:t>～</w:t>
            </w:r>
            <w:r>
              <w:rPr>
                <w:rFonts w:hint="eastAsia" w:ascii="宋体" w:hAnsi="宋体" w:eastAsia="宋体" w:cs="宋体"/>
                <w:sz w:val="21"/>
                <w:szCs w:val="21"/>
              </w:rPr>
              <w:t>24.250GHz</w:t>
            </w:r>
            <w:r>
              <w:rPr>
                <w:rFonts w:hint="eastAsia" w:ascii="宋体" w:hAnsi="宋体" w:eastAsia="宋体" w:cs="宋体"/>
                <w:sz w:val="21"/>
                <w:szCs w:val="21"/>
                <w:lang w:eastAsia="zh-CN"/>
              </w:rPr>
              <w:t>；</w:t>
            </w:r>
            <w:r>
              <w:rPr>
                <w:rFonts w:hint="eastAsia" w:ascii="宋体" w:hAnsi="宋体" w:eastAsia="宋体" w:cs="宋体"/>
                <w:sz w:val="21"/>
                <w:szCs w:val="21"/>
              </w:rPr>
              <w:t>探测角度：水平角度43°/垂直角度116°</w:t>
            </w:r>
            <w:r>
              <w:rPr>
                <w:rFonts w:hint="eastAsia" w:ascii="宋体" w:hAnsi="宋体" w:eastAsia="宋体" w:cs="宋体"/>
                <w:sz w:val="21"/>
                <w:szCs w:val="21"/>
                <w:lang w:eastAsia="zh-CN"/>
              </w:rPr>
              <w:t>；</w:t>
            </w:r>
            <w:r>
              <w:rPr>
                <w:rFonts w:hint="eastAsia" w:ascii="宋体" w:hAnsi="宋体" w:eastAsia="宋体" w:cs="宋体"/>
                <w:sz w:val="21"/>
                <w:szCs w:val="21"/>
              </w:rPr>
              <w:t>工作电流：79mA(5V)</w:t>
            </w:r>
            <w:r>
              <w:rPr>
                <w:rFonts w:hint="eastAsia" w:ascii="宋体" w:hAnsi="宋体" w:eastAsia="宋体" w:cs="宋体"/>
                <w:sz w:val="21"/>
                <w:szCs w:val="21"/>
                <w:lang w:eastAsia="zh-CN"/>
              </w:rPr>
              <w:t>；</w:t>
            </w:r>
            <w:r>
              <w:rPr>
                <w:rFonts w:hint="eastAsia" w:ascii="宋体" w:hAnsi="宋体" w:eastAsia="宋体" w:cs="宋体"/>
                <w:sz w:val="21"/>
                <w:szCs w:val="21"/>
              </w:rPr>
              <w:t>工作电压：DC5V-12V</w:t>
            </w:r>
            <w:r>
              <w:rPr>
                <w:rFonts w:hint="eastAsia" w:ascii="宋体" w:hAnsi="宋体" w:eastAsia="宋体" w:cs="宋体"/>
                <w:sz w:val="21"/>
                <w:szCs w:val="21"/>
                <w:lang w:eastAsia="zh-CN"/>
              </w:rPr>
              <w:t>；</w:t>
            </w:r>
            <w:r>
              <w:rPr>
                <w:rFonts w:hint="eastAsia" w:ascii="宋体" w:hAnsi="宋体" w:eastAsia="宋体" w:cs="宋体"/>
                <w:sz w:val="21"/>
                <w:szCs w:val="21"/>
              </w:rPr>
              <w:t>维护</w:t>
            </w:r>
          </w:p>
          <w:p>
            <w:pPr>
              <w:spacing w:after="120" w:line="240" w:lineRule="auto"/>
              <w:rPr>
                <w:rFonts w:ascii="宋体" w:hAnsi="宋体" w:eastAsia="宋体" w:cs="宋体"/>
                <w:sz w:val="21"/>
                <w:szCs w:val="21"/>
              </w:rPr>
            </w:pPr>
            <w:r>
              <w:rPr>
                <w:rFonts w:hint="eastAsia" w:ascii="宋体" w:hAnsi="宋体" w:eastAsia="宋体" w:cs="宋体"/>
                <w:sz w:val="21"/>
                <w:szCs w:val="21"/>
              </w:rPr>
              <w:t>内置状态LED指示灯</w:t>
            </w:r>
            <w:r>
              <w:rPr>
                <w:rFonts w:hint="eastAsia" w:ascii="宋体" w:hAnsi="宋体" w:eastAsia="宋体" w:cs="宋体"/>
                <w:sz w:val="21"/>
                <w:szCs w:val="21"/>
                <w:lang w:eastAsia="zh-CN"/>
              </w:rPr>
              <w:t>；</w:t>
            </w:r>
            <w:r>
              <w:rPr>
                <w:rFonts w:hint="eastAsia" w:ascii="宋体" w:hAnsi="宋体" w:eastAsia="宋体" w:cs="宋体"/>
                <w:sz w:val="21"/>
                <w:szCs w:val="21"/>
              </w:rPr>
              <w:t>断电零位保存功能</w:t>
            </w:r>
            <w:r>
              <w:rPr>
                <w:rFonts w:hint="eastAsia" w:ascii="宋体" w:hAnsi="宋体" w:eastAsia="宋体" w:cs="宋体"/>
                <w:sz w:val="21"/>
                <w:szCs w:val="21"/>
                <w:lang w:eastAsia="zh-CN"/>
              </w:rPr>
              <w:t>；</w:t>
            </w:r>
            <w:r>
              <w:rPr>
                <w:rFonts w:hint="eastAsia" w:ascii="宋体" w:hAnsi="宋体" w:eastAsia="宋体" w:cs="宋体"/>
                <w:sz w:val="21"/>
                <w:szCs w:val="21"/>
              </w:rPr>
              <w:t>灭火计数维护安全</w:t>
            </w:r>
          </w:p>
          <w:p>
            <w:pPr>
              <w:spacing w:after="120" w:line="240" w:lineRule="auto"/>
              <w:rPr>
                <w:rFonts w:ascii="宋体" w:hAnsi="宋体" w:eastAsia="宋体" w:cs="宋体"/>
                <w:sz w:val="21"/>
                <w:szCs w:val="21"/>
              </w:rPr>
            </w:pPr>
            <w:r>
              <w:rPr>
                <w:rFonts w:hint="eastAsia" w:ascii="宋体" w:hAnsi="宋体" w:eastAsia="宋体" w:cs="宋体"/>
                <w:sz w:val="21"/>
                <w:szCs w:val="21"/>
              </w:rPr>
              <w:t>防呆式界面</w:t>
            </w:r>
            <w:r>
              <w:rPr>
                <w:rFonts w:hint="eastAsia" w:ascii="宋体" w:hAnsi="宋体" w:eastAsia="宋体" w:cs="宋体"/>
                <w:sz w:val="21"/>
                <w:szCs w:val="21"/>
                <w:lang w:eastAsia="zh-CN"/>
              </w:rPr>
              <w:t>；</w:t>
            </w:r>
            <w:r>
              <w:rPr>
                <w:rFonts w:hint="eastAsia" w:ascii="宋体" w:hAnsi="宋体" w:eastAsia="宋体" w:cs="宋体"/>
                <w:sz w:val="21"/>
                <w:szCs w:val="21"/>
              </w:rPr>
              <w:t>电路保护装置</w:t>
            </w:r>
            <w:r>
              <w:rPr>
                <w:rFonts w:hint="eastAsia" w:ascii="宋体" w:hAnsi="宋体" w:eastAsia="宋体" w:cs="宋体"/>
                <w:sz w:val="21"/>
                <w:szCs w:val="21"/>
                <w:lang w:eastAsia="zh-CN"/>
              </w:rPr>
              <w:t>；</w:t>
            </w:r>
            <w:r>
              <w:rPr>
                <w:rFonts w:hint="eastAsia" w:ascii="宋体" w:hAnsi="宋体" w:eastAsia="宋体" w:cs="宋体"/>
                <w:sz w:val="21"/>
                <w:szCs w:val="21"/>
              </w:rPr>
              <w:t>物理特性</w:t>
            </w:r>
            <w:r>
              <w:rPr>
                <w:rFonts w:hint="eastAsia" w:ascii="宋体" w:hAnsi="宋体" w:eastAsia="宋体" w:cs="宋体"/>
                <w:sz w:val="21"/>
                <w:szCs w:val="21"/>
                <w:lang w:eastAsia="zh-CN"/>
              </w:rPr>
              <w:t>；</w:t>
            </w:r>
            <w:r>
              <w:rPr>
                <w:rFonts w:hint="eastAsia" w:ascii="宋体" w:hAnsi="宋体" w:eastAsia="宋体" w:cs="宋体"/>
                <w:sz w:val="21"/>
                <w:szCs w:val="21"/>
              </w:rPr>
              <w:t>外观尺寸规格：约814mm×324mm×335mm</w:t>
            </w:r>
            <w:r>
              <w:rPr>
                <w:rFonts w:hint="eastAsia" w:ascii="宋体" w:hAnsi="宋体" w:eastAsia="宋体" w:cs="宋体"/>
                <w:sz w:val="21"/>
                <w:szCs w:val="21"/>
                <w:lang w:eastAsia="zh-CN"/>
              </w:rPr>
              <w:t>；</w:t>
            </w:r>
            <w:r>
              <w:rPr>
                <w:rFonts w:hint="eastAsia" w:ascii="宋体" w:hAnsi="宋体" w:eastAsia="宋体" w:cs="宋体"/>
                <w:sz w:val="21"/>
                <w:szCs w:val="21"/>
              </w:rPr>
              <w:t>总体重量：约23KG</w:t>
            </w:r>
            <w:r>
              <w:rPr>
                <w:rFonts w:hint="eastAsia" w:ascii="宋体" w:hAnsi="宋体" w:eastAsia="宋体" w:cs="宋体"/>
                <w:sz w:val="21"/>
                <w:szCs w:val="21"/>
                <w:lang w:eastAsia="zh-CN"/>
              </w:rPr>
              <w:t>；</w:t>
            </w:r>
            <w:r>
              <w:rPr>
                <w:rFonts w:hint="eastAsia" w:ascii="宋体" w:hAnsi="宋体" w:eastAsia="宋体" w:cs="宋体"/>
                <w:sz w:val="21"/>
                <w:szCs w:val="21"/>
              </w:rPr>
              <w:t>箱体防护等级：≥IP54</w:t>
            </w:r>
          </w:p>
          <w:p>
            <w:pPr>
              <w:spacing w:after="120" w:line="240" w:lineRule="auto"/>
              <w:rPr>
                <w:rFonts w:ascii="宋体" w:hAnsi="宋体" w:eastAsia="宋体" w:cs="宋体"/>
                <w:sz w:val="21"/>
                <w:szCs w:val="21"/>
              </w:rPr>
            </w:pPr>
            <w:r>
              <w:rPr>
                <w:rFonts w:hint="eastAsia" w:ascii="宋体" w:hAnsi="宋体" w:eastAsia="宋体" w:cs="宋体"/>
                <w:sz w:val="21"/>
                <w:szCs w:val="21"/>
              </w:rPr>
              <w:t>噪声：≤62dB</w:t>
            </w:r>
            <w:r>
              <w:rPr>
                <w:rFonts w:hint="eastAsia" w:ascii="宋体" w:hAnsi="宋体" w:eastAsia="宋体" w:cs="宋体"/>
                <w:sz w:val="21"/>
                <w:szCs w:val="21"/>
                <w:lang w:eastAsia="zh-CN"/>
              </w:rPr>
              <w:t>；</w:t>
            </w:r>
            <w:r>
              <w:rPr>
                <w:rFonts w:hint="eastAsia" w:ascii="宋体" w:hAnsi="宋体" w:eastAsia="宋体" w:cs="宋体"/>
                <w:sz w:val="21"/>
                <w:szCs w:val="21"/>
              </w:rPr>
              <w:t>出风量：≥1000m/h</w:t>
            </w:r>
          </w:p>
        </w:tc>
        <w:tc>
          <w:tcPr>
            <w:tcW w:w="715" w:type="dxa"/>
            <w:vMerge w:val="restart"/>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w:t>
            </w:r>
          </w:p>
        </w:tc>
        <w:tc>
          <w:tcPr>
            <w:tcW w:w="700" w:type="dxa"/>
            <w:vMerge w:val="restart"/>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vMerge w:val="continue"/>
            <w:noWrap w:val="0"/>
            <w:vAlign w:val="center"/>
          </w:tcPr>
          <w:p>
            <w:pPr>
              <w:spacing w:line="240" w:lineRule="auto"/>
              <w:jc w:val="center"/>
              <w:rPr>
                <w:rFonts w:ascii="宋体" w:hAnsi="宋体" w:eastAsia="宋体" w:cs="宋体"/>
                <w:sz w:val="21"/>
                <w:szCs w:val="21"/>
              </w:rPr>
            </w:pPr>
          </w:p>
        </w:tc>
        <w:tc>
          <w:tcPr>
            <w:tcW w:w="1328" w:type="dxa"/>
            <w:vMerge w:val="continue"/>
            <w:noWrap w:val="0"/>
            <w:vAlign w:val="center"/>
          </w:tcPr>
          <w:p>
            <w:pPr>
              <w:spacing w:line="240" w:lineRule="auto"/>
              <w:jc w:val="center"/>
              <w:rPr>
                <w:rFonts w:ascii="宋体" w:hAnsi="宋体" w:eastAsia="宋体" w:cs="宋体"/>
                <w:bCs/>
                <w:sz w:val="21"/>
                <w:szCs w:val="21"/>
              </w:rPr>
            </w:pPr>
          </w:p>
        </w:tc>
        <w:tc>
          <w:tcPr>
            <w:tcW w:w="5872" w:type="dxa"/>
            <w:noWrap w:val="0"/>
            <w:vAlign w:val="center"/>
          </w:tcPr>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2.模拟灭火器：</w:t>
            </w:r>
          </w:p>
          <w:p>
            <w:pPr>
              <w:spacing w:after="120" w:line="240" w:lineRule="auto"/>
              <w:rPr>
                <w:rFonts w:ascii="宋体" w:hAnsi="宋体" w:eastAsia="宋体" w:cs="宋体"/>
                <w:sz w:val="21"/>
                <w:szCs w:val="21"/>
              </w:rPr>
            </w:pPr>
            <w:r>
              <w:rPr>
                <w:rFonts w:hint="eastAsia" w:ascii="宋体" w:hAnsi="宋体" w:eastAsia="宋体" w:cs="宋体"/>
                <w:sz w:val="21"/>
                <w:szCs w:val="21"/>
              </w:rPr>
              <w:t>电气额定输入电压:5VDC±5%</w:t>
            </w:r>
            <w:r>
              <w:rPr>
                <w:rFonts w:hint="eastAsia" w:ascii="宋体" w:hAnsi="宋体" w:eastAsia="宋体" w:cs="宋体"/>
                <w:sz w:val="21"/>
                <w:szCs w:val="21"/>
                <w:lang w:eastAsia="zh-CN"/>
              </w:rPr>
              <w:t>；</w:t>
            </w:r>
            <w:r>
              <w:rPr>
                <w:rFonts w:hint="eastAsia" w:ascii="宋体" w:hAnsi="宋体" w:eastAsia="宋体" w:cs="宋体"/>
                <w:sz w:val="21"/>
                <w:szCs w:val="21"/>
              </w:rPr>
              <w:t>内部工作电压：3.7-4.2V</w:t>
            </w:r>
            <w:r>
              <w:rPr>
                <w:rFonts w:hint="eastAsia" w:ascii="宋体" w:hAnsi="宋体" w:eastAsia="宋体" w:cs="宋体"/>
                <w:sz w:val="21"/>
                <w:szCs w:val="21"/>
                <w:lang w:eastAsia="zh-CN"/>
              </w:rPr>
              <w:t>；</w:t>
            </w:r>
            <w:r>
              <w:rPr>
                <w:rFonts w:hint="eastAsia" w:ascii="宋体" w:hAnsi="宋体" w:eastAsia="宋体" w:cs="宋体"/>
                <w:sz w:val="21"/>
                <w:szCs w:val="21"/>
              </w:rPr>
              <w:t>环境温度：0</w:t>
            </w:r>
            <w:r>
              <w:rPr>
                <w:rFonts w:hint="eastAsia" w:ascii="宋体" w:hAnsi="宋体" w:eastAsia="宋体" w:cs="宋体"/>
                <w:sz w:val="21"/>
                <w:szCs w:val="21"/>
                <w:lang w:val="zh-CN"/>
              </w:rPr>
              <w:t>～</w:t>
            </w:r>
            <w:r>
              <w:rPr>
                <w:rFonts w:hint="eastAsia" w:ascii="宋体" w:hAnsi="宋体" w:eastAsia="宋体" w:cs="宋体"/>
                <w:sz w:val="21"/>
                <w:szCs w:val="21"/>
              </w:rPr>
              <w:t>50°C</w:t>
            </w:r>
            <w:r>
              <w:rPr>
                <w:rFonts w:hint="eastAsia" w:ascii="宋体" w:hAnsi="宋体" w:eastAsia="宋体" w:cs="宋体"/>
                <w:sz w:val="21"/>
                <w:szCs w:val="21"/>
                <w:lang w:eastAsia="zh-CN"/>
              </w:rPr>
              <w:t>；</w:t>
            </w:r>
            <w:r>
              <w:rPr>
                <w:rFonts w:hint="eastAsia" w:ascii="宋体" w:hAnsi="宋体" w:eastAsia="宋体" w:cs="宋体"/>
                <w:sz w:val="21"/>
                <w:szCs w:val="21"/>
              </w:rPr>
              <w:t>环境湿度：40</w:t>
            </w:r>
            <w:r>
              <w:rPr>
                <w:rFonts w:hint="eastAsia" w:ascii="宋体" w:hAnsi="宋体" w:eastAsia="宋体" w:cs="宋体"/>
                <w:sz w:val="21"/>
                <w:szCs w:val="21"/>
                <w:lang w:val="zh-CN"/>
              </w:rPr>
              <w:t>～</w:t>
            </w:r>
            <w:r>
              <w:rPr>
                <w:rFonts w:hint="eastAsia" w:ascii="宋体" w:hAnsi="宋体" w:eastAsia="宋体" w:cs="宋体"/>
                <w:sz w:val="21"/>
                <w:szCs w:val="21"/>
              </w:rPr>
              <w:t>75%PH</w:t>
            </w:r>
            <w:r>
              <w:rPr>
                <w:rFonts w:hint="eastAsia" w:ascii="宋体" w:hAnsi="宋体" w:eastAsia="宋体" w:cs="宋体"/>
                <w:sz w:val="21"/>
                <w:szCs w:val="21"/>
                <w:lang w:eastAsia="zh-CN"/>
              </w:rPr>
              <w:t>；</w:t>
            </w:r>
            <w:r>
              <w:rPr>
                <w:rFonts w:hint="eastAsia" w:ascii="宋体" w:hAnsi="宋体" w:eastAsia="宋体" w:cs="宋体"/>
                <w:sz w:val="21"/>
                <w:szCs w:val="21"/>
              </w:rPr>
              <w:t>电池容量：</w:t>
            </w:r>
            <w:r>
              <w:rPr>
                <w:rFonts w:hint="eastAsia" w:ascii="宋体" w:hAnsi="宋体" w:eastAsia="宋体" w:cs="宋体"/>
                <w:sz w:val="21"/>
                <w:szCs w:val="21"/>
                <w:lang w:val="zh-CN"/>
              </w:rPr>
              <w:t>≥</w:t>
            </w:r>
            <w:r>
              <w:rPr>
                <w:rFonts w:hint="eastAsia" w:ascii="宋体" w:hAnsi="宋体" w:eastAsia="宋体" w:cs="宋体"/>
                <w:sz w:val="21"/>
                <w:szCs w:val="21"/>
              </w:rPr>
              <w:t>6800mAh</w:t>
            </w:r>
          </w:p>
          <w:p>
            <w:pPr>
              <w:spacing w:after="120" w:line="240" w:lineRule="auto"/>
              <w:rPr>
                <w:rFonts w:ascii="宋体" w:hAnsi="宋体" w:eastAsia="宋体" w:cs="宋体"/>
                <w:sz w:val="21"/>
                <w:szCs w:val="21"/>
              </w:rPr>
            </w:pPr>
            <w:r>
              <w:rPr>
                <w:rFonts w:hint="eastAsia" w:ascii="宋体" w:hAnsi="宋体" w:eastAsia="宋体" w:cs="宋体"/>
                <w:sz w:val="21"/>
                <w:szCs w:val="21"/>
              </w:rPr>
              <w:t>维护</w:t>
            </w:r>
            <w:r>
              <w:rPr>
                <w:rFonts w:hint="eastAsia" w:ascii="宋体" w:hAnsi="宋体" w:eastAsia="宋体" w:cs="宋体"/>
                <w:sz w:val="21"/>
                <w:szCs w:val="21"/>
                <w:lang w:eastAsia="zh-CN"/>
              </w:rPr>
              <w:t>；</w:t>
            </w:r>
            <w:r>
              <w:rPr>
                <w:rFonts w:hint="eastAsia" w:ascii="宋体" w:hAnsi="宋体" w:eastAsia="宋体" w:cs="宋体"/>
                <w:sz w:val="21"/>
                <w:szCs w:val="21"/>
              </w:rPr>
              <w:t>内置电量状态LED指示灯</w:t>
            </w:r>
            <w:r>
              <w:rPr>
                <w:rFonts w:hint="eastAsia" w:ascii="宋体" w:hAnsi="宋体" w:eastAsia="宋体" w:cs="宋体"/>
                <w:sz w:val="21"/>
                <w:szCs w:val="21"/>
                <w:lang w:eastAsia="zh-CN"/>
              </w:rPr>
              <w:t>；</w:t>
            </w:r>
            <w:r>
              <w:rPr>
                <w:rFonts w:hint="eastAsia" w:ascii="宋体" w:hAnsi="宋体" w:eastAsia="宋体" w:cs="宋体"/>
                <w:sz w:val="21"/>
                <w:szCs w:val="21"/>
              </w:rPr>
              <w:t>可充电的5V5A的DC插座</w:t>
            </w:r>
          </w:p>
          <w:p>
            <w:pPr>
              <w:spacing w:after="120" w:line="240" w:lineRule="auto"/>
              <w:rPr>
                <w:rFonts w:ascii="宋体" w:hAnsi="宋体" w:eastAsia="宋体" w:cs="宋体"/>
                <w:sz w:val="21"/>
                <w:szCs w:val="21"/>
              </w:rPr>
            </w:pPr>
            <w:r>
              <w:rPr>
                <w:rFonts w:hint="eastAsia" w:ascii="宋体" w:hAnsi="宋体" w:eastAsia="宋体" w:cs="宋体"/>
                <w:sz w:val="21"/>
                <w:szCs w:val="21"/>
              </w:rPr>
              <w:t>充电3小时可以连续模拟灭火700次以上</w:t>
            </w:r>
            <w:r>
              <w:rPr>
                <w:rFonts w:hint="eastAsia" w:ascii="宋体" w:hAnsi="宋体" w:eastAsia="宋体" w:cs="宋体"/>
                <w:sz w:val="21"/>
                <w:szCs w:val="21"/>
                <w:lang w:eastAsia="zh-CN"/>
              </w:rPr>
              <w:t>；</w:t>
            </w:r>
            <w:r>
              <w:rPr>
                <w:rFonts w:hint="eastAsia" w:ascii="宋体" w:hAnsi="宋体" w:eastAsia="宋体" w:cs="宋体"/>
                <w:sz w:val="21"/>
                <w:szCs w:val="21"/>
              </w:rPr>
              <w:t>安全过充超载过放保护电路</w:t>
            </w:r>
            <w:r>
              <w:rPr>
                <w:rFonts w:hint="eastAsia" w:ascii="宋体" w:hAnsi="宋体" w:eastAsia="宋体" w:cs="宋体"/>
                <w:sz w:val="21"/>
                <w:szCs w:val="21"/>
                <w:lang w:eastAsia="zh-CN"/>
              </w:rPr>
              <w:t>；</w:t>
            </w:r>
            <w:r>
              <w:rPr>
                <w:rFonts w:hint="eastAsia" w:ascii="宋体" w:hAnsi="宋体" w:eastAsia="宋体" w:cs="宋体"/>
                <w:sz w:val="21"/>
                <w:szCs w:val="21"/>
              </w:rPr>
              <w:t>短路保护电路</w:t>
            </w:r>
          </w:p>
          <w:p>
            <w:pPr>
              <w:spacing w:after="120" w:line="240" w:lineRule="auto"/>
              <w:rPr>
                <w:rFonts w:ascii="宋体" w:hAnsi="宋体" w:eastAsia="宋体" w:cs="宋体"/>
                <w:sz w:val="21"/>
                <w:szCs w:val="21"/>
              </w:rPr>
            </w:pPr>
            <w:r>
              <w:rPr>
                <w:rFonts w:hint="eastAsia" w:ascii="宋体" w:hAnsi="宋体" w:eastAsia="宋体" w:cs="宋体"/>
                <w:sz w:val="21"/>
                <w:szCs w:val="21"/>
              </w:rPr>
              <w:t>物理特性</w:t>
            </w:r>
            <w:r>
              <w:rPr>
                <w:rFonts w:hint="eastAsia" w:ascii="宋体" w:hAnsi="宋体" w:eastAsia="宋体" w:cs="宋体"/>
                <w:sz w:val="21"/>
                <w:szCs w:val="21"/>
                <w:lang w:eastAsia="zh-CN"/>
              </w:rPr>
              <w:t>；</w:t>
            </w:r>
            <w:r>
              <w:rPr>
                <w:rFonts w:hint="eastAsia" w:ascii="宋体" w:hAnsi="宋体" w:eastAsia="宋体" w:cs="宋体"/>
                <w:sz w:val="21"/>
                <w:szCs w:val="21"/>
              </w:rPr>
              <w:t>外观尺寸规格：约410mm×230mm×455mm</w:t>
            </w:r>
          </w:p>
          <w:p>
            <w:pPr>
              <w:spacing w:after="120" w:line="240" w:lineRule="auto"/>
              <w:rPr>
                <w:rFonts w:ascii="宋体" w:hAnsi="宋体" w:eastAsia="宋体" w:cs="宋体"/>
                <w:sz w:val="21"/>
                <w:szCs w:val="21"/>
              </w:rPr>
            </w:pPr>
            <w:r>
              <w:rPr>
                <w:rFonts w:hint="eastAsia" w:ascii="宋体" w:hAnsi="宋体" w:eastAsia="宋体" w:cs="宋体"/>
                <w:sz w:val="21"/>
                <w:szCs w:val="21"/>
              </w:rPr>
              <w:t>总体重量：约7.5KG</w:t>
            </w:r>
            <w:r>
              <w:rPr>
                <w:rFonts w:hint="eastAsia" w:ascii="宋体" w:hAnsi="宋体" w:eastAsia="宋体" w:cs="宋体"/>
                <w:sz w:val="21"/>
                <w:szCs w:val="21"/>
                <w:lang w:eastAsia="zh-CN"/>
              </w:rPr>
              <w:t>；</w:t>
            </w:r>
            <w:r>
              <w:rPr>
                <w:rFonts w:hint="eastAsia" w:ascii="宋体" w:hAnsi="宋体" w:eastAsia="宋体" w:cs="宋体"/>
                <w:sz w:val="21"/>
                <w:szCs w:val="21"/>
              </w:rPr>
              <w:t>箱体防护等级：≥IP54</w:t>
            </w:r>
          </w:p>
        </w:tc>
        <w:tc>
          <w:tcPr>
            <w:tcW w:w="715" w:type="dxa"/>
            <w:vMerge w:val="continue"/>
            <w:noWrap w:val="0"/>
            <w:vAlign w:val="center"/>
          </w:tcPr>
          <w:p>
            <w:pPr>
              <w:spacing w:line="240" w:lineRule="auto"/>
              <w:jc w:val="center"/>
              <w:rPr>
                <w:rFonts w:ascii="宋体" w:hAnsi="宋体" w:eastAsia="宋体" w:cs="宋体"/>
                <w:bCs/>
                <w:sz w:val="21"/>
                <w:szCs w:val="21"/>
              </w:rPr>
            </w:pPr>
          </w:p>
        </w:tc>
        <w:tc>
          <w:tcPr>
            <w:tcW w:w="700" w:type="dxa"/>
            <w:vMerge w:val="continue"/>
            <w:noWrap w:val="0"/>
            <w:vAlign w:val="center"/>
          </w:tcPr>
          <w:p>
            <w:pPr>
              <w:spacing w:line="240" w:lineRule="auto"/>
              <w:jc w:val="center"/>
              <w:rPr>
                <w:rFonts w:ascii="宋体" w:hAnsi="宋体" w:eastAsia="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8" w:hRule="atLeast"/>
          <w:jc w:val="center"/>
        </w:trPr>
        <w:tc>
          <w:tcPr>
            <w:tcW w:w="705" w:type="dxa"/>
            <w:vMerge w:val="continue"/>
            <w:noWrap w:val="0"/>
            <w:vAlign w:val="center"/>
          </w:tcPr>
          <w:p>
            <w:pPr>
              <w:spacing w:line="240" w:lineRule="auto"/>
              <w:jc w:val="center"/>
              <w:rPr>
                <w:rFonts w:ascii="宋体" w:hAnsi="宋体" w:eastAsia="宋体" w:cs="宋体"/>
                <w:sz w:val="21"/>
                <w:szCs w:val="21"/>
              </w:rPr>
            </w:pPr>
          </w:p>
        </w:tc>
        <w:tc>
          <w:tcPr>
            <w:tcW w:w="1328" w:type="dxa"/>
            <w:vMerge w:val="continue"/>
            <w:noWrap w:val="0"/>
            <w:vAlign w:val="center"/>
          </w:tcPr>
          <w:p>
            <w:pPr>
              <w:spacing w:line="240" w:lineRule="auto"/>
              <w:jc w:val="center"/>
              <w:rPr>
                <w:rFonts w:ascii="宋体" w:hAnsi="宋体" w:eastAsia="宋体" w:cs="宋体"/>
                <w:bCs/>
                <w:sz w:val="21"/>
                <w:szCs w:val="21"/>
              </w:rPr>
            </w:pPr>
          </w:p>
        </w:tc>
        <w:tc>
          <w:tcPr>
            <w:tcW w:w="5872" w:type="dxa"/>
            <w:noWrap w:val="0"/>
            <w:vAlign w:val="center"/>
          </w:tcPr>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3.教学设计要求：</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（1）实现全闭环（训前知识导入、实训实操过程、训后知识回顾、训练数据分析、训后持续学习提醒）；</w:t>
            </w:r>
          </w:p>
          <w:p>
            <w:pPr>
              <w:spacing w:after="120" w:line="240" w:lineRule="auto"/>
              <w:rPr>
                <w:rFonts w:ascii="宋体" w:hAnsi="宋体" w:eastAsia="宋体" w:cs="宋体"/>
                <w:sz w:val="21"/>
                <w:szCs w:val="21"/>
              </w:rPr>
            </w:pPr>
            <w:r>
              <w:rPr>
                <w:rFonts w:hint="eastAsia" w:ascii="宋体" w:hAnsi="宋体" w:eastAsia="宋体" w:cs="宋体"/>
                <w:sz w:val="21"/>
                <w:szCs w:val="21"/>
              </w:rPr>
              <w:t>（2）教学设计定位：适用于初起火灭火实训教学，并具有测距功能，更加突出灭火过程安全注意事项；</w:t>
            </w:r>
          </w:p>
          <w:p>
            <w:pPr>
              <w:spacing w:after="120" w:line="240" w:lineRule="auto"/>
              <w:rPr>
                <w:rFonts w:ascii="宋体" w:hAnsi="宋体" w:eastAsia="宋体" w:cs="宋体"/>
                <w:sz w:val="21"/>
                <w:szCs w:val="21"/>
              </w:rPr>
            </w:pPr>
            <w:r>
              <w:rPr>
                <w:rFonts w:hint="eastAsia" w:ascii="宋体" w:hAnsi="宋体" w:eastAsia="宋体" w:cs="宋体"/>
                <w:sz w:val="21"/>
                <w:szCs w:val="21"/>
              </w:rPr>
              <w:t>（3）教学系统能够有效帮助学习者掌握“正确使用灭火器扑灭初级小火”全过程所需知识点和技能；</w:t>
            </w:r>
          </w:p>
          <w:p>
            <w:pPr>
              <w:spacing w:after="120" w:line="240" w:lineRule="auto"/>
              <w:rPr>
                <w:rFonts w:ascii="宋体" w:hAnsi="宋体" w:eastAsia="宋体" w:cs="宋体"/>
                <w:sz w:val="21"/>
                <w:szCs w:val="21"/>
              </w:rPr>
            </w:pPr>
            <w:r>
              <w:rPr>
                <w:rFonts w:hint="eastAsia" w:ascii="宋体" w:hAnsi="宋体" w:eastAsia="宋体" w:cs="宋体"/>
                <w:sz w:val="21"/>
                <w:szCs w:val="21"/>
              </w:rPr>
              <w:t>（4）教学系统不受环境、场地、时间等限制，并且无污染、安全可靠；</w:t>
            </w:r>
          </w:p>
          <w:p>
            <w:pPr>
              <w:spacing w:after="120" w:line="240" w:lineRule="auto"/>
              <w:rPr>
                <w:rFonts w:ascii="宋体" w:hAnsi="宋体" w:eastAsia="宋体" w:cs="宋体"/>
                <w:sz w:val="21"/>
                <w:szCs w:val="21"/>
              </w:rPr>
            </w:pPr>
            <w:r>
              <w:rPr>
                <w:rFonts w:hint="eastAsia" w:ascii="宋体" w:hAnsi="宋体" w:eastAsia="宋体" w:cs="宋体"/>
                <w:sz w:val="21"/>
                <w:szCs w:val="21"/>
              </w:rPr>
              <w:t>（5）具备传统的灭火原理，对准火焰根部、扫射初级起火灭火全过程；</w:t>
            </w:r>
          </w:p>
          <w:p>
            <w:pPr>
              <w:spacing w:after="120" w:line="240" w:lineRule="auto"/>
              <w:rPr>
                <w:rFonts w:ascii="宋体" w:hAnsi="宋体" w:eastAsia="宋体" w:cs="宋体"/>
                <w:sz w:val="21"/>
                <w:szCs w:val="21"/>
              </w:rPr>
            </w:pPr>
            <w:r>
              <w:rPr>
                <w:rFonts w:hint="eastAsia" w:ascii="宋体" w:hAnsi="宋体" w:eastAsia="宋体" w:cs="宋体"/>
                <w:sz w:val="21"/>
                <w:szCs w:val="21"/>
              </w:rPr>
              <w:t>（6）具有自动启动和手动启动两种功能，可随时切换；</w:t>
            </w:r>
          </w:p>
          <w:p>
            <w:pPr>
              <w:spacing w:after="120" w:line="240" w:lineRule="auto"/>
              <w:rPr>
                <w:rFonts w:ascii="宋体" w:hAnsi="宋体" w:eastAsia="宋体" w:cs="宋体"/>
                <w:sz w:val="21"/>
                <w:szCs w:val="21"/>
              </w:rPr>
            </w:pPr>
            <w:r>
              <w:rPr>
                <w:rFonts w:hint="eastAsia" w:ascii="宋体" w:hAnsi="宋体" w:eastAsia="宋体" w:cs="宋体"/>
                <w:sz w:val="21"/>
                <w:szCs w:val="21"/>
              </w:rPr>
              <w:t>（7）具有灭火器体验与水枪体验两种灭火实训模式；</w:t>
            </w:r>
          </w:p>
          <w:p>
            <w:pPr>
              <w:spacing w:after="120" w:line="240" w:lineRule="auto"/>
              <w:rPr>
                <w:rFonts w:ascii="宋体" w:hAnsi="宋体" w:eastAsia="宋体" w:cs="宋体"/>
                <w:sz w:val="21"/>
                <w:szCs w:val="21"/>
              </w:rPr>
            </w:pPr>
            <w:r>
              <w:rPr>
                <w:rFonts w:hint="eastAsia" w:ascii="宋体" w:hAnsi="宋体" w:eastAsia="宋体" w:cs="宋体"/>
                <w:sz w:val="21"/>
                <w:szCs w:val="21"/>
              </w:rPr>
              <w:t>（8）系统实训记录功能，记录显示实训总次数、当前成功次数、当前失败次数、当次使用时间，每次重启系统除总次数保留，其他数都归零重新记录；</w:t>
            </w:r>
          </w:p>
          <w:p>
            <w:pPr>
              <w:spacing w:after="120" w:line="240" w:lineRule="auto"/>
              <w:rPr>
                <w:rFonts w:ascii="宋体" w:hAnsi="宋体" w:eastAsia="宋体" w:cs="宋体"/>
                <w:sz w:val="21"/>
                <w:szCs w:val="21"/>
              </w:rPr>
            </w:pPr>
            <w:r>
              <w:rPr>
                <w:rFonts w:hint="eastAsia" w:ascii="宋体" w:hAnsi="宋体" w:eastAsia="宋体" w:cs="宋体"/>
                <w:sz w:val="21"/>
                <w:szCs w:val="21"/>
              </w:rPr>
              <w:t>（9）实训次数清零功能，可清除所有实训记录；</w:t>
            </w:r>
          </w:p>
          <w:p>
            <w:pPr>
              <w:spacing w:after="120" w:line="240" w:lineRule="auto"/>
              <w:rPr>
                <w:rFonts w:ascii="宋体" w:hAnsi="宋体" w:eastAsia="宋体" w:cs="宋体"/>
                <w:sz w:val="21"/>
                <w:szCs w:val="21"/>
              </w:rPr>
            </w:pPr>
            <w:r>
              <w:rPr>
                <w:rFonts w:hint="eastAsia" w:ascii="宋体" w:hAnsi="宋体" w:eastAsia="宋体" w:cs="宋体"/>
                <w:sz w:val="21"/>
                <w:szCs w:val="21"/>
              </w:rPr>
              <w:t>（10）系统自动重启功能，默认5秒，可自行配置时间；</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（11）实训雷达距离功能，更加突出灭火过程安全注意事项，默认1.2米，可自行配置距离；</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★（1</w:t>
            </w:r>
            <w:r>
              <w:rPr>
                <w:rFonts w:ascii="宋体" w:hAnsi="宋体" w:eastAsia="宋体" w:cs="宋体"/>
                <w:sz w:val="21"/>
                <w:szCs w:val="21"/>
                <w:lang w:val="zh-CN"/>
              </w:rPr>
              <w:t>2</w:t>
            </w:r>
            <w:r>
              <w:rPr>
                <w:rFonts w:hint="eastAsia" w:ascii="宋体" w:hAnsi="宋体" w:eastAsia="宋体" w:cs="宋体"/>
                <w:sz w:val="21"/>
                <w:szCs w:val="21"/>
                <w:lang w:val="zh-CN"/>
              </w:rPr>
              <w:t>）</w:t>
            </w:r>
            <w:r>
              <w:rPr>
                <w:rFonts w:hint="eastAsia" w:ascii="宋体" w:hAnsi="宋体" w:eastAsia="宋体" w:cs="宋体"/>
                <w:sz w:val="21"/>
                <w:szCs w:val="21"/>
              </w:rPr>
              <w:t>可以与AR眼镜增强现实技术对接，实现沉浸式体验。</w:t>
            </w:r>
          </w:p>
          <w:p>
            <w:pPr>
              <w:spacing w:after="120" w:line="240" w:lineRule="auto"/>
              <w:rPr>
                <w:rFonts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3</w:t>
            </w:r>
            <w:r>
              <w:rPr>
                <w:rFonts w:hint="eastAsia" w:ascii="宋体" w:hAnsi="宋体" w:eastAsia="宋体" w:cs="宋体"/>
                <w:sz w:val="21"/>
                <w:szCs w:val="21"/>
              </w:rPr>
              <w:t>）评估实训过关功能，默认：优秀15秒以内、良好16-20秒、过关21-25秒、不合格26秒以上，可根据实际需求自行配置过关时间标准；</w:t>
            </w:r>
          </w:p>
          <w:p>
            <w:pPr>
              <w:spacing w:after="120" w:line="240" w:lineRule="auto"/>
              <w:rPr>
                <w:rFonts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4</w:t>
            </w:r>
            <w:r>
              <w:rPr>
                <w:rFonts w:hint="eastAsia" w:ascii="宋体" w:hAnsi="宋体" w:eastAsia="宋体" w:cs="宋体"/>
                <w:sz w:val="21"/>
                <w:szCs w:val="21"/>
              </w:rPr>
              <w:t>）实训灭火距离过近无法灭火功能，若灭火距离小于设置灭火距离，语音发出安全提示“距离过近” 并无法灭火，可自行配置雷达距离感应长度；</w:t>
            </w:r>
          </w:p>
          <w:p>
            <w:pPr>
              <w:spacing w:after="120" w:line="240" w:lineRule="auto"/>
              <w:rPr>
                <w:rFonts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5</w:t>
            </w:r>
            <w:r>
              <w:rPr>
                <w:rFonts w:hint="eastAsia" w:ascii="宋体" w:hAnsi="宋体" w:eastAsia="宋体" w:cs="宋体"/>
                <w:sz w:val="21"/>
                <w:szCs w:val="21"/>
              </w:rPr>
              <w:t>）具有火焰复燃功能，在设定时间内没有完成灭火实训，熄灭的火焰会复燃一次，需继续灭火。</w:t>
            </w:r>
          </w:p>
        </w:tc>
        <w:tc>
          <w:tcPr>
            <w:tcW w:w="715" w:type="dxa"/>
            <w:vMerge w:val="continue"/>
            <w:noWrap w:val="0"/>
            <w:vAlign w:val="center"/>
          </w:tcPr>
          <w:p>
            <w:pPr>
              <w:spacing w:line="240" w:lineRule="auto"/>
              <w:jc w:val="center"/>
              <w:rPr>
                <w:rFonts w:ascii="宋体" w:hAnsi="宋体" w:eastAsia="宋体" w:cs="宋体"/>
                <w:bCs/>
                <w:sz w:val="21"/>
                <w:szCs w:val="21"/>
              </w:rPr>
            </w:pPr>
          </w:p>
        </w:tc>
        <w:tc>
          <w:tcPr>
            <w:tcW w:w="700" w:type="dxa"/>
            <w:vMerge w:val="continue"/>
            <w:noWrap w:val="0"/>
            <w:vAlign w:val="center"/>
          </w:tcPr>
          <w:p>
            <w:pPr>
              <w:spacing w:line="240" w:lineRule="auto"/>
              <w:jc w:val="center"/>
              <w:rPr>
                <w:rFonts w:ascii="宋体" w:hAnsi="宋体" w:eastAsia="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noWrap w:val="0"/>
            <w:vAlign w:val="center"/>
          </w:tcPr>
          <w:p>
            <w:pPr>
              <w:spacing w:line="240" w:lineRule="auto"/>
              <w:jc w:val="center"/>
              <w:rPr>
                <w:rFonts w:ascii="宋体" w:hAnsi="宋体" w:eastAsia="宋体" w:cs="宋体"/>
                <w:sz w:val="21"/>
                <w:szCs w:val="21"/>
              </w:rPr>
            </w:pPr>
            <w:r>
              <w:rPr>
                <w:rFonts w:ascii="宋体" w:hAnsi="宋体" w:eastAsia="宋体" w:cs="宋体"/>
                <w:sz w:val="21"/>
                <w:szCs w:val="21"/>
              </w:rPr>
              <w:t>3</w:t>
            </w:r>
          </w:p>
        </w:tc>
        <w:tc>
          <w:tcPr>
            <w:tcW w:w="1328"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结绳训练(场景式)</w:t>
            </w:r>
          </w:p>
        </w:tc>
        <w:tc>
          <w:tcPr>
            <w:tcW w:w="5872" w:type="dxa"/>
            <w:noWrap w:val="0"/>
            <w:vAlign w:val="center"/>
          </w:tcPr>
          <w:p>
            <w:pPr>
              <w:spacing w:after="120" w:line="240" w:lineRule="auto"/>
              <w:rPr>
                <w:rFonts w:ascii="宋体" w:hAnsi="宋体" w:eastAsia="宋体" w:cs="宋体"/>
                <w:sz w:val="21"/>
                <w:szCs w:val="21"/>
              </w:rPr>
            </w:pPr>
            <w:r>
              <w:rPr>
                <w:rFonts w:hint="eastAsia" w:ascii="宋体" w:hAnsi="宋体" w:eastAsia="宋体" w:cs="宋体"/>
                <w:sz w:val="21"/>
                <w:szCs w:val="21"/>
              </w:rPr>
              <w:t>1.结绳教学系统：通过触摸点播基础绳结、结绳绳结、固定绳结、保护绳结、学生生活实用绳结等视频演示教学，也可通过图文教学一步步学习结绳方法，每种绳结都配有小知识环节了解结绳所使用的环境及注意事项</w:t>
            </w:r>
          </w:p>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2.结绳训练套装：训练结绳图：20种以上；风格：巨幅场景式背景；材料：雪弗板+UV；尺寸：每块不小于30×40cm；训练架：不锈钢钢管；</w:t>
            </w:r>
          </w:p>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3.智能一体机（壁挂）：42寸红外触摸屏；intel I3处理器；4G存储器；集成显卡；64G固态硬盘；</w:t>
            </w:r>
          </w:p>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4.安全训练绳：直径:8mm；长:</w:t>
            </w:r>
            <w:r>
              <w:rPr>
                <w:rFonts w:hint="eastAsia" w:ascii="宋体" w:hAnsi="宋体" w:eastAsia="宋体" w:cs="宋体"/>
                <w:sz w:val="21"/>
                <w:szCs w:val="21"/>
                <w:lang w:val="zh-CN"/>
              </w:rPr>
              <w:t>≥</w:t>
            </w:r>
            <w:r>
              <w:rPr>
                <w:rFonts w:hint="eastAsia" w:ascii="宋体" w:hAnsi="宋体" w:eastAsia="宋体" w:cs="宋体"/>
                <w:sz w:val="21"/>
                <w:szCs w:val="21"/>
              </w:rPr>
              <w:t>3m；材料：丙纶。</w:t>
            </w:r>
          </w:p>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5.教学设计要求：</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（1）通过实物与图文结绳步骤展示。</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（2）配合点播式结绳教学视频演练系统，教导正确的结绳方法。</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（3）要求有不少于10种不同场景下的正确结绳逃生技能。</w:t>
            </w:r>
          </w:p>
        </w:tc>
        <w:tc>
          <w:tcPr>
            <w:tcW w:w="715"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w:t>
            </w:r>
          </w:p>
        </w:tc>
        <w:tc>
          <w:tcPr>
            <w:tcW w:w="70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9" w:hRule="atLeast"/>
          <w:jc w:val="center"/>
        </w:trPr>
        <w:tc>
          <w:tcPr>
            <w:tcW w:w="705" w:type="dxa"/>
            <w:noWrap w:val="0"/>
            <w:vAlign w:val="center"/>
          </w:tcPr>
          <w:p>
            <w:pPr>
              <w:spacing w:line="240" w:lineRule="auto"/>
              <w:jc w:val="center"/>
              <w:rPr>
                <w:rFonts w:ascii="宋体" w:hAnsi="宋体" w:eastAsia="宋体" w:cs="宋体"/>
                <w:sz w:val="21"/>
                <w:szCs w:val="21"/>
              </w:rPr>
            </w:pPr>
            <w:r>
              <w:rPr>
                <w:rFonts w:ascii="宋体" w:hAnsi="宋体" w:eastAsia="宋体" w:cs="宋体"/>
                <w:sz w:val="21"/>
                <w:szCs w:val="21"/>
              </w:rPr>
              <w:t>4</w:t>
            </w:r>
          </w:p>
        </w:tc>
        <w:tc>
          <w:tcPr>
            <w:tcW w:w="1328"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醉酒行走体验</w:t>
            </w:r>
          </w:p>
        </w:tc>
        <w:tc>
          <w:tcPr>
            <w:tcW w:w="5872" w:type="dxa"/>
            <w:noWrap w:val="0"/>
            <w:vAlign w:val="center"/>
          </w:tcPr>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1.醉酒模拟眼镜</w:t>
            </w:r>
          </w:p>
          <w:p>
            <w:pPr>
              <w:spacing w:after="120" w:line="240" w:lineRule="auto"/>
              <w:rPr>
                <w:rFonts w:ascii="宋体" w:hAnsi="宋体" w:eastAsia="宋体" w:cs="宋体"/>
                <w:sz w:val="21"/>
                <w:szCs w:val="21"/>
              </w:rPr>
            </w:pPr>
            <w:r>
              <w:rPr>
                <w:rFonts w:hint="eastAsia" w:ascii="宋体" w:hAnsi="宋体" w:eastAsia="宋体" w:cs="宋体"/>
                <w:sz w:val="21"/>
                <w:szCs w:val="21"/>
              </w:rPr>
              <w:t>采用透镜技术，增加棱镜的强度区别模拟的度数；</w:t>
            </w:r>
          </w:p>
          <w:p>
            <w:pPr>
              <w:spacing w:after="120" w:line="240" w:lineRule="auto"/>
              <w:rPr>
                <w:rFonts w:ascii="宋体" w:hAnsi="宋体" w:eastAsia="宋体" w:cs="宋体"/>
                <w:sz w:val="21"/>
                <w:szCs w:val="21"/>
              </w:rPr>
            </w:pPr>
            <w:r>
              <w:rPr>
                <w:rFonts w:hint="eastAsia" w:ascii="宋体" w:hAnsi="宋体" w:eastAsia="宋体" w:cs="宋体"/>
                <w:sz w:val="21"/>
                <w:szCs w:val="21"/>
              </w:rPr>
              <w:t>估计BAC水平：模拟醉酒（40-60）mg/100ml、（60-80）mg/100ml、（80-150）mg/100ml；</w:t>
            </w:r>
          </w:p>
          <w:p>
            <w:pPr>
              <w:spacing w:after="120" w:line="240" w:lineRule="auto"/>
              <w:rPr>
                <w:rFonts w:ascii="宋体" w:hAnsi="宋体" w:eastAsia="宋体" w:cs="宋体"/>
                <w:sz w:val="21"/>
                <w:szCs w:val="21"/>
              </w:rPr>
            </w:pPr>
            <w:r>
              <w:rPr>
                <w:rFonts w:hint="eastAsia" w:ascii="宋体" w:hAnsi="宋体" w:eastAsia="宋体" w:cs="宋体"/>
                <w:sz w:val="21"/>
                <w:szCs w:val="21"/>
              </w:rPr>
              <w:t>效果及作用：感受到平衡感变差、判断受损、灵活性变差、难于命中目标和反应时间变慢，模拟效果更接近现实的视觉体验。</w:t>
            </w:r>
          </w:p>
          <w:p>
            <w:pPr>
              <w:spacing w:after="120" w:line="240" w:lineRule="auto"/>
              <w:rPr>
                <w:rFonts w:ascii="宋体" w:hAnsi="宋体" w:eastAsia="宋体" w:cs="宋体"/>
                <w:sz w:val="21"/>
                <w:szCs w:val="21"/>
              </w:rPr>
            </w:pPr>
            <w:r>
              <w:rPr>
                <w:rFonts w:hint="eastAsia" w:ascii="宋体" w:hAnsi="宋体" w:eastAsia="宋体" w:cs="宋体"/>
                <w:sz w:val="21"/>
                <w:szCs w:val="21"/>
              </w:rPr>
              <w:t>2.醉酒模拟行走垫</w:t>
            </w:r>
          </w:p>
          <w:p>
            <w:pPr>
              <w:spacing w:after="120" w:line="240" w:lineRule="auto"/>
              <w:rPr>
                <w:rFonts w:ascii="宋体" w:hAnsi="宋体" w:eastAsia="宋体" w:cs="宋体"/>
                <w:sz w:val="21"/>
                <w:szCs w:val="21"/>
              </w:rPr>
            </w:pPr>
            <w:r>
              <w:rPr>
                <w:rFonts w:hint="eastAsia" w:ascii="宋体" w:hAnsi="宋体" w:eastAsia="宋体" w:cs="宋体"/>
                <w:sz w:val="21"/>
                <w:szCs w:val="21"/>
              </w:rPr>
              <w:t>尺寸：约3m×4m</w:t>
            </w:r>
            <w:r>
              <w:rPr>
                <w:rFonts w:hint="eastAsia" w:ascii="宋体" w:hAnsi="宋体" w:eastAsia="宋体" w:cs="宋体"/>
                <w:sz w:val="21"/>
                <w:szCs w:val="21"/>
                <w:lang w:eastAsia="zh-CN"/>
              </w:rPr>
              <w:t>；</w:t>
            </w:r>
            <w:r>
              <w:rPr>
                <w:rFonts w:hint="eastAsia" w:ascii="宋体" w:hAnsi="宋体" w:eastAsia="宋体" w:cs="宋体"/>
                <w:sz w:val="21"/>
                <w:szCs w:val="21"/>
              </w:rPr>
              <w:t>材料：刀刮布</w:t>
            </w:r>
            <w:r>
              <w:rPr>
                <w:rFonts w:hint="eastAsia" w:ascii="宋体" w:hAnsi="宋体" w:eastAsia="宋体" w:cs="宋体"/>
                <w:sz w:val="21"/>
                <w:szCs w:val="21"/>
                <w:lang w:eastAsia="zh-CN"/>
              </w:rPr>
              <w:t>；</w:t>
            </w:r>
            <w:r>
              <w:rPr>
                <w:rFonts w:hint="eastAsia" w:ascii="宋体" w:hAnsi="宋体" w:eastAsia="宋体" w:cs="宋体"/>
                <w:sz w:val="21"/>
                <w:szCs w:val="21"/>
              </w:rPr>
              <w:t>工艺：UV</w:t>
            </w:r>
          </w:p>
          <w:p>
            <w:pPr>
              <w:spacing w:after="120" w:line="240" w:lineRule="auto"/>
              <w:rPr>
                <w:rFonts w:ascii="宋体" w:hAnsi="宋体" w:eastAsia="宋体" w:cs="宋体"/>
                <w:sz w:val="21"/>
                <w:szCs w:val="21"/>
              </w:rPr>
            </w:pPr>
            <w:r>
              <w:rPr>
                <w:rFonts w:hint="eastAsia" w:ascii="宋体" w:hAnsi="宋体" w:eastAsia="宋体" w:cs="宋体"/>
                <w:sz w:val="21"/>
                <w:szCs w:val="21"/>
              </w:rPr>
              <w:t>3.体验道具</w:t>
            </w:r>
          </w:p>
          <w:p>
            <w:pPr>
              <w:spacing w:after="120" w:line="240" w:lineRule="auto"/>
              <w:rPr>
                <w:rFonts w:ascii="宋体" w:hAnsi="宋体" w:eastAsia="宋体" w:cs="宋体"/>
                <w:sz w:val="21"/>
                <w:szCs w:val="21"/>
              </w:rPr>
            </w:pPr>
            <w:r>
              <w:rPr>
                <w:rFonts w:hint="eastAsia" w:ascii="宋体" w:hAnsi="宋体" w:eastAsia="宋体" w:cs="宋体"/>
                <w:sz w:val="21"/>
                <w:szCs w:val="21"/>
              </w:rPr>
              <w:t>材质：PVC</w:t>
            </w:r>
            <w:r>
              <w:rPr>
                <w:rFonts w:hint="eastAsia" w:ascii="宋体" w:hAnsi="宋体" w:eastAsia="宋体" w:cs="宋体"/>
                <w:sz w:val="21"/>
                <w:szCs w:val="21"/>
                <w:lang w:eastAsia="zh-CN"/>
              </w:rPr>
              <w:t>；</w:t>
            </w:r>
            <w:r>
              <w:rPr>
                <w:rFonts w:hint="eastAsia" w:ascii="宋体" w:hAnsi="宋体" w:eastAsia="宋体" w:cs="宋体"/>
                <w:sz w:val="21"/>
                <w:szCs w:val="21"/>
              </w:rPr>
              <w:t>性能：耐热、耐寒、不裂、环保</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4.教学内容设计要求</w:t>
            </w:r>
          </w:p>
          <w:p>
            <w:pPr>
              <w:spacing w:after="120" w:line="240" w:lineRule="auto"/>
              <w:rPr>
                <w:rFonts w:ascii="宋体" w:hAnsi="宋体" w:eastAsia="宋体" w:cs="宋体"/>
                <w:sz w:val="21"/>
                <w:szCs w:val="21"/>
              </w:rPr>
            </w:pPr>
            <w:r>
              <w:rPr>
                <w:rFonts w:hint="eastAsia" w:ascii="宋体" w:hAnsi="宋体" w:eastAsia="宋体" w:cs="宋体"/>
                <w:sz w:val="21"/>
                <w:szCs w:val="21"/>
              </w:rPr>
              <w:t>（1）了解和认识不同程度醉酒后的危害；</w:t>
            </w:r>
          </w:p>
          <w:p>
            <w:pPr>
              <w:spacing w:after="120" w:line="240" w:lineRule="auto"/>
              <w:rPr>
                <w:rFonts w:ascii="宋体" w:hAnsi="宋体" w:eastAsia="宋体" w:cs="宋体"/>
                <w:sz w:val="21"/>
                <w:szCs w:val="21"/>
              </w:rPr>
            </w:pPr>
            <w:r>
              <w:rPr>
                <w:rFonts w:hint="eastAsia" w:ascii="宋体" w:hAnsi="宋体" w:eastAsia="宋体" w:cs="宋体"/>
                <w:sz w:val="21"/>
                <w:szCs w:val="21"/>
              </w:rPr>
              <w:t>（2）体验醉酒后身体失控的状况。</w:t>
            </w:r>
          </w:p>
        </w:tc>
        <w:tc>
          <w:tcPr>
            <w:tcW w:w="715"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w:t>
            </w:r>
          </w:p>
        </w:tc>
        <w:tc>
          <w:tcPr>
            <w:tcW w:w="70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项</w:t>
            </w:r>
          </w:p>
        </w:tc>
      </w:tr>
    </w:tbl>
    <w:p>
      <w:pPr>
        <w:spacing w:line="320" w:lineRule="exact"/>
        <w:jc w:val="left"/>
        <w:rPr>
          <w:rFonts w:ascii="宋体" w:hAnsi="宋体" w:cs="宋体"/>
          <w:b/>
          <w:color w:val="auto"/>
          <w:sz w:val="28"/>
          <w:szCs w:val="28"/>
        </w:rPr>
      </w:pPr>
    </w:p>
    <w:p>
      <w:pPr>
        <w:pStyle w:val="11"/>
        <w:spacing w:line="360" w:lineRule="auto"/>
        <w:jc w:val="center"/>
        <w:rPr>
          <w:rFonts w:hint="eastAsia" w:ascii="宋体" w:hAnsi="宋体" w:eastAsia="宋体" w:cs="宋体"/>
          <w:b w:val="0"/>
          <w:bCs w:val="0"/>
          <w:color w:val="auto"/>
          <w:sz w:val="32"/>
          <w:szCs w:val="32"/>
          <w:highlight w:val="none"/>
          <w:lang w:val="en-US" w:eastAsia="zh-CN"/>
        </w:rPr>
      </w:pPr>
    </w:p>
    <w:p>
      <w:pPr>
        <w:pStyle w:val="11"/>
        <w:spacing w:line="360" w:lineRule="auto"/>
        <w:jc w:val="center"/>
        <w:rPr>
          <w:rFonts w:hint="eastAsia" w:ascii="宋体" w:hAnsi="宋体" w:eastAsia="宋体" w:cs="宋体"/>
          <w:b w:val="0"/>
          <w:bCs w:val="0"/>
          <w:color w:val="auto"/>
          <w:sz w:val="28"/>
          <w:szCs w:val="28"/>
          <w:highlight w:val="none"/>
        </w:rPr>
      </w:pPr>
      <w:r>
        <w:rPr>
          <w:rFonts w:hint="eastAsia" w:ascii="宋体" w:hAnsi="宋体" w:eastAsia="宋体" w:cs="宋体"/>
          <w:b/>
          <w:bCs/>
          <w:color w:val="auto"/>
          <w:sz w:val="32"/>
          <w:szCs w:val="32"/>
          <w:highlight w:val="none"/>
          <w:lang w:val="en-US" w:eastAsia="zh-CN"/>
        </w:rPr>
        <w:t>第五章</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采购合同</w:t>
      </w:r>
      <w:bookmarkEnd w:id="10"/>
      <w:bookmarkEnd w:id="11"/>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略</w:t>
      </w:r>
      <w:r>
        <w:rPr>
          <w:rFonts w:hint="eastAsia" w:ascii="宋体" w:hAnsi="宋体" w:eastAsia="宋体" w:cs="宋体"/>
          <w:b/>
          <w:bCs/>
          <w:color w:val="auto"/>
          <w:sz w:val="32"/>
          <w:szCs w:val="32"/>
          <w:highlight w:val="none"/>
          <w:lang w:eastAsia="zh-CN"/>
        </w:rPr>
        <w:t>）</w:t>
      </w:r>
      <w:r>
        <w:rPr>
          <w:rFonts w:hint="eastAsia" w:ascii="宋体" w:hAnsi="宋体" w:eastAsia="宋体" w:cs="宋体"/>
          <w:b w:val="0"/>
          <w:bCs w:val="0"/>
          <w:color w:val="auto"/>
          <w:sz w:val="32"/>
          <w:szCs w:val="32"/>
          <w:highlight w:val="none"/>
        </w:rPr>
        <w:br w:type="textWrapping"/>
      </w:r>
      <w:r>
        <w:rPr>
          <w:rFonts w:hint="eastAsia" w:ascii="宋体" w:hAnsi="宋体" w:eastAsia="宋体" w:cs="宋体"/>
          <w:b w:val="0"/>
          <w:bCs w:val="0"/>
          <w:color w:val="auto"/>
          <w:sz w:val="28"/>
          <w:szCs w:val="28"/>
          <w:highlight w:val="none"/>
        </w:rPr>
        <w:t>根据实际签订的采购合同</w:t>
      </w:r>
    </w:p>
    <w:p>
      <w:pPr>
        <w:rPr>
          <w:rFonts w:hint="eastAsia"/>
        </w:rPr>
      </w:pPr>
    </w:p>
    <w:p>
      <w:pPr>
        <w:pStyle w:val="3"/>
        <w:spacing w:line="360" w:lineRule="auto"/>
        <w:jc w:val="cente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3"/>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第六章 </w:t>
      </w:r>
      <w:r>
        <w:rPr>
          <w:rFonts w:hint="eastAsia" w:ascii="宋体" w:hAnsi="宋体" w:eastAsia="宋体" w:cs="宋体"/>
          <w:color w:val="auto"/>
          <w:sz w:val="28"/>
          <w:szCs w:val="28"/>
          <w:highlight w:val="none"/>
          <w:lang w:eastAsia="zh-CN"/>
        </w:rPr>
        <w:t>比选</w:t>
      </w:r>
      <w:r>
        <w:rPr>
          <w:rFonts w:hint="eastAsia" w:ascii="宋体" w:hAnsi="宋体" w:eastAsia="宋体" w:cs="宋体"/>
          <w:color w:val="auto"/>
          <w:sz w:val="28"/>
          <w:szCs w:val="28"/>
          <w:highlight w:val="none"/>
        </w:rPr>
        <w:t>响应文件格式</w:t>
      </w:r>
    </w:p>
    <w:p>
      <w:pPr>
        <w:pStyle w:val="48"/>
        <w:wordWrap w:val="0"/>
        <w:adjustRightInd/>
        <w:spacing w:line="360" w:lineRule="auto"/>
        <w:jc w:val="both"/>
        <w:rPr>
          <w:rFonts w:hint="eastAsia" w:ascii="宋体" w:hAnsi="宋体" w:eastAsia="宋体" w:cs="宋体"/>
          <w:b/>
          <w:color w:val="auto"/>
          <w:sz w:val="28"/>
          <w:szCs w:val="28"/>
          <w:highlight w:val="none"/>
        </w:rPr>
      </w:pPr>
    </w:p>
    <w:p>
      <w:pPr>
        <w:pStyle w:val="29"/>
        <w:ind w:left="0" w:leftChars="0" w:firstLine="0" w:firstLineChars="0"/>
        <w:rPr>
          <w:rFonts w:hint="eastAsia"/>
          <w:color w:val="auto"/>
          <w:highlight w:val="none"/>
        </w:rPr>
      </w:pPr>
    </w:p>
    <w:p>
      <w:pPr>
        <w:pStyle w:val="66"/>
        <w:wordWrap w:val="0"/>
        <w:spacing w:line="360" w:lineRule="auto"/>
        <w:ind w:firstLine="0" w:firstLineChars="0"/>
        <w:jc w:val="center"/>
        <w:rPr>
          <w:rFonts w:hint="eastAsia" w:ascii="宋体" w:hAnsi="宋体" w:eastAsia="宋体" w:cs="宋体"/>
          <w:color w:val="auto"/>
          <w:highlight w:val="none"/>
        </w:rPr>
      </w:pPr>
      <w:r>
        <w:rPr>
          <w:rFonts w:hint="eastAsia" w:ascii="宋体" w:hAnsi="宋体" w:cs="宋体"/>
          <w:color w:val="auto"/>
          <w:highlight w:val="none"/>
          <w:lang w:eastAsia="zh-CN"/>
        </w:rPr>
        <w:t>比选</w:t>
      </w:r>
      <w:r>
        <w:rPr>
          <w:rFonts w:hint="eastAsia" w:ascii="宋体" w:hAnsi="宋体" w:eastAsia="宋体" w:cs="宋体"/>
          <w:color w:val="auto"/>
          <w:highlight w:val="none"/>
        </w:rPr>
        <w:t>响应文件</w:t>
      </w: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pPr>
        <w:wordWrap w:val="0"/>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1960" w:firstLineChars="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宋体"/>
          <w:color w:val="auto"/>
          <w:kern w:val="0"/>
          <w:sz w:val="28"/>
          <w:szCs w:val="28"/>
          <w:highlight w:val="none"/>
        </w:rPr>
        <w:t>（供应商签章）</w:t>
      </w:r>
    </w:p>
    <w:p>
      <w:pPr>
        <w:wordWrap w:val="0"/>
        <w:spacing w:line="360" w:lineRule="auto"/>
        <w:ind w:firstLine="1968" w:firstLineChars="700"/>
        <w:rPr>
          <w:rFonts w:hint="eastAsia" w:ascii="宋体" w:hAnsi="宋体" w:eastAsia="宋体" w:cs="宋体"/>
          <w:b/>
          <w:color w:val="auto"/>
          <w:sz w:val="28"/>
          <w:szCs w:val="28"/>
          <w:highlight w:val="none"/>
          <w:u w:val="single"/>
        </w:rPr>
      </w:pPr>
    </w:p>
    <w:p>
      <w:pPr>
        <w:pStyle w:val="7"/>
        <w:rPr>
          <w:rFonts w:hint="eastAsia" w:ascii="宋体" w:hAnsi="宋体" w:eastAsia="宋体" w:cs="宋体"/>
          <w:b/>
          <w:color w:val="auto"/>
          <w:sz w:val="28"/>
          <w:szCs w:val="28"/>
          <w:highlight w:val="none"/>
          <w:u w:val="single"/>
        </w:rPr>
      </w:pPr>
    </w:p>
    <w:p>
      <w:pPr>
        <w:pStyle w:val="10"/>
        <w:rPr>
          <w:rFonts w:hint="eastAsia" w:ascii="宋体" w:hAnsi="宋体" w:eastAsia="宋体" w:cs="宋体"/>
          <w:b/>
          <w:color w:val="auto"/>
          <w:sz w:val="28"/>
          <w:szCs w:val="28"/>
          <w:highlight w:val="none"/>
          <w:u w:val="single"/>
        </w:rPr>
      </w:pPr>
    </w:p>
    <w:p>
      <w:pPr>
        <w:pStyle w:val="10"/>
        <w:rPr>
          <w:rFonts w:hint="eastAsia" w:ascii="宋体" w:hAnsi="宋体" w:eastAsia="宋体" w:cs="宋体"/>
          <w:b/>
          <w:color w:val="auto"/>
          <w:sz w:val="28"/>
          <w:szCs w:val="28"/>
          <w:highlight w:val="none"/>
          <w:u w:val="single"/>
        </w:rPr>
      </w:pPr>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8"/>
          <w:szCs w:val="28"/>
          <w:highlight w:val="none"/>
        </w:rPr>
        <w:t>年   月   日</w:t>
      </w:r>
    </w:p>
    <w:p>
      <w:pPr>
        <w:pStyle w:val="66"/>
        <w:spacing w:line="360" w:lineRule="auto"/>
        <w:ind w:firstLine="0" w:firstLineChars="0"/>
        <w:jc w:val="center"/>
        <w:rPr>
          <w:rFonts w:hint="eastAsia" w:ascii="宋体" w:hAnsi="宋体" w:eastAsia="宋体" w:cs="宋体"/>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p>
    <w:p>
      <w:pPr>
        <w:pStyle w:val="66"/>
        <w:spacing w:line="360" w:lineRule="auto"/>
        <w:ind w:firstLine="0" w:firstLineChars="0"/>
        <w:jc w:val="center"/>
        <w:rPr>
          <w:rFonts w:hint="eastAsia" w:ascii="宋体" w:hAnsi="宋体" w:eastAsia="宋体" w:cs="宋体"/>
          <w:color w:val="auto"/>
          <w:highlight w:val="none"/>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一、资格、技术商务部分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响应函</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5、履行合同所必需的设备专业技术能力证明文件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6、售后服务</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7、业绩证明材料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文件要求的其他材料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二、报价部分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1、报价表</w:t>
      </w: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一、资格、技术商务部分</w:t>
      </w:r>
    </w:p>
    <w:p>
      <w:pPr>
        <w:pStyle w:val="66"/>
        <w:spacing w:line="360" w:lineRule="auto"/>
        <w:ind w:firstLine="0" w:firstLineChars="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1、需要提供的资质证明文件（复印件）</w:t>
      </w:r>
    </w:p>
    <w:p>
      <w:pPr>
        <w:spacing w:line="360" w:lineRule="auto"/>
        <w:ind w:firstLine="480" w:firstLineChars="200"/>
        <w:rPr>
          <w:rFonts w:hint="eastAsia" w:ascii="宋体" w:hAnsi="宋体" w:eastAsia="宋体" w:cs="宋体"/>
          <w:color w:val="auto"/>
          <w:sz w:val="24"/>
          <w:szCs w:val="24"/>
          <w:highlight w:val="none"/>
        </w:rPr>
      </w:pPr>
    </w:p>
    <w:p>
      <w:pPr>
        <w:pStyle w:val="7"/>
        <w:rPr>
          <w:rFonts w:hint="eastAsia"/>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（采购单位名称）</w:t>
      </w:r>
      <w:r>
        <w:rPr>
          <w:rFonts w:hint="eastAsia" w:ascii="宋体" w:hAnsi="宋体" w:eastAsia="宋体" w:cs="宋体"/>
          <w:color w:val="auto"/>
          <w:sz w:val="24"/>
          <w:szCs w:val="24"/>
          <w:highlight w:val="none"/>
        </w:rPr>
        <w:t>：</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比选</w:t>
      </w:r>
      <w:r>
        <w:rPr>
          <w:rFonts w:hint="eastAsia" w:ascii="宋体" w:hAnsi="宋体" w:eastAsia="宋体" w:cs="宋体"/>
          <w:color w:val="auto"/>
          <w:sz w:val="24"/>
          <w:szCs w:val="24"/>
          <w:highlight w:val="none"/>
          <w:u w:val="single"/>
        </w:rPr>
        <w:t>响应人名称）</w:t>
      </w:r>
      <w:r>
        <w:rPr>
          <w:rFonts w:hint="eastAsia" w:ascii="宋体" w:hAnsi="宋体" w:eastAsia="宋体" w:cs="宋体"/>
          <w:color w:val="auto"/>
          <w:sz w:val="24"/>
          <w:szCs w:val="24"/>
          <w:highlight w:val="none"/>
        </w:rPr>
        <w:t>授权本单位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比选</w:t>
      </w:r>
      <w:r>
        <w:rPr>
          <w:rFonts w:hint="eastAsia" w:ascii="宋体" w:hAnsi="宋体" w:eastAsia="宋体" w:cs="宋体"/>
          <w:color w:val="auto"/>
          <w:sz w:val="24"/>
          <w:szCs w:val="24"/>
          <w:highlight w:val="none"/>
          <w:u w:val="single"/>
        </w:rPr>
        <w:t>响应人授权代表姓名、职务）</w:t>
      </w:r>
      <w:r>
        <w:rPr>
          <w:rFonts w:hint="eastAsia" w:ascii="宋体" w:hAnsi="宋体" w:eastAsia="宋体" w:cs="宋体"/>
          <w:color w:val="auto"/>
          <w:sz w:val="24"/>
          <w:szCs w:val="24"/>
          <w:highlight w:val="none"/>
        </w:rPr>
        <w:t>代表本单位参加</w:t>
      </w:r>
      <w:r>
        <w:rPr>
          <w:rFonts w:hint="eastAsia" w:ascii="宋体" w:hAnsi="宋体" w:eastAsia="宋体" w:cs="宋体"/>
          <w:color w:val="auto"/>
          <w:sz w:val="24"/>
          <w:szCs w:val="24"/>
          <w:highlight w:val="none"/>
          <w:u w:val="single"/>
        </w:rPr>
        <w:t xml:space="preserve">             （项目全称）</w:t>
      </w:r>
      <w:r>
        <w:rPr>
          <w:rFonts w:hint="eastAsia" w:ascii="宋体" w:hAnsi="宋体" w:eastAsia="宋体" w:cs="宋体"/>
          <w:color w:val="auto"/>
          <w:sz w:val="24"/>
          <w:szCs w:val="24"/>
          <w:highlight w:val="none"/>
        </w:rPr>
        <w:t>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响应活动,全权代表本公司处理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响应过程的一切事宜，包括但不限于：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响应、参与开标、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、合同签署、合同执行等。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响应人授权代表在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响应过程中所签署的一切文件和处理与之有关的一切事务，本公司均予以认可并对此承担责任。</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响应人授权代表无转委托权。特此授权。</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本授权书自出具之日起生效。</w:t>
      </w:r>
    </w:p>
    <w:p>
      <w:pPr>
        <w:spacing w:line="360" w:lineRule="auto"/>
        <w:ind w:firstLine="482" w:firstLineChars="200"/>
        <w:rPr>
          <w:rFonts w:hint="eastAsia" w:ascii="宋体" w:hAnsi="宋体" w:eastAsia="宋体" w:cs="宋体"/>
          <w:b/>
          <w:bCs/>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特此声明。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spacing w:line="360" w:lineRule="auto"/>
        <w:ind w:firstLine="420" w:firstLineChars="20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p>
    <w:p>
      <w:pPr>
        <w:spacing w:line="360" w:lineRule="auto"/>
        <w:ind w:firstLine="2880" w:firstLineChars="1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响应人</w:t>
      </w:r>
      <w:r>
        <w:rPr>
          <w:rFonts w:hint="eastAsia" w:ascii="宋体" w:hAnsi="宋体" w:cs="宋体"/>
          <w:color w:val="auto"/>
          <w:sz w:val="24"/>
          <w:szCs w:val="24"/>
          <w:highlight w:val="none"/>
          <w:lang w:eastAsia="zh-CN"/>
        </w:rPr>
        <w:t>（授权代表人）</w:t>
      </w:r>
      <w:r>
        <w:rPr>
          <w:rFonts w:hint="eastAsia" w:ascii="宋体" w:hAnsi="宋体" w:eastAsia="宋体" w:cs="宋体"/>
          <w:color w:val="auto"/>
          <w:sz w:val="24"/>
          <w:szCs w:val="24"/>
          <w:highlight w:val="none"/>
        </w:rPr>
        <w:t>签章：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3360" w:firstLineChars="1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w:t>
      </w:r>
    </w:p>
    <w:p>
      <w:pPr>
        <w:pStyle w:val="66"/>
        <w:spacing w:line="360" w:lineRule="auto"/>
        <w:ind w:left="0" w:leftChars="0" w:firstLine="0" w:firstLineChars="0"/>
        <w:rPr>
          <w:rFonts w:hint="eastAsia" w:ascii="宋体" w:hAnsi="宋体" w:eastAsia="宋体" w:cs="宋体"/>
          <w:color w:val="auto"/>
          <w:highlight w:val="none"/>
        </w:rPr>
      </w:pPr>
    </w:p>
    <w:p>
      <w:pPr>
        <w:pStyle w:val="66"/>
        <w:spacing w:line="360" w:lineRule="auto"/>
        <w:ind w:left="0" w:leftChars="0" w:firstLine="0" w:firstLineChars="0"/>
        <w:rPr>
          <w:rFonts w:hint="eastAsia" w:ascii="宋体" w:hAnsi="宋体" w:eastAsia="宋体" w:cs="宋体"/>
          <w:color w:val="auto"/>
          <w:highlight w:val="none"/>
        </w:rPr>
      </w:pPr>
    </w:p>
    <w:p>
      <w:pPr>
        <w:pStyle w:val="66"/>
        <w:spacing w:line="360" w:lineRule="auto"/>
        <w:ind w:left="0" w:leftChars="0" w:firstLine="0" w:firstLineChars="0"/>
        <w:rPr>
          <w:rFonts w:hint="eastAsia" w:ascii="宋体" w:hAnsi="宋体" w:eastAsia="宋体" w:cs="宋体"/>
          <w:color w:val="auto"/>
          <w:highlight w:val="none"/>
        </w:rPr>
      </w:pPr>
    </w:p>
    <w:p>
      <w:pPr>
        <w:pStyle w:val="66"/>
        <w:numPr>
          <w:ilvl w:val="0"/>
          <w:numId w:val="0"/>
        </w:numPr>
        <w:spacing w:line="360" w:lineRule="auto"/>
        <w:jc w:val="center"/>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lang w:eastAsia="zh-CN"/>
        </w:rPr>
        <w:t>比选</w:t>
      </w:r>
      <w:r>
        <w:rPr>
          <w:rFonts w:hint="eastAsia" w:ascii="宋体" w:hAnsi="宋体" w:eastAsia="宋体" w:cs="宋体"/>
          <w:color w:val="auto"/>
          <w:highlight w:val="none"/>
        </w:rPr>
        <w:t>响应函格式</w:t>
      </w:r>
    </w:p>
    <w:p>
      <w:pPr>
        <w:pStyle w:val="66"/>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（采购单位名称）：</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lang w:eastAsia="zh-CN"/>
        </w:rPr>
        <w:t>公告</w:t>
      </w:r>
      <w:r>
        <w:rPr>
          <w:rFonts w:hint="eastAsia" w:ascii="宋体" w:hAnsi="宋体" w:eastAsia="宋体" w:cs="宋体"/>
          <w:color w:val="auto"/>
          <w:sz w:val="24"/>
          <w:szCs w:val="24"/>
          <w:highlight w:val="none"/>
        </w:rPr>
        <w:t>，我们决定参加贵方组织的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采购活动。我方授权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响应单位的名称）全权处理本项目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响应的有关事宜。</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5、至投标截止日，我方未被铜陵市公共资源交易监管部门记不良行为记录累计分值在 15 分（含）-20 分（不含），且最近一次不良行为记录公布日距开标日未超过 6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6、至投标截止日，我方未被铜陵市公共资源交易监管部门记不良行为记录累计分值达 20 分（含）以上，且最近一次不良行为记录公布日距开标日未超过 12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、我方愿意按照采购文件规定的各项要求，向采购人提供所需的货物与服务。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、一旦我方中标，我方将严格履行合同规定的责任和义务。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、我方同意按照</w:t>
      </w:r>
      <w:r>
        <w:rPr>
          <w:rFonts w:hint="eastAsia" w:ascii="宋体" w:hAnsi="宋体" w:cs="宋体"/>
          <w:color w:val="auto"/>
          <w:sz w:val="24"/>
          <w:szCs w:val="24"/>
          <w:highlight w:val="none"/>
          <w:lang w:val="en-US" w:eastAsia="zh-CN"/>
        </w:rPr>
        <w:t>比选</w:t>
      </w:r>
      <w:r>
        <w:rPr>
          <w:rFonts w:hint="eastAsia" w:ascii="宋体" w:hAnsi="宋体" w:eastAsia="宋体" w:cs="宋体"/>
          <w:color w:val="auto"/>
          <w:sz w:val="24"/>
          <w:szCs w:val="24"/>
          <w:highlight w:val="none"/>
        </w:rPr>
        <w:t>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、我方愿意提供贵方可能另外要求的、与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响应有关的文件资料，并保证我方已提供和将要提供的文件是真实的、准确的。</w:t>
      </w:r>
    </w:p>
    <w:p>
      <w:pPr>
        <w:tabs>
          <w:tab w:val="left" w:pos="0"/>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、我方完全理解贵方不一定将合同授予最低报价（折扣）的供应商。</w:t>
      </w:r>
    </w:p>
    <w:p>
      <w:pPr>
        <w:tabs>
          <w:tab w:val="left" w:pos="0"/>
          <w:tab w:val="left" w:pos="840"/>
        </w:tabs>
        <w:wordWrap w:val="0"/>
        <w:spacing w:line="360" w:lineRule="auto"/>
        <w:rPr>
          <w:rFonts w:hint="eastAsia" w:ascii="宋体" w:hAnsi="宋体" w:eastAsia="宋体" w:cs="宋体"/>
          <w:color w:val="auto"/>
          <w:sz w:val="24"/>
          <w:szCs w:val="24"/>
          <w:highlight w:val="none"/>
        </w:rPr>
      </w:pPr>
    </w:p>
    <w:p>
      <w:pPr>
        <w:pStyle w:val="12"/>
        <w:rPr>
          <w:rFonts w:hint="eastAsia"/>
          <w:color w:val="auto"/>
        </w:rPr>
      </w:pPr>
    </w:p>
    <w:p>
      <w:pPr>
        <w:pStyle w:val="66"/>
        <w:spacing w:line="360" w:lineRule="auto"/>
        <w:ind w:right="980" w:firstLine="422"/>
        <w:jc w:val="center"/>
        <w:rPr>
          <w:rFonts w:hint="eastAsia" w:ascii="宋体" w:hAnsi="宋体" w:eastAsia="宋体" w:cs="宋体"/>
          <w:color w:val="auto"/>
          <w:sz w:val="24"/>
          <w:szCs w:val="24"/>
          <w:highlight w:val="none"/>
        </w:rPr>
      </w:pPr>
      <w:bookmarkStart w:id="12" w:name="_Toc393705366"/>
      <w:bookmarkStart w:id="13" w:name="_Toc400805871"/>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日    期：</w:t>
      </w:r>
    </w:p>
    <w:p>
      <w:pPr>
        <w:pStyle w:val="66"/>
        <w:spacing w:line="360" w:lineRule="auto"/>
        <w:ind w:firstLine="0" w:firstLineChars="0"/>
        <w:rPr>
          <w:rFonts w:hint="eastAsia" w:ascii="宋体" w:hAnsi="宋体" w:eastAsia="宋体" w:cs="宋体"/>
          <w:color w:val="auto"/>
          <w:sz w:val="24"/>
          <w:szCs w:val="24"/>
          <w:highlight w:val="none"/>
        </w:rPr>
      </w:pPr>
    </w:p>
    <w:p>
      <w:pPr>
        <w:pStyle w:val="66"/>
        <w:spacing w:line="360" w:lineRule="auto"/>
        <w:ind w:firstLine="0" w:firstLineChars="0"/>
        <w:rPr>
          <w:rFonts w:hint="eastAsia" w:ascii="宋体" w:hAnsi="宋体" w:eastAsia="宋体" w:cs="宋体"/>
          <w:color w:val="auto"/>
          <w:sz w:val="24"/>
          <w:szCs w:val="24"/>
          <w:highlight w:val="none"/>
        </w:rPr>
      </w:pPr>
    </w:p>
    <w:p>
      <w:pPr>
        <w:pStyle w:val="66"/>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bookmarkEnd w:id="12"/>
      <w:bookmarkEnd w:id="13"/>
    </w:p>
    <w:p>
      <w:pPr>
        <w:autoSpaceDN w:val="0"/>
        <w:spacing w:after="156"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（一）供应商简介</w:t>
      </w:r>
    </w:p>
    <w:p>
      <w:pPr>
        <w:autoSpaceDN w:val="0"/>
        <w:spacing w:after="156"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（二）项目实施方案</w:t>
      </w:r>
    </w:p>
    <w:p>
      <w:pPr>
        <w:pStyle w:val="66"/>
        <w:spacing w:line="360" w:lineRule="auto"/>
        <w:ind w:firstLine="0" w:firstLineChars="0"/>
        <w:rPr>
          <w:rFonts w:hint="eastAsia" w:ascii="宋体" w:hAnsi="宋体" w:eastAsia="宋体" w:cs="宋体"/>
          <w:color w:val="auto"/>
          <w:sz w:val="24"/>
          <w:szCs w:val="24"/>
          <w:highlight w:val="none"/>
        </w:rPr>
      </w:pPr>
      <w:bookmarkStart w:id="14" w:name="_Toc393705367"/>
      <w:bookmarkStart w:id="15" w:name="_Toc400805872"/>
      <w:r>
        <w:rPr>
          <w:rFonts w:hint="eastAsia" w:ascii="宋体" w:hAnsi="宋体" w:eastAsia="宋体" w:cs="宋体"/>
          <w:color w:val="auto"/>
          <w:sz w:val="24"/>
          <w:szCs w:val="24"/>
          <w:highlight w:val="none"/>
        </w:rPr>
        <w:t>5、履行合同所必需的设备专业技术能力证明</w:t>
      </w:r>
      <w:bookmarkEnd w:id="14"/>
      <w:bookmarkEnd w:id="15"/>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（1）服务本项目主要人员一览表</w:t>
      </w:r>
    </w:p>
    <w:tbl>
      <w:tblPr>
        <w:tblStyle w:val="21"/>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7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职称或执业资格</w:t>
            </w:r>
          </w:p>
        </w:tc>
        <w:tc>
          <w:tcPr>
            <w:tcW w:w="1102" w:type="dxa"/>
            <w:vMerge w:val="restart"/>
            <w:vAlign w:val="center"/>
          </w:tcPr>
          <w:p>
            <w:pPr>
              <w:wordWrap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身份证</w:t>
            </w:r>
          </w:p>
        </w:tc>
        <w:tc>
          <w:tcPr>
            <w:tcW w:w="4022" w:type="dxa"/>
            <w:gridSpan w:val="2"/>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7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102"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400"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团队成员</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bl>
    <w:p>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注：证件应附复印件，供应商对其真实性负法律责任。</w:t>
      </w:r>
    </w:p>
    <w:p>
      <w:pPr>
        <w:pStyle w:val="66"/>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（2）其它证明。</w:t>
      </w: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6、售后服务</w:t>
      </w:r>
    </w:p>
    <w:p>
      <w:pPr>
        <w:spacing w:line="440" w:lineRule="exact"/>
        <w:rPr>
          <w:rFonts w:hint="eastAsia" w:ascii="宋体" w:hAnsi="宋体" w:eastAsia="宋体" w:cs="宋体"/>
          <w:color w:val="auto"/>
          <w:szCs w:val="21"/>
          <w:highlight w:val="none"/>
        </w:rPr>
      </w:pPr>
    </w:p>
    <w:p>
      <w:pPr>
        <w:spacing w:line="54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售后服务能力一览表</w:t>
      </w:r>
    </w:p>
    <w:tbl>
      <w:tblPr>
        <w:tblStyle w:val="21"/>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详细地址</w:t>
            </w:r>
          </w:p>
        </w:tc>
        <w:tc>
          <w:tcPr>
            <w:tcW w:w="3061" w:type="dxa"/>
            <w:vAlign w:val="center"/>
          </w:tcPr>
          <w:p>
            <w:pPr>
              <w:spacing w:line="400" w:lineRule="exact"/>
              <w:ind w:left="103" w:leftChars="4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服务人员名单</w:t>
            </w:r>
          </w:p>
        </w:tc>
        <w:tc>
          <w:tcPr>
            <w:tcW w:w="2883"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固定联系电话</w:t>
            </w:r>
          </w:p>
        </w:tc>
        <w:tc>
          <w:tcPr>
            <w:tcW w:w="1211"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bl>
    <w:p>
      <w:pPr>
        <w:pStyle w:val="66"/>
        <w:ind w:firstLine="0" w:firstLineChars="0"/>
        <w:rPr>
          <w:rFonts w:hint="eastAsia" w:ascii="宋体" w:hAnsi="宋体" w:eastAsia="宋体" w:cs="宋体"/>
          <w:bCs w:val="0"/>
          <w:color w:val="auto"/>
          <w:highlight w:val="none"/>
        </w:rPr>
      </w:pPr>
      <w:bookmarkStart w:id="16" w:name="_Toc393705369"/>
      <w:bookmarkStart w:id="17" w:name="_Toc400805873"/>
      <w:r>
        <w:rPr>
          <w:rFonts w:hint="eastAsia" w:ascii="宋体" w:hAnsi="宋体" w:eastAsia="宋体" w:cs="宋体"/>
          <w:bCs w:val="0"/>
          <w:color w:val="auto"/>
          <w:highlight w:val="none"/>
        </w:rPr>
        <w:t>7、业绩证明材料（如有）</w:t>
      </w:r>
    </w:p>
    <w:p>
      <w:pPr>
        <w:pStyle w:val="66"/>
        <w:spacing w:line="360" w:lineRule="auto"/>
        <w:ind w:firstLine="0" w:firstLineChars="0"/>
        <w:rPr>
          <w:rFonts w:hint="eastAsia" w:ascii="宋体" w:hAnsi="宋体" w:eastAsia="宋体" w:cs="宋体"/>
          <w:bCs w:val="0"/>
          <w:color w:val="auto"/>
          <w:highlight w:val="none"/>
        </w:rPr>
      </w:pPr>
      <w:r>
        <w:rPr>
          <w:rFonts w:hint="eastAsia" w:ascii="宋体" w:hAnsi="宋体" w:eastAsia="宋体" w:cs="宋体"/>
          <w:bCs w:val="0"/>
          <w:color w:val="auto"/>
          <w:highlight w:val="none"/>
        </w:rPr>
        <w:t>8、</w:t>
      </w:r>
      <w:r>
        <w:rPr>
          <w:rFonts w:hint="eastAsia" w:ascii="宋体" w:hAnsi="宋体" w:cs="宋体"/>
          <w:bCs w:val="0"/>
          <w:color w:val="auto"/>
          <w:highlight w:val="none"/>
          <w:lang w:eastAsia="zh-CN"/>
        </w:rPr>
        <w:t>比选</w:t>
      </w:r>
      <w:r>
        <w:rPr>
          <w:rFonts w:hint="eastAsia" w:ascii="宋体" w:hAnsi="宋体" w:eastAsia="宋体" w:cs="宋体"/>
          <w:bCs w:val="0"/>
          <w:color w:val="auto"/>
          <w:highlight w:val="none"/>
        </w:rPr>
        <w:t>文件要求的其它材料</w:t>
      </w:r>
      <w:bookmarkEnd w:id="16"/>
      <w:bookmarkEnd w:id="17"/>
    </w:p>
    <w:p>
      <w:pPr>
        <w:pStyle w:val="66"/>
        <w:spacing w:line="360" w:lineRule="auto"/>
        <w:ind w:firstLine="0" w:firstLineChars="0"/>
        <w:rPr>
          <w:rFonts w:hint="eastAsia" w:ascii="宋体" w:hAnsi="宋体" w:eastAsia="宋体" w:cs="宋体"/>
          <w:bCs w:val="0"/>
          <w:color w:val="auto"/>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w:t>
      </w:r>
      <w:r>
        <w:rPr>
          <w:rFonts w:hint="eastAsia" w:ascii="宋体" w:hAnsi="宋体" w:cs="宋体"/>
          <w:b/>
          <w:color w:val="auto"/>
          <w:sz w:val="28"/>
          <w:szCs w:val="28"/>
          <w:highlight w:val="none"/>
          <w:lang w:eastAsia="zh-CN"/>
        </w:rPr>
        <w:t>2023</w:t>
      </w:r>
      <w:r>
        <w:rPr>
          <w:rFonts w:hint="eastAsia" w:ascii="宋体" w:hAnsi="宋体" w:eastAsia="宋体" w:cs="宋体"/>
          <w:b/>
          <w:color w:val="auto"/>
          <w:sz w:val="28"/>
          <w:szCs w:val="28"/>
          <w:highlight w:val="none"/>
        </w:rPr>
        <w:t>年铜陵学院</w:t>
      </w:r>
      <w:r>
        <w:rPr>
          <w:rFonts w:hint="eastAsia" w:ascii="宋体" w:hAnsi="宋体" w:cs="宋体"/>
          <w:b/>
          <w:color w:val="auto"/>
          <w:sz w:val="28"/>
          <w:szCs w:val="28"/>
          <w:highlight w:val="none"/>
          <w:lang w:eastAsia="zh-CN"/>
        </w:rPr>
        <w:t>消防演练培训服务</w:t>
      </w:r>
      <w:r>
        <w:rPr>
          <w:rFonts w:hint="eastAsia" w:ascii="宋体" w:hAnsi="宋体" w:eastAsia="宋体" w:cs="宋体"/>
          <w:b/>
          <w:color w:val="auto"/>
          <w:sz w:val="28"/>
          <w:szCs w:val="28"/>
          <w:highlight w:val="none"/>
        </w:rPr>
        <w:t>采购</w:t>
      </w: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报价部分</w:t>
      </w:r>
    </w:p>
    <w:p>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文件要求可以自行调整，包括但不限于以下内容。</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）我方承诺报价不高于同类货物和服务的市场同期平均价格，若被发现存在任何虚假、隐瞒情况，我公司承担由此产生的一切后果。</w:t>
      </w:r>
    </w:p>
    <w:tbl>
      <w:tblPr>
        <w:tblStyle w:val="21"/>
        <w:tblW w:w="9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4"/>
        <w:gridCol w:w="3221"/>
        <w:gridCol w:w="1776"/>
        <w:gridCol w:w="888"/>
        <w:gridCol w:w="828"/>
        <w:gridCol w:w="80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产品/服务名称</w:t>
            </w:r>
          </w:p>
        </w:tc>
        <w:tc>
          <w:tcPr>
            <w:tcW w:w="177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服务内容</w:t>
            </w: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宋体" w:hAnsi="宋体" w:cs="宋体"/>
                <w:bCs/>
                <w:color w:val="auto"/>
                <w:szCs w:val="21"/>
              </w:rPr>
            </w:pPr>
            <w:r>
              <w:rPr>
                <w:rFonts w:hint="eastAsia" w:ascii="宋体" w:hAnsi="宋体" w:cs="宋体"/>
                <w:bCs/>
                <w:color w:val="auto"/>
                <w:szCs w:val="21"/>
              </w:rPr>
              <w:t>1</w:t>
            </w:r>
          </w:p>
        </w:tc>
        <w:tc>
          <w:tcPr>
            <w:tcW w:w="3221" w:type="dxa"/>
            <w:tcBorders>
              <w:top w:val="single" w:color="auto" w:sz="4" w:space="0"/>
              <w:left w:val="nil"/>
              <w:bottom w:val="single" w:color="auto" w:sz="4" w:space="0"/>
              <w:right w:val="single" w:color="auto" w:sz="4" w:space="0"/>
            </w:tcBorders>
            <w:vAlign w:val="center"/>
          </w:tcPr>
          <w:p>
            <w:pPr>
              <w:spacing w:line="240" w:lineRule="auto"/>
              <w:rPr>
                <w:rFonts w:ascii="宋体" w:hAnsi="宋体" w:cs="宋体"/>
                <w:color w:val="auto"/>
                <w:szCs w:val="21"/>
              </w:rPr>
            </w:pPr>
            <w:r>
              <w:rPr>
                <w:rFonts w:hint="eastAsia" w:ascii="宋体" w:hAnsi="宋体" w:cs="宋体"/>
                <w:color w:val="auto"/>
                <w:kern w:val="0"/>
                <w:sz w:val="24"/>
                <w:szCs w:val="24"/>
                <w:highlight w:val="none"/>
                <w:lang w:val="en-US" w:eastAsia="zh-CN"/>
              </w:rPr>
              <w:t>2023年铜陵学院消防演练培训服务采购</w:t>
            </w:r>
          </w:p>
        </w:tc>
        <w:tc>
          <w:tcPr>
            <w:tcW w:w="1776" w:type="dxa"/>
            <w:tcBorders>
              <w:top w:val="single" w:color="auto" w:sz="4" w:space="0"/>
              <w:left w:val="nil"/>
              <w:bottom w:val="single" w:color="auto" w:sz="4" w:space="0"/>
              <w:right w:val="single" w:color="auto" w:sz="4" w:space="0"/>
            </w:tcBorders>
            <w:vAlign w:val="center"/>
          </w:tcPr>
          <w:p>
            <w:pPr>
              <w:spacing w:line="240" w:lineRule="auto"/>
              <w:ind w:firstLine="420" w:firstLineChars="200"/>
              <w:jc w:val="left"/>
              <w:rPr>
                <w:rFonts w:hint="eastAsia" w:ascii="宋体" w:hAnsi="宋体" w:eastAsia="宋体" w:cs="宋体"/>
                <w:bCs/>
                <w:color w:val="auto"/>
                <w:szCs w:val="21"/>
                <w:lang w:eastAsia="zh-CN"/>
              </w:rPr>
            </w:pPr>
            <w:r>
              <w:rPr>
                <w:rFonts w:hint="eastAsia" w:ascii="宋体" w:hAnsi="宋体" w:cs="宋体"/>
                <w:bCs/>
                <w:color w:val="auto"/>
                <w:szCs w:val="21"/>
                <w:lang w:eastAsia="zh-CN"/>
              </w:rPr>
              <w:t>见采购需求</w:t>
            </w:r>
          </w:p>
        </w:tc>
        <w:tc>
          <w:tcPr>
            <w:tcW w:w="888"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numPr>
                <w:ilvl w:val="0"/>
                <w:numId w:val="0"/>
              </w:numPr>
              <w:spacing w:line="400" w:lineRule="exact"/>
              <w:ind w:leftChars="0"/>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776"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bCs/>
                <w:color w:val="auto"/>
                <w:szCs w:val="21"/>
              </w:rPr>
            </w:pP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bl>
    <w:p>
      <w:pPr>
        <w:spacing w:line="360" w:lineRule="auto"/>
        <w:ind w:firstLine="420" w:firstLineChars="200"/>
        <w:rPr>
          <w:rFonts w:hint="eastAsia" w:ascii="宋体" w:hAnsi="宋体" w:eastAsia="宋体" w:cs="宋体"/>
          <w:color w:val="auto"/>
          <w:szCs w:val="21"/>
          <w:highlight w:val="none"/>
        </w:rPr>
      </w:pPr>
    </w:p>
    <w:p>
      <w:pPr>
        <w:pStyle w:val="66"/>
        <w:spacing w:line="360" w:lineRule="auto"/>
        <w:ind w:right="980" w:firstLine="422"/>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p>
    <w:p>
      <w:pPr>
        <w:pStyle w:val="66"/>
        <w:spacing w:line="360" w:lineRule="auto"/>
        <w:ind w:right="980" w:firstLine="422"/>
        <w:jc w:val="center"/>
        <w:rPr>
          <w:rFonts w:hint="eastAsia" w:ascii="宋体" w:hAnsi="宋体" w:cs="宋体"/>
          <w:color w:val="auto"/>
          <w:sz w:val="24"/>
          <w:szCs w:val="24"/>
          <w:highlight w:val="none"/>
          <w:lang w:val="en-US" w:eastAsia="zh-CN"/>
        </w:rPr>
      </w:pP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66"/>
        <w:spacing w:line="360" w:lineRule="auto"/>
        <w:ind w:right="980" w:firstLine="422"/>
        <w:jc w:val="center"/>
        <w:rPr>
          <w:rFonts w:hint="eastAsia" w:ascii="宋体" w:hAnsi="宋体" w:eastAsia="宋体" w:cs="宋体"/>
          <w:color w:val="auto"/>
          <w:highlight w:val="none"/>
        </w:rPr>
      </w:pP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  期：</w:t>
      </w:r>
    </w:p>
    <w:p>
      <w:pPr>
        <w:pStyle w:val="7"/>
        <w:ind w:left="0" w:leftChars="0" w:firstLine="0" w:firstLineChars="0"/>
        <w:rPr>
          <w:rFonts w:hint="eastAsia" w:ascii="宋体" w:hAnsi="宋体" w:eastAsia="宋体" w:cs="宋体"/>
          <w:color w:val="auto"/>
          <w:highlight w:val="none"/>
        </w:rPr>
      </w:pPr>
    </w:p>
    <w:sectPr>
      <w:headerReference r:id="rId3" w:type="default"/>
      <w:footerReference r:id="rId4" w:type="default"/>
      <w:pgSz w:w="11906" w:h="16838"/>
      <w:pgMar w:top="1440" w:right="1486" w:bottom="1440" w:left="1800" w:header="851" w:footer="102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auto"/>
    <w:pitch w:val="default"/>
    <w:sig w:usb0="E00002FF" w:usb1="400004FF" w:usb2="00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Times New Roman" w:hAnsi="Times New Roman" w:eastAsia="宋体" w:cs="Times New Roman"/>
        <w:kern w:val="2"/>
        <w:sz w:val="18"/>
        <w:szCs w:val="18"/>
        <w:lang w:val="en-US" w:eastAsia="zh-CN" w:bidi="ar-SA"/>
      </w:rPr>
      <w:pict>
        <v:shape id="文本框1" o:spid="_x0000_s4097" o:spt="202" type="#_x0000_t202" style="position:absolute;left:0pt;margin-top:0pt;height:144pt;width:144pt;mso-position-horizontal:righ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tabs>
        <w:tab w:val="left" w:pos="6787"/>
      </w:tabs>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6BEC2"/>
    <w:multiLevelType w:val="singleLevel"/>
    <w:tmpl w:val="8196BEC2"/>
    <w:lvl w:ilvl="0" w:tentative="0">
      <w:start w:val="4"/>
      <w:numFmt w:val="chineseCounting"/>
      <w:suff w:val="space"/>
      <w:lvlText w:val="第%1章"/>
      <w:lvlJc w:val="left"/>
      <w:rPr>
        <w:rFonts w:hint="eastAsia"/>
      </w:rPr>
    </w:lvl>
  </w:abstractNum>
  <w:abstractNum w:abstractNumId="1">
    <w:nsid w:val="89B05D11"/>
    <w:multiLevelType w:val="singleLevel"/>
    <w:tmpl w:val="89B05D11"/>
    <w:lvl w:ilvl="0" w:tentative="0">
      <w:start w:val="7"/>
      <w:numFmt w:val="decimal"/>
      <w:lvlText w:val="%1."/>
      <w:lvlJc w:val="left"/>
      <w:pPr>
        <w:tabs>
          <w:tab w:val="left" w:pos="312"/>
        </w:tabs>
      </w:pPr>
    </w:lvl>
  </w:abstractNum>
  <w:abstractNum w:abstractNumId="2">
    <w:nsid w:val="B2B5302D"/>
    <w:multiLevelType w:val="singleLevel"/>
    <w:tmpl w:val="B2B5302D"/>
    <w:lvl w:ilvl="0" w:tentative="0">
      <w:start w:val="1"/>
      <w:numFmt w:val="decimal"/>
      <w:lvlText w:val="%1."/>
      <w:lvlJc w:val="left"/>
      <w:pPr>
        <w:tabs>
          <w:tab w:val="left" w:pos="312"/>
        </w:tabs>
      </w:pPr>
    </w:lvl>
  </w:abstractNum>
  <w:abstractNum w:abstractNumId="3">
    <w:nsid w:val="00000007"/>
    <w:multiLevelType w:val="singleLevel"/>
    <w:tmpl w:val="00000007"/>
    <w:lvl w:ilvl="0" w:tentative="0">
      <w:start w:val="35"/>
      <w:numFmt w:val="decimal"/>
      <w:suff w:val="nothing"/>
      <w:lvlText w:val="%1、"/>
      <w:lvlJc w:val="left"/>
      <w:rPr>
        <w:rFonts w:hint="default"/>
        <w:color w:val="auto"/>
      </w:rPr>
    </w:lvl>
  </w:abstractNum>
  <w:abstractNum w:abstractNumId="4">
    <w:nsid w:val="00000008"/>
    <w:multiLevelType w:val="singleLevel"/>
    <w:tmpl w:val="00000008"/>
    <w:lvl w:ilvl="0" w:tentative="0">
      <w:start w:val="1"/>
      <w:numFmt w:val="chineseCounting"/>
      <w:suff w:val="space"/>
      <w:lvlText w:val="第%1章"/>
      <w:lvlJc w:val="left"/>
    </w:lvl>
  </w:abstractNum>
  <w:abstractNum w:abstractNumId="5">
    <w:nsid w:val="54D9815A"/>
    <w:multiLevelType w:val="singleLevel"/>
    <w:tmpl w:val="54D9815A"/>
    <w:lvl w:ilvl="0" w:tentative="0">
      <w:start w:val="2"/>
      <w:numFmt w:val="decimal"/>
      <w:lvlText w:val="%1."/>
      <w:lvlJc w:val="left"/>
      <w:pPr>
        <w:tabs>
          <w:tab w:val="left" w:pos="312"/>
        </w:tabs>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ViYTA1YWNmYmEwMTFhY2VkZjFmMzY2OWMzYzU2Y2UifQ=="/>
  </w:docVars>
  <w:rsids>
    <w:rsidRoot w:val="00000000"/>
    <w:rsid w:val="000D0E68"/>
    <w:rsid w:val="000D3ECA"/>
    <w:rsid w:val="002962DE"/>
    <w:rsid w:val="00CD4F3F"/>
    <w:rsid w:val="00D37FE7"/>
    <w:rsid w:val="00EF5BE6"/>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E32BA"/>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87BED"/>
    <w:rsid w:val="0CCE3AF3"/>
    <w:rsid w:val="0D1A5610"/>
    <w:rsid w:val="0D3C4743"/>
    <w:rsid w:val="0DAB298A"/>
    <w:rsid w:val="0DD237D6"/>
    <w:rsid w:val="0F596ADE"/>
    <w:rsid w:val="100A5B24"/>
    <w:rsid w:val="10127812"/>
    <w:rsid w:val="101A4D8D"/>
    <w:rsid w:val="10BB0895"/>
    <w:rsid w:val="10D75FFB"/>
    <w:rsid w:val="11142DCF"/>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165E31"/>
    <w:rsid w:val="17825AA6"/>
    <w:rsid w:val="180B453E"/>
    <w:rsid w:val="181B027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C116CAC"/>
    <w:rsid w:val="1C442C22"/>
    <w:rsid w:val="1C781684"/>
    <w:rsid w:val="1D0D7904"/>
    <w:rsid w:val="1D145BCA"/>
    <w:rsid w:val="1D2321DF"/>
    <w:rsid w:val="1D7A17CD"/>
    <w:rsid w:val="1DD55603"/>
    <w:rsid w:val="1DE9005B"/>
    <w:rsid w:val="1E165A3D"/>
    <w:rsid w:val="1E4568AD"/>
    <w:rsid w:val="1E681A4B"/>
    <w:rsid w:val="1E875BF0"/>
    <w:rsid w:val="1F4C4092"/>
    <w:rsid w:val="1F6770C4"/>
    <w:rsid w:val="203F26F4"/>
    <w:rsid w:val="209E63F1"/>
    <w:rsid w:val="20AF0CCF"/>
    <w:rsid w:val="20B56B06"/>
    <w:rsid w:val="20BC2BDF"/>
    <w:rsid w:val="20BE0CEE"/>
    <w:rsid w:val="20DC4FE2"/>
    <w:rsid w:val="20F762AC"/>
    <w:rsid w:val="21474389"/>
    <w:rsid w:val="215874AB"/>
    <w:rsid w:val="219D2B55"/>
    <w:rsid w:val="21AE3027"/>
    <w:rsid w:val="21EB13F3"/>
    <w:rsid w:val="21F82AF6"/>
    <w:rsid w:val="22044BA5"/>
    <w:rsid w:val="221114B8"/>
    <w:rsid w:val="221139DC"/>
    <w:rsid w:val="22753BB7"/>
    <w:rsid w:val="229A5311"/>
    <w:rsid w:val="22FD6C5A"/>
    <w:rsid w:val="22FF1E1C"/>
    <w:rsid w:val="23276FE5"/>
    <w:rsid w:val="23360045"/>
    <w:rsid w:val="238A0C55"/>
    <w:rsid w:val="238E1FF4"/>
    <w:rsid w:val="23D701AB"/>
    <w:rsid w:val="23EC3B3C"/>
    <w:rsid w:val="241D2562"/>
    <w:rsid w:val="24A550D2"/>
    <w:rsid w:val="24A837DE"/>
    <w:rsid w:val="24BC306C"/>
    <w:rsid w:val="25006681"/>
    <w:rsid w:val="250D6CB9"/>
    <w:rsid w:val="251149CC"/>
    <w:rsid w:val="25437C0E"/>
    <w:rsid w:val="256F57A9"/>
    <w:rsid w:val="2579010A"/>
    <w:rsid w:val="258E15D9"/>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0D54A4"/>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D8A539D"/>
    <w:rsid w:val="3E3E2D8E"/>
    <w:rsid w:val="3E5E2471"/>
    <w:rsid w:val="3EE41040"/>
    <w:rsid w:val="3FEA724C"/>
    <w:rsid w:val="402C6480"/>
    <w:rsid w:val="40312D9F"/>
    <w:rsid w:val="403352BE"/>
    <w:rsid w:val="406D5014"/>
    <w:rsid w:val="40E3423D"/>
    <w:rsid w:val="41371F0C"/>
    <w:rsid w:val="415450C5"/>
    <w:rsid w:val="41827A2F"/>
    <w:rsid w:val="41DC0129"/>
    <w:rsid w:val="41EF4F53"/>
    <w:rsid w:val="421D0361"/>
    <w:rsid w:val="42452730"/>
    <w:rsid w:val="424D7C5D"/>
    <w:rsid w:val="42B43E36"/>
    <w:rsid w:val="42EE06E2"/>
    <w:rsid w:val="435D2BA3"/>
    <w:rsid w:val="441F37FB"/>
    <w:rsid w:val="454B38DA"/>
    <w:rsid w:val="45612EA3"/>
    <w:rsid w:val="46800F38"/>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407761D"/>
    <w:rsid w:val="541E72D5"/>
    <w:rsid w:val="545E0E1C"/>
    <w:rsid w:val="547B1876"/>
    <w:rsid w:val="54A11868"/>
    <w:rsid w:val="54C20DF8"/>
    <w:rsid w:val="54E258C7"/>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CD002A"/>
    <w:rsid w:val="65DB4F21"/>
    <w:rsid w:val="65E94F46"/>
    <w:rsid w:val="668661DC"/>
    <w:rsid w:val="66981437"/>
    <w:rsid w:val="66B268E2"/>
    <w:rsid w:val="66B915CF"/>
    <w:rsid w:val="66CB7D87"/>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627A6"/>
    <w:rsid w:val="739A310C"/>
    <w:rsid w:val="73D335C9"/>
    <w:rsid w:val="740D3909"/>
    <w:rsid w:val="744628B9"/>
    <w:rsid w:val="744850B2"/>
    <w:rsid w:val="744C5A41"/>
    <w:rsid w:val="74803CC6"/>
    <w:rsid w:val="74895C71"/>
    <w:rsid w:val="74B30C01"/>
    <w:rsid w:val="74E61709"/>
    <w:rsid w:val="750424AE"/>
    <w:rsid w:val="75445590"/>
    <w:rsid w:val="75496B77"/>
    <w:rsid w:val="754D2AB0"/>
    <w:rsid w:val="75A24DB9"/>
    <w:rsid w:val="75F54214"/>
    <w:rsid w:val="76180166"/>
    <w:rsid w:val="76460717"/>
    <w:rsid w:val="76561A21"/>
    <w:rsid w:val="766D7950"/>
    <w:rsid w:val="76C553CB"/>
    <w:rsid w:val="76D450A7"/>
    <w:rsid w:val="76D75AD0"/>
    <w:rsid w:val="76F42773"/>
    <w:rsid w:val="77230C9E"/>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DE5ACD"/>
    <w:rsid w:val="79F938C2"/>
    <w:rsid w:val="7A811244"/>
    <w:rsid w:val="7AAB7B75"/>
    <w:rsid w:val="7AD2360C"/>
    <w:rsid w:val="7ADB591B"/>
    <w:rsid w:val="7AFC3C6A"/>
    <w:rsid w:val="7B8B7233"/>
    <w:rsid w:val="7C627E14"/>
    <w:rsid w:val="7C78466B"/>
    <w:rsid w:val="7C80256C"/>
    <w:rsid w:val="7C9E051A"/>
    <w:rsid w:val="7CA53C38"/>
    <w:rsid w:val="7CF40C2E"/>
    <w:rsid w:val="7D275A21"/>
    <w:rsid w:val="7D7962AC"/>
    <w:rsid w:val="7D9233D9"/>
    <w:rsid w:val="7D9B2770"/>
    <w:rsid w:val="7DB01419"/>
    <w:rsid w:val="7DC07FBE"/>
    <w:rsid w:val="7DFA4227"/>
    <w:rsid w:val="7E461D30"/>
    <w:rsid w:val="7EA153D7"/>
    <w:rsid w:val="7EAB73A9"/>
    <w:rsid w:val="7F154FB3"/>
    <w:rsid w:val="7F234A71"/>
    <w:rsid w:val="7F677BD3"/>
    <w:rsid w:val="7F6F4C24"/>
    <w:rsid w:val="7FC72C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9"/>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80"/>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81"/>
    <w:qFormat/>
    <w:uiPriority w:val="0"/>
    <w:pPr>
      <w:keepNext/>
      <w:keepLines/>
      <w:spacing w:before="260" w:after="260" w:line="413" w:lineRule="auto"/>
      <w:outlineLvl w:val="2"/>
    </w:pPr>
    <w:rPr>
      <w:rFonts w:ascii="Times New Roman" w:hAnsi="Times New Roman" w:eastAsia="宋体" w:cs="Times New Roman"/>
      <w:b/>
      <w:bCs/>
      <w:sz w:val="32"/>
      <w:szCs w:val="32"/>
    </w:rPr>
  </w:style>
  <w:style w:type="paragraph" w:styleId="5">
    <w:name w:val="heading 5"/>
    <w:basedOn w:val="1"/>
    <w:next w:val="1"/>
    <w:link w:val="82"/>
    <w:qFormat/>
    <w:uiPriority w:val="0"/>
    <w:pPr>
      <w:keepNext/>
      <w:keepLines/>
      <w:spacing w:before="280" w:after="290" w:line="376" w:lineRule="auto"/>
      <w:outlineLvl w:val="4"/>
    </w:pPr>
    <w:rPr>
      <w:rFonts w:ascii="Times New Roman" w:hAnsi="Times New Roman" w:eastAsia="宋体" w:cs="Times New Roman"/>
      <w:b/>
      <w:bCs/>
      <w:sz w:val="28"/>
      <w:szCs w:val="28"/>
    </w:rPr>
  </w:style>
  <w:style w:type="character" w:default="1" w:styleId="23">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ind w:firstLine="420"/>
    </w:pPr>
    <w:rPr>
      <w:szCs w:val="20"/>
    </w:rPr>
  </w:style>
  <w:style w:type="paragraph" w:styleId="7">
    <w:name w:val="Body Text First Indent 2"/>
    <w:basedOn w:val="8"/>
    <w:next w:val="10"/>
    <w:qFormat/>
    <w:uiPriority w:val="0"/>
    <w:pPr>
      <w:ind w:left="420" w:firstLine="420" w:firstLineChars="200"/>
    </w:pPr>
  </w:style>
  <w:style w:type="paragraph" w:styleId="8">
    <w:name w:val="Body Text Indent"/>
    <w:basedOn w:val="1"/>
    <w:next w:val="9"/>
    <w:qFormat/>
    <w:uiPriority w:val="0"/>
    <w:pPr>
      <w:ind w:firstLine="630"/>
    </w:pPr>
    <w:rPr>
      <w:sz w:val="32"/>
      <w:szCs w:val="20"/>
    </w:rPr>
  </w:style>
  <w:style w:type="paragraph" w:styleId="9">
    <w:name w:val="envelope return"/>
    <w:basedOn w:val="1"/>
    <w:qFormat/>
    <w:uiPriority w:val="0"/>
    <w:pPr>
      <w:snapToGrid w:val="0"/>
    </w:pPr>
    <w:rPr>
      <w:rFonts w:ascii="Arial" w:hAnsi="Arial"/>
    </w:rPr>
  </w:style>
  <w:style w:type="paragraph" w:styleId="10">
    <w:name w:val="List"/>
    <w:basedOn w:val="1"/>
    <w:qFormat/>
    <w:uiPriority w:val="0"/>
    <w:pPr>
      <w:ind w:left="420" w:hanging="420"/>
    </w:pPr>
    <w:rPr>
      <w:rFonts w:ascii="Arial" w:hAnsi="Arial" w:eastAsia="楷体_GB2312"/>
      <w:kern w:val="2"/>
      <w:sz w:val="28"/>
    </w:rPr>
  </w:style>
  <w:style w:type="paragraph" w:styleId="11">
    <w:name w:val="annotation text"/>
    <w:basedOn w:val="1"/>
    <w:link w:val="85"/>
    <w:qFormat/>
    <w:uiPriority w:val="0"/>
    <w:pPr>
      <w:jc w:val="left"/>
    </w:pPr>
    <w:rPr>
      <w:rFonts w:eastAsia="宋体"/>
      <w:szCs w:val="24"/>
    </w:rPr>
  </w:style>
  <w:style w:type="paragraph" w:styleId="12">
    <w:name w:val="Body Text"/>
    <w:basedOn w:val="1"/>
    <w:link w:val="86"/>
    <w:qFormat/>
    <w:uiPriority w:val="0"/>
    <w:pPr>
      <w:spacing w:after="120"/>
    </w:pPr>
    <w:rPr>
      <w:rFonts w:ascii="Calibri" w:hAnsi="Calibri" w:eastAsia="宋体" w:cs="Times New Roman"/>
      <w:sz w:val="22"/>
      <w:szCs w:val="24"/>
    </w:rPr>
  </w:style>
  <w:style w:type="paragraph" w:styleId="13">
    <w:name w:val="Plain Text"/>
    <w:basedOn w:val="1"/>
    <w:qFormat/>
    <w:uiPriority w:val="0"/>
    <w:pPr>
      <w:ind w:firstLine="480"/>
    </w:pPr>
  </w:style>
  <w:style w:type="paragraph" w:styleId="14">
    <w:name w:val="footer"/>
    <w:basedOn w:val="1"/>
    <w:link w:val="9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93"/>
    <w:qFormat/>
    <w:uiPriority w:val="0"/>
    <w:pPr>
      <w:pBdr>
        <w:bottom w:val="single" w:color="auto" w:sz="12"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toc 1"/>
    <w:basedOn w:val="1"/>
    <w:next w:val="1"/>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Autospacing="1" w:afterAutospacing="1"/>
      <w:jc w:val="left"/>
    </w:pPr>
    <w:rPr>
      <w:rFonts w:ascii="宋体" w:hAnsi="宋体" w:cs="宋体"/>
      <w:kern w:val="0"/>
      <w:sz w:val="24"/>
    </w:rPr>
  </w:style>
  <w:style w:type="paragraph" w:styleId="19">
    <w:name w:val="Title"/>
    <w:basedOn w:val="1"/>
    <w:next w:val="1"/>
    <w:link w:val="96"/>
    <w:qFormat/>
    <w:uiPriority w:val="0"/>
    <w:pPr>
      <w:spacing w:before="240" w:after="60"/>
      <w:jc w:val="center"/>
      <w:outlineLvl w:val="0"/>
    </w:pPr>
    <w:rPr>
      <w:rFonts w:ascii="Cambria" w:hAnsi="Cambria" w:eastAsia="宋体" w:cs="Times New Roman"/>
      <w:b/>
      <w:bCs/>
      <w:sz w:val="32"/>
      <w:szCs w:val="32"/>
    </w:rPr>
  </w:style>
  <w:style w:type="paragraph" w:styleId="20">
    <w:name w:val="Body Text First Indent"/>
    <w:basedOn w:val="12"/>
    <w:qFormat/>
    <w:uiPriority w:val="0"/>
    <w:pPr>
      <w:ind w:firstLine="420" w:firstLineChars="1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bCs/>
    </w:rPr>
  </w:style>
  <w:style w:type="character" w:styleId="25">
    <w:name w:val="FollowedHyperlink"/>
    <w:qFormat/>
    <w:uiPriority w:val="0"/>
    <w:rPr>
      <w:rFonts w:hint="default" w:ascii="Times New Roman" w:hAnsi="Times New Roman" w:eastAsia="宋体" w:cs="Times New Roman"/>
      <w:color w:val="800080"/>
      <w:u w:val="single"/>
    </w:rPr>
  </w:style>
  <w:style w:type="character" w:styleId="26">
    <w:name w:val="HTML Acronym"/>
    <w:basedOn w:val="23"/>
    <w:qFormat/>
    <w:uiPriority w:val="0"/>
  </w:style>
  <w:style w:type="character" w:styleId="27">
    <w:name w:val="Hyperlink"/>
    <w:qFormat/>
    <w:uiPriority w:val="0"/>
    <w:rPr>
      <w:rFonts w:ascii="Times New Roman" w:hAnsi="Times New Roman" w:eastAsia="宋体" w:cs="Times New Roman"/>
      <w:color w:val="0000FF"/>
      <w:u w:val="single"/>
    </w:rPr>
  </w:style>
  <w:style w:type="paragraph" w:customStyle="1" w:styleId="28">
    <w:name w:val="样式 ！正文 + 首行缩进:  2 字符"/>
    <w:basedOn w:val="1"/>
    <w:next w:val="1"/>
    <w:qFormat/>
    <w:uiPriority w:val="0"/>
    <w:pPr>
      <w:ind w:firstLine="480" w:firstLineChars="200"/>
    </w:pPr>
    <w:rPr>
      <w:rFonts w:hint="eastAsia" w:ascii="Arial" w:hAnsi="Arial" w:cs="宋体"/>
    </w:rPr>
  </w:style>
  <w:style w:type="paragraph" w:customStyle="1" w:styleId="29">
    <w:name w:val="BodyText1I2"/>
    <w:basedOn w:val="30"/>
    <w:qFormat/>
    <w:uiPriority w:val="0"/>
    <w:pPr>
      <w:ind w:firstLine="420" w:firstLineChars="200"/>
      <w:jc w:val="both"/>
      <w:textAlignment w:val="baseline"/>
    </w:pPr>
  </w:style>
  <w:style w:type="paragraph" w:customStyle="1" w:styleId="30">
    <w:name w:val="BodyTextIndent"/>
    <w:basedOn w:val="1"/>
    <w:next w:val="31"/>
    <w:qFormat/>
    <w:uiPriority w:val="0"/>
    <w:pPr>
      <w:ind w:firstLine="630"/>
      <w:jc w:val="both"/>
      <w:textAlignment w:val="baseline"/>
    </w:pPr>
    <w:rPr>
      <w:kern w:val="2"/>
      <w:sz w:val="32"/>
      <w:szCs w:val="20"/>
      <w:lang w:val="en-US" w:eastAsia="zh-CN" w:bidi="ar-SA"/>
    </w:rPr>
  </w:style>
  <w:style w:type="paragraph" w:customStyle="1" w:styleId="31">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32">
    <w:name w:val="Body Text First Indent 2"/>
    <w:basedOn w:val="33"/>
    <w:link w:val="92"/>
    <w:qFormat/>
    <w:uiPriority w:val="0"/>
    <w:pPr>
      <w:ind w:firstLine="420" w:firstLineChars="200"/>
    </w:pPr>
    <w:rPr>
      <w:rFonts w:ascii="Times New Roman" w:hAnsi="Times New Roman" w:eastAsia="宋体" w:cs="Times New Roman"/>
      <w:szCs w:val="24"/>
    </w:rPr>
  </w:style>
  <w:style w:type="paragraph" w:customStyle="1" w:styleId="33">
    <w:name w:val="Body Text Indent"/>
    <w:basedOn w:val="1"/>
    <w:next w:val="34"/>
    <w:link w:val="87"/>
    <w:qFormat/>
    <w:uiPriority w:val="0"/>
    <w:pPr>
      <w:ind w:firstLine="630"/>
    </w:pPr>
    <w:rPr>
      <w:rFonts w:ascii="Times New Roman" w:hAnsi="Times New Roman" w:eastAsia="宋体" w:cs="Times New Roman"/>
      <w:szCs w:val="24"/>
    </w:rPr>
  </w:style>
  <w:style w:type="paragraph" w:customStyle="1" w:styleId="34">
    <w:name w:val="envelope return"/>
    <w:basedOn w:val="1"/>
    <w:qFormat/>
    <w:uiPriority w:val="0"/>
    <w:pPr>
      <w:snapToGrid w:val="0"/>
    </w:pPr>
    <w:rPr>
      <w:rFonts w:ascii="Arial" w:hAnsi="Arial"/>
    </w:rPr>
  </w:style>
  <w:style w:type="paragraph" w:customStyle="1" w:styleId="35">
    <w:name w:val="annotation subject"/>
    <w:basedOn w:val="11"/>
    <w:next w:val="11"/>
    <w:link w:val="83"/>
    <w:qFormat/>
    <w:uiPriority w:val="0"/>
    <w:rPr>
      <w:rFonts w:ascii="Times New Roman" w:hAnsi="Times New Roman" w:eastAsia="宋体" w:cs="Times New Roman"/>
      <w:b/>
      <w:bCs/>
      <w:szCs w:val="24"/>
    </w:rPr>
  </w:style>
  <w:style w:type="paragraph" w:customStyle="1" w:styleId="36">
    <w:name w:val="Plain Text"/>
    <w:basedOn w:val="1"/>
    <w:link w:val="88"/>
    <w:qFormat/>
    <w:uiPriority w:val="0"/>
    <w:rPr>
      <w:rFonts w:ascii="宋体" w:hAnsi="Courier New" w:eastAsia="华文宋体"/>
      <w:sz w:val="28"/>
    </w:rPr>
  </w:style>
  <w:style w:type="paragraph" w:customStyle="1" w:styleId="37">
    <w:name w:val="Date"/>
    <w:basedOn w:val="1"/>
    <w:next w:val="1"/>
    <w:link w:val="89"/>
    <w:qFormat/>
    <w:uiPriority w:val="0"/>
    <w:pPr>
      <w:ind w:left="100" w:leftChars="2500"/>
    </w:pPr>
    <w:rPr>
      <w:rFonts w:ascii="Times New Roman" w:hAnsi="Times New Roman" w:eastAsia="宋体" w:cs="Times New Roman"/>
      <w:szCs w:val="24"/>
    </w:rPr>
  </w:style>
  <w:style w:type="paragraph" w:customStyle="1" w:styleId="38">
    <w:name w:val="Body Text Indent 2"/>
    <w:basedOn w:val="1"/>
    <w:link w:val="90"/>
    <w:qFormat/>
    <w:uiPriority w:val="0"/>
    <w:pPr>
      <w:spacing w:after="120" w:line="480" w:lineRule="auto"/>
      <w:ind w:left="420" w:leftChars="200"/>
    </w:pPr>
    <w:rPr>
      <w:rFonts w:ascii="Times New Roman" w:hAnsi="Times New Roman" w:eastAsia="宋体" w:cs="Times New Roman"/>
      <w:szCs w:val="24"/>
    </w:rPr>
  </w:style>
  <w:style w:type="paragraph" w:customStyle="1" w:styleId="39">
    <w:name w:val="Body Text Indent 3"/>
    <w:basedOn w:val="1"/>
    <w:link w:val="94"/>
    <w:qFormat/>
    <w:uiPriority w:val="0"/>
    <w:pPr>
      <w:spacing w:after="120"/>
      <w:ind w:left="420" w:leftChars="200"/>
    </w:pPr>
    <w:rPr>
      <w:rFonts w:ascii="Times New Roman" w:hAnsi="Times New Roman" w:eastAsia="宋体" w:cs="Times New Roman"/>
      <w:sz w:val="16"/>
      <w:szCs w:val="16"/>
    </w:rPr>
  </w:style>
  <w:style w:type="paragraph" w:customStyle="1"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customStyle="1" w:styleId="41">
    <w:name w:val="批注框文本 Char Char"/>
    <w:basedOn w:val="1"/>
    <w:link w:val="97"/>
    <w:qFormat/>
    <w:uiPriority w:val="0"/>
    <w:rPr>
      <w:rFonts w:eastAsia="宋体"/>
      <w:sz w:val="18"/>
      <w:szCs w:val="18"/>
    </w:rPr>
  </w:style>
  <w:style w:type="paragraph" w:customStyle="1" w:styleId="42">
    <w:name w:val="Normal Indent"/>
    <w:basedOn w:val="1"/>
    <w:qFormat/>
    <w:uiPriority w:val="0"/>
    <w:pPr>
      <w:ind w:firstLine="420"/>
    </w:pPr>
    <w:rPr>
      <w:szCs w:val="20"/>
    </w:rPr>
  </w:style>
  <w:style w:type="paragraph" w:customStyle="1" w:styleId="43">
    <w:name w:val="index 9"/>
    <w:basedOn w:val="1"/>
    <w:next w:val="1"/>
    <w:qFormat/>
    <w:uiPriority w:val="0"/>
    <w:pPr>
      <w:ind w:left="1600" w:leftChars="1600"/>
    </w:pPr>
    <w:rPr>
      <w:rFonts w:ascii="Calibri" w:hAnsi="Calibri"/>
      <w:szCs w:val="22"/>
    </w:rPr>
  </w:style>
  <w:style w:type="paragraph" w:customStyle="1"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Body Text First Indent 21"/>
    <w:basedOn w:val="46"/>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6">
    <w:name w:val="Body Text Indent1"/>
    <w:basedOn w:val="1"/>
    <w:next w:val="47"/>
    <w:qFormat/>
    <w:uiPriority w:val="0"/>
    <w:pPr>
      <w:ind w:firstLine="645"/>
    </w:pPr>
    <w:rPr>
      <w:rFonts w:ascii="楷体_GB2312" w:eastAsia="楷体_GB2312"/>
      <w:sz w:val="32"/>
    </w:rPr>
  </w:style>
  <w:style w:type="paragraph" w:customStyle="1" w:styleId="47">
    <w:name w:val="envelope return1"/>
    <w:basedOn w:val="1"/>
    <w:qFormat/>
    <w:uiPriority w:val="0"/>
    <w:pPr>
      <w:snapToGrid w:val="0"/>
    </w:pPr>
    <w:rPr>
      <w:rFonts w:ascii="Arial" w:hAnsi="Arial"/>
    </w:rPr>
  </w:style>
  <w:style w:type="paragraph" w:customStyle="1" w:styleId="4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9">
    <w:name w:val="Char Char Char Char Char Char"/>
    <w:basedOn w:val="1"/>
    <w:qFormat/>
    <w:uiPriority w:val="0"/>
  </w:style>
  <w:style w:type="paragraph" w:customStyle="1" w:styleId="50">
    <w:name w:val="List Paragraph"/>
    <w:basedOn w:val="1"/>
    <w:link w:val="103"/>
    <w:qFormat/>
    <w:uiPriority w:val="0"/>
    <w:pPr>
      <w:ind w:firstLine="420" w:firstLineChars="200"/>
    </w:pPr>
    <w:rPr>
      <w:rFonts w:ascii="Times New Roman" w:hAnsi="Times New Roman" w:eastAsia="宋体" w:cs="Times New Roman"/>
      <w:szCs w:val="24"/>
    </w:rPr>
  </w:style>
  <w:style w:type="paragraph" w:customStyle="1" w:styleId="51">
    <w:name w:val="GW-正文"/>
    <w:basedOn w:val="1"/>
    <w:link w:val="100"/>
    <w:qFormat/>
    <w:uiPriority w:val="0"/>
    <w:pPr>
      <w:spacing w:line="360" w:lineRule="auto"/>
      <w:ind w:firstLine="200" w:firstLineChars="200"/>
      <w:contextualSpacing/>
    </w:pPr>
    <w:rPr>
      <w:szCs w:val="24"/>
    </w:rPr>
  </w:style>
  <w:style w:type="paragraph" w:customStyle="1" w:styleId="52">
    <w:name w:val="正文文本缩进_0"/>
    <w:basedOn w:val="53"/>
    <w:link w:val="102"/>
    <w:qFormat/>
    <w:uiPriority w:val="0"/>
    <w:pPr>
      <w:ind w:firstLine="645"/>
    </w:pPr>
    <w:rPr>
      <w:rFonts w:ascii="楷体_GB2312" w:hAnsi="Calibri" w:eastAsia="楷体_GB2312"/>
      <w:sz w:val="32"/>
    </w:rPr>
  </w:style>
  <w:style w:type="paragraph" w:customStyle="1" w:styleId="53">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正文文本缩进 2_0"/>
    <w:basedOn w:val="53"/>
    <w:link w:val="106"/>
    <w:qFormat/>
    <w:uiPriority w:val="0"/>
    <w:pPr>
      <w:ind w:left="630" w:firstLine="645"/>
    </w:pPr>
    <w:rPr>
      <w:rFonts w:ascii="Arial" w:hAnsi="Arial" w:eastAsia="仿宋_GB2312"/>
      <w:sz w:val="32"/>
    </w:rPr>
  </w:style>
  <w:style w:type="paragraph" w:customStyle="1" w:styleId="55">
    <w:name w:val="Char Char Char Char Char Char Char1 Char_1"/>
    <w:basedOn w:val="53"/>
    <w:qFormat/>
    <w:uiPriority w:val="0"/>
    <w:rPr>
      <w:rFonts w:ascii="Tahoma" w:hAnsi="Tahoma"/>
      <w:sz w:val="24"/>
    </w:rPr>
  </w:style>
  <w:style w:type="paragraph" w:customStyle="1" w:styleId="56">
    <w:name w:val="列出段落1"/>
    <w:basedOn w:val="1"/>
    <w:qFormat/>
    <w:uiPriority w:val="0"/>
    <w:pPr>
      <w:ind w:firstLine="420" w:firstLineChars="200"/>
    </w:pPr>
    <w:rPr>
      <w:rFonts w:ascii="Calibri" w:hAnsi="Calibri" w:cs="Calibri"/>
      <w:szCs w:val="21"/>
    </w:rPr>
  </w:style>
  <w:style w:type="paragraph" w:customStyle="1" w:styleId="57">
    <w:name w:val="样式 正文缩进 + 首行缩进:  2 字符"/>
    <w:basedOn w:val="42"/>
    <w:qFormat/>
    <w:uiPriority w:val="0"/>
    <w:pPr>
      <w:spacing w:line="360" w:lineRule="auto"/>
      <w:ind w:firstLine="200"/>
    </w:pPr>
    <w:rPr>
      <w:rFonts w:cs="宋体"/>
      <w:sz w:val="24"/>
    </w:rPr>
  </w:style>
  <w:style w:type="paragraph" w:customStyle="1" w:styleId="58">
    <w:name w:val="Char1"/>
    <w:basedOn w:val="1"/>
    <w:qFormat/>
    <w:uiPriority w:val="0"/>
  </w:style>
  <w:style w:type="paragraph" w:customStyle="1" w:styleId="59">
    <w:name w:val="中等深浅网格 1 - 强调文字颜色 21"/>
    <w:basedOn w:val="1"/>
    <w:qFormat/>
    <w:uiPriority w:val="0"/>
    <w:pPr>
      <w:ind w:firstLine="420" w:firstLineChars="200"/>
    </w:pPr>
    <w:rPr>
      <w:rFonts w:eastAsia="仿宋_GB2312"/>
      <w:sz w:val="32"/>
    </w:rPr>
  </w:style>
  <w:style w:type="paragraph" w:customStyle="1" w:styleId="60">
    <w:name w:val="正文段"/>
    <w:basedOn w:val="1"/>
    <w:qFormat/>
    <w:uiPriority w:val="0"/>
    <w:pPr>
      <w:widowControl/>
      <w:snapToGrid w:val="0"/>
      <w:spacing w:afterLines="50"/>
      <w:ind w:firstLine="200" w:firstLineChars="200"/>
    </w:pPr>
    <w:rPr>
      <w:kern w:val="0"/>
      <w:sz w:val="24"/>
      <w:szCs w:val="20"/>
    </w:rPr>
  </w:style>
  <w:style w:type="paragraph" w:customStyle="1" w:styleId="61">
    <w:name w:val="01标题一"/>
    <w:basedOn w:val="1"/>
    <w:qFormat/>
    <w:uiPriority w:val="0"/>
    <w:rPr>
      <w:rFonts w:ascii="宋体" w:hAnsi="宋体"/>
      <w:b/>
      <w:sz w:val="28"/>
      <w:szCs w:val="28"/>
    </w:rPr>
  </w:style>
  <w:style w:type="paragraph" w:customStyle="1" w:styleId="62">
    <w:name w:val="列表段落1"/>
    <w:basedOn w:val="1"/>
    <w:qFormat/>
    <w:uiPriority w:val="0"/>
    <w:pPr>
      <w:ind w:firstLine="420" w:firstLineChars="200"/>
    </w:pPr>
    <w:rPr>
      <w:szCs w:val="20"/>
    </w:rPr>
  </w:style>
  <w:style w:type="paragraph" w:customStyle="1" w:styleId="63">
    <w:name w:val="默认段落字体 Para Char Char Char Char"/>
    <w:basedOn w:val="1"/>
    <w:qFormat/>
    <w:uiPriority w:val="0"/>
  </w:style>
  <w:style w:type="paragraph" w:customStyle="1" w:styleId="64">
    <w:name w:val="批注框文本 New"/>
    <w:basedOn w:val="1"/>
    <w:qFormat/>
    <w:uiPriority w:val="0"/>
    <w:rPr>
      <w:sz w:val="18"/>
      <w:szCs w:val="18"/>
    </w:rPr>
  </w:style>
  <w:style w:type="paragraph" w:customStyle="1" w:styleId="65">
    <w:name w:val="纯文本1"/>
    <w:basedOn w:val="1"/>
    <w:qFormat/>
    <w:uiPriority w:val="0"/>
    <w:rPr>
      <w:rFonts w:ascii="宋体" w:hAnsi="Courier New" w:cs="宋体"/>
      <w:szCs w:val="21"/>
    </w:rPr>
  </w:style>
  <w:style w:type="paragraph" w:customStyle="1" w:styleId="66">
    <w:name w:val="02标题二"/>
    <w:basedOn w:val="1"/>
    <w:qFormat/>
    <w:uiPriority w:val="0"/>
    <w:pPr>
      <w:ind w:firstLine="562" w:firstLineChars="200"/>
    </w:pPr>
    <w:rPr>
      <w:rFonts w:cs="华文仿宋"/>
      <w:b/>
      <w:bCs/>
      <w:sz w:val="28"/>
      <w:szCs w:val="28"/>
    </w:rPr>
  </w:style>
  <w:style w:type="paragraph" w:customStyle="1" w:styleId="67">
    <w:name w:val="Char11"/>
    <w:basedOn w:val="1"/>
    <w:qFormat/>
    <w:uiPriority w:val="0"/>
  </w:style>
  <w:style w:type="paragraph" w:customStyle="1" w:styleId="68">
    <w:name w:val="Table Paragraph"/>
    <w:basedOn w:val="1"/>
    <w:qFormat/>
    <w:uiPriority w:val="0"/>
    <w:pPr>
      <w:autoSpaceDE w:val="0"/>
      <w:autoSpaceDN w:val="0"/>
      <w:adjustRightInd w:val="0"/>
      <w:jc w:val="left"/>
    </w:pPr>
    <w:rPr>
      <w:kern w:val="0"/>
      <w:sz w:val="24"/>
    </w:rPr>
  </w:style>
  <w:style w:type="paragraph" w:customStyle="1" w:styleId="69">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0">
    <w:name w:val="样式 首行缩进:  2 字符"/>
    <w:basedOn w:val="1"/>
    <w:qFormat/>
    <w:uiPriority w:val="0"/>
    <w:pPr>
      <w:spacing w:line="400" w:lineRule="exact"/>
      <w:ind w:firstLine="200" w:firstLineChars="200"/>
    </w:pPr>
    <w:rPr>
      <w:rFonts w:cs="宋体"/>
      <w:sz w:val="24"/>
    </w:rPr>
  </w:style>
  <w:style w:type="paragraph" w:customStyle="1" w:styleId="71">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72">
    <w:name w:val="_Style 22"/>
    <w:basedOn w:val="1"/>
    <w:qFormat/>
    <w:uiPriority w:val="0"/>
  </w:style>
  <w:style w:type="paragraph" w:customStyle="1" w:styleId="73">
    <w:name w:val="00大标题"/>
    <w:basedOn w:val="1"/>
    <w:qFormat/>
    <w:uiPriority w:val="0"/>
    <w:pPr>
      <w:jc w:val="center"/>
    </w:pPr>
    <w:rPr>
      <w:rFonts w:ascii="宋体" w:hAnsi="宋体"/>
      <w:b/>
      <w:sz w:val="32"/>
      <w:szCs w:val="32"/>
    </w:rPr>
  </w:style>
  <w:style w:type="paragraph" w:customStyle="1" w:styleId="74">
    <w:name w:val="表格"/>
    <w:basedOn w:val="1"/>
    <w:qFormat/>
    <w:uiPriority w:val="0"/>
    <w:pPr>
      <w:spacing w:line="400" w:lineRule="exact"/>
    </w:pPr>
    <w:rPr>
      <w:sz w:val="24"/>
    </w:rPr>
  </w:style>
  <w:style w:type="paragraph" w:customStyle="1" w:styleId="75">
    <w:name w:val="模板普通正文"/>
    <w:basedOn w:val="33"/>
    <w:qFormat/>
    <w:uiPriority w:val="0"/>
    <w:pPr>
      <w:spacing w:beforeLines="50" w:after="10"/>
      <w:ind w:firstLine="490" w:firstLineChars="175"/>
      <w:jc w:val="left"/>
    </w:pPr>
    <w:rPr>
      <w:rFonts w:ascii="Calibri" w:hAnsi="Calibri" w:eastAsia="宋体" w:cs="Times New Roman"/>
      <w:spacing w:val="0"/>
      <w:sz w:val="24"/>
    </w:rPr>
  </w:style>
  <w:style w:type="paragraph" w:customStyle="1" w:styleId="76">
    <w:name w:val="正文XXXX"/>
    <w:basedOn w:val="1"/>
    <w:qFormat/>
    <w:uiPriority w:val="0"/>
    <w:pPr>
      <w:widowControl w:val="0"/>
      <w:ind w:firstLine="600"/>
      <w:jc w:val="both"/>
    </w:pPr>
    <w:rPr>
      <w:rFonts w:ascii="仿宋_GB2312" w:hAnsi="Times New Roman" w:cs="仿宋_GB2312"/>
      <w:color w:val="000000"/>
      <w:szCs w:val="30"/>
      <w:lang w:val="zh-CN"/>
    </w:rPr>
  </w:style>
  <w:style w:type="paragraph" w:customStyle="1" w:styleId="77">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8">
    <w:name w:val="UserStyle_30"/>
    <w:qFormat/>
    <w:uiPriority w:val="0"/>
    <w:pPr>
      <w:textAlignment w:val="baseline"/>
    </w:pPr>
    <w:rPr>
      <w:rFonts w:ascii="宋体" w:hAnsi="宋体" w:eastAsia="宋体" w:cs="黑体"/>
      <w:sz w:val="24"/>
      <w:szCs w:val="24"/>
      <w:lang w:val="en-US" w:eastAsia="zh-CN" w:bidi="ar-SA"/>
    </w:rPr>
  </w:style>
  <w:style w:type="character" w:customStyle="1" w:styleId="79">
    <w:name w:val="标题 1 Char"/>
    <w:basedOn w:val="23"/>
    <w:link w:val="2"/>
    <w:semiHidden/>
    <w:qFormat/>
    <w:uiPriority w:val="0"/>
    <w:rPr>
      <w:rFonts w:ascii="Times New Roman" w:hAnsi="Times New Roman" w:eastAsia="宋体" w:cs="Times New Roman"/>
      <w:b/>
      <w:bCs/>
      <w:kern w:val="44"/>
      <w:sz w:val="44"/>
      <w:szCs w:val="44"/>
    </w:rPr>
  </w:style>
  <w:style w:type="character" w:customStyle="1" w:styleId="80">
    <w:name w:val="标题 2 Char"/>
    <w:basedOn w:val="23"/>
    <w:link w:val="3"/>
    <w:semiHidden/>
    <w:qFormat/>
    <w:uiPriority w:val="0"/>
    <w:rPr>
      <w:rFonts w:ascii="Arial" w:hAnsi="Arial" w:eastAsia="黑体" w:cs="Times New Roman"/>
      <w:b/>
      <w:bCs/>
      <w:sz w:val="32"/>
      <w:szCs w:val="32"/>
    </w:rPr>
  </w:style>
  <w:style w:type="character" w:customStyle="1" w:styleId="81">
    <w:name w:val="标题 3 Char"/>
    <w:basedOn w:val="23"/>
    <w:link w:val="4"/>
    <w:semiHidden/>
    <w:qFormat/>
    <w:uiPriority w:val="0"/>
    <w:rPr>
      <w:rFonts w:ascii="Times New Roman" w:hAnsi="Times New Roman" w:eastAsia="宋体" w:cs="Times New Roman"/>
      <w:b/>
      <w:bCs/>
      <w:sz w:val="32"/>
      <w:szCs w:val="32"/>
    </w:rPr>
  </w:style>
  <w:style w:type="character" w:customStyle="1" w:styleId="82">
    <w:name w:val="标题 5 Char"/>
    <w:basedOn w:val="23"/>
    <w:link w:val="5"/>
    <w:semiHidden/>
    <w:qFormat/>
    <w:uiPriority w:val="0"/>
    <w:rPr>
      <w:rFonts w:ascii="Times New Roman" w:hAnsi="Times New Roman" w:eastAsia="宋体" w:cs="Times New Roman"/>
      <w:b/>
      <w:bCs/>
      <w:sz w:val="28"/>
      <w:szCs w:val="28"/>
    </w:rPr>
  </w:style>
  <w:style w:type="character" w:customStyle="1" w:styleId="83">
    <w:name w:val="批注主题 Char"/>
    <w:basedOn w:val="84"/>
    <w:link w:val="35"/>
    <w:semiHidden/>
    <w:qFormat/>
    <w:uiPriority w:val="0"/>
    <w:rPr>
      <w:rFonts w:ascii="Times New Roman" w:hAnsi="Times New Roman" w:eastAsia="宋体" w:cs="Times New Roman"/>
      <w:b/>
      <w:bCs/>
      <w:szCs w:val="24"/>
    </w:rPr>
  </w:style>
  <w:style w:type="character" w:customStyle="1" w:styleId="84">
    <w:name w:val="批注文字 字符1"/>
    <w:basedOn w:val="23"/>
    <w:qFormat/>
    <w:uiPriority w:val="0"/>
    <w:rPr>
      <w:rFonts w:ascii="Times New Roman" w:hAnsi="Times New Roman" w:eastAsia="宋体" w:cs="Times New Roman"/>
      <w:szCs w:val="24"/>
    </w:rPr>
  </w:style>
  <w:style w:type="character" w:customStyle="1" w:styleId="85">
    <w:name w:val="批注文字 Char"/>
    <w:link w:val="11"/>
    <w:semiHidden/>
    <w:qFormat/>
    <w:uiPriority w:val="0"/>
    <w:rPr>
      <w:rFonts w:eastAsia="宋体"/>
      <w:szCs w:val="24"/>
    </w:rPr>
  </w:style>
  <w:style w:type="character" w:customStyle="1" w:styleId="86">
    <w:name w:val="正文文本 Char"/>
    <w:basedOn w:val="23"/>
    <w:link w:val="12"/>
    <w:semiHidden/>
    <w:qFormat/>
    <w:uiPriority w:val="0"/>
    <w:rPr>
      <w:rFonts w:ascii="Calibri" w:hAnsi="Calibri" w:eastAsia="宋体" w:cs="Times New Roman"/>
      <w:sz w:val="22"/>
      <w:szCs w:val="24"/>
    </w:rPr>
  </w:style>
  <w:style w:type="character" w:customStyle="1" w:styleId="87">
    <w:name w:val="正文文本缩进 Char"/>
    <w:link w:val="33"/>
    <w:semiHidden/>
    <w:qFormat/>
    <w:uiPriority w:val="0"/>
    <w:rPr>
      <w:rFonts w:ascii="Times New Roman" w:hAnsi="Times New Roman" w:eastAsia="宋体" w:cs="Times New Roman"/>
      <w:szCs w:val="24"/>
    </w:rPr>
  </w:style>
  <w:style w:type="character" w:customStyle="1" w:styleId="88">
    <w:name w:val="纯文本 Char"/>
    <w:link w:val="36"/>
    <w:semiHidden/>
    <w:qFormat/>
    <w:uiPriority w:val="0"/>
    <w:rPr>
      <w:rFonts w:ascii="宋体" w:hAnsi="Courier New" w:eastAsia="华文宋体"/>
      <w:sz w:val="28"/>
    </w:rPr>
  </w:style>
  <w:style w:type="character" w:customStyle="1" w:styleId="89">
    <w:name w:val="日期 Char"/>
    <w:basedOn w:val="23"/>
    <w:link w:val="37"/>
    <w:semiHidden/>
    <w:qFormat/>
    <w:uiPriority w:val="0"/>
    <w:rPr>
      <w:rFonts w:ascii="Times New Roman" w:hAnsi="Times New Roman" w:eastAsia="宋体" w:cs="Times New Roman"/>
      <w:szCs w:val="24"/>
    </w:rPr>
  </w:style>
  <w:style w:type="character" w:customStyle="1" w:styleId="90">
    <w:name w:val="正文文本缩进 2 Char"/>
    <w:basedOn w:val="23"/>
    <w:link w:val="38"/>
    <w:semiHidden/>
    <w:qFormat/>
    <w:uiPriority w:val="0"/>
    <w:rPr>
      <w:rFonts w:ascii="Times New Roman" w:hAnsi="Times New Roman" w:eastAsia="宋体" w:cs="Times New Roman"/>
      <w:szCs w:val="24"/>
    </w:rPr>
  </w:style>
  <w:style w:type="character" w:customStyle="1" w:styleId="91">
    <w:name w:val="页脚 Char"/>
    <w:basedOn w:val="23"/>
    <w:link w:val="14"/>
    <w:semiHidden/>
    <w:qFormat/>
    <w:uiPriority w:val="0"/>
    <w:rPr>
      <w:rFonts w:ascii="Times New Roman" w:hAnsi="Times New Roman" w:eastAsia="宋体" w:cs="Times New Roman"/>
      <w:sz w:val="18"/>
      <w:szCs w:val="18"/>
    </w:rPr>
  </w:style>
  <w:style w:type="character" w:customStyle="1" w:styleId="92">
    <w:name w:val="正文首行缩进 2 Char"/>
    <w:link w:val="32"/>
    <w:semiHidden/>
    <w:qFormat/>
    <w:uiPriority w:val="0"/>
    <w:rPr>
      <w:rFonts w:ascii="Times New Roman" w:hAnsi="Times New Roman" w:eastAsia="宋体" w:cs="Times New Roman"/>
      <w:szCs w:val="24"/>
    </w:rPr>
  </w:style>
  <w:style w:type="character" w:customStyle="1" w:styleId="93">
    <w:name w:val="页眉 Char"/>
    <w:link w:val="15"/>
    <w:semiHidden/>
    <w:qFormat/>
    <w:uiPriority w:val="0"/>
    <w:rPr>
      <w:rFonts w:ascii="Times New Roman" w:hAnsi="Times New Roman" w:eastAsia="宋体" w:cs="Times New Roman"/>
      <w:sz w:val="18"/>
      <w:szCs w:val="18"/>
    </w:rPr>
  </w:style>
  <w:style w:type="character" w:customStyle="1" w:styleId="94">
    <w:name w:val="正文文本缩进 3 Char"/>
    <w:basedOn w:val="23"/>
    <w:link w:val="39"/>
    <w:semiHidden/>
    <w:qFormat/>
    <w:uiPriority w:val="0"/>
    <w:rPr>
      <w:rFonts w:ascii="Times New Roman" w:hAnsi="Times New Roman" w:eastAsia="宋体" w:cs="Times New Roman"/>
      <w:sz w:val="16"/>
      <w:szCs w:val="16"/>
    </w:rPr>
  </w:style>
  <w:style w:type="character" w:customStyle="1" w:styleId="95">
    <w:name w:val="HTML 预设格式 Char"/>
    <w:basedOn w:val="23"/>
    <w:link w:val="40"/>
    <w:semiHidden/>
    <w:qFormat/>
    <w:uiPriority w:val="0"/>
    <w:rPr>
      <w:rFonts w:ascii="宋体" w:hAnsi="宋体" w:eastAsia="宋体" w:cs="宋体"/>
      <w:kern w:val="0"/>
      <w:sz w:val="24"/>
      <w:szCs w:val="24"/>
    </w:rPr>
  </w:style>
  <w:style w:type="character" w:customStyle="1" w:styleId="96">
    <w:name w:val="标题 Char"/>
    <w:basedOn w:val="23"/>
    <w:link w:val="19"/>
    <w:semiHidden/>
    <w:qFormat/>
    <w:uiPriority w:val="0"/>
    <w:rPr>
      <w:rFonts w:ascii="Cambria" w:hAnsi="Cambria" w:eastAsia="宋体" w:cs="Times New Roman"/>
      <w:b/>
      <w:bCs/>
      <w:sz w:val="32"/>
      <w:szCs w:val="32"/>
    </w:rPr>
  </w:style>
  <w:style w:type="character" w:customStyle="1" w:styleId="97">
    <w:name w:val="批注框文本 Char Char Char"/>
    <w:link w:val="41"/>
    <w:semiHidden/>
    <w:qFormat/>
    <w:uiPriority w:val="0"/>
    <w:rPr>
      <w:rFonts w:eastAsia="宋体"/>
      <w:sz w:val="18"/>
      <w:szCs w:val="18"/>
    </w:rPr>
  </w:style>
  <w:style w:type="character" w:customStyle="1" w:styleId="98">
    <w:name w:val="page number"/>
    <w:basedOn w:val="23"/>
    <w:qFormat/>
    <w:uiPriority w:val="0"/>
    <w:rPr>
      <w:rFonts w:ascii="Times New Roman" w:hAnsi="Times New Roman" w:eastAsia="宋体" w:cs="Times New Roman"/>
    </w:rPr>
  </w:style>
  <w:style w:type="character" w:customStyle="1" w:styleId="99">
    <w:name w:val="annotation reference"/>
    <w:qFormat/>
    <w:uiPriority w:val="0"/>
    <w:rPr>
      <w:sz w:val="21"/>
      <w:szCs w:val="21"/>
    </w:rPr>
  </w:style>
  <w:style w:type="character" w:customStyle="1" w:styleId="100">
    <w:name w:val="GW-正文 Char Char"/>
    <w:link w:val="51"/>
    <w:semiHidden/>
    <w:qFormat/>
    <w:uiPriority w:val="0"/>
    <w:rPr>
      <w:szCs w:val="24"/>
    </w:rPr>
  </w:style>
  <w:style w:type="character" w:customStyle="1" w:styleId="101">
    <w:name w:val="纯文本 Char Char"/>
    <w:qFormat/>
    <w:uiPriority w:val="0"/>
    <w:rPr>
      <w:rFonts w:ascii="宋体" w:hAnsi="Courier New" w:eastAsia="宋体" w:cs="Courier New"/>
      <w:kern w:val="2"/>
      <w:sz w:val="21"/>
      <w:szCs w:val="21"/>
      <w:lang w:val="en-US" w:eastAsia="zh-CN" w:bidi="ar-SA"/>
    </w:rPr>
  </w:style>
  <w:style w:type="character" w:customStyle="1" w:styleId="102">
    <w:name w:val="正文文本缩进 Char Char"/>
    <w:link w:val="52"/>
    <w:semiHidden/>
    <w:qFormat/>
    <w:uiPriority w:val="0"/>
    <w:rPr>
      <w:rFonts w:ascii="楷体_GB2312" w:hAnsi="Calibri" w:eastAsia="楷体_GB2312"/>
      <w:sz w:val="32"/>
    </w:rPr>
  </w:style>
  <w:style w:type="character" w:customStyle="1" w:styleId="103">
    <w:name w:val="列出段落 Char"/>
    <w:link w:val="50"/>
    <w:semiHidden/>
    <w:qFormat/>
    <w:uiPriority w:val="0"/>
    <w:rPr>
      <w:rFonts w:ascii="Times New Roman" w:hAnsi="Times New Roman" w:eastAsia="宋体" w:cs="Times New Roman"/>
      <w:szCs w:val="24"/>
    </w:rPr>
  </w:style>
  <w:style w:type="character" w:customStyle="1" w:styleId="104">
    <w:name w:val="mwp_cyl_i4"/>
    <w:qFormat/>
    <w:uiPriority w:val="0"/>
    <w:rPr>
      <w:rFonts w:ascii="Times New Roman" w:hAnsi="Times New Roman" w:eastAsia="宋体" w:cs="Times New Roman"/>
      <w:bdr w:val="single" w:color="7F9DB9" w:sz="6" w:space="0"/>
    </w:rPr>
  </w:style>
  <w:style w:type="character" w:customStyle="1" w:styleId="105">
    <w:name w:val="正文文本缩进 Char Char Char"/>
    <w:qFormat/>
    <w:uiPriority w:val="0"/>
    <w:rPr>
      <w:rFonts w:ascii="楷体_GB2312" w:hAnsi="Calibri" w:eastAsia="楷体_GB2312"/>
      <w:kern w:val="2"/>
      <w:sz w:val="32"/>
      <w:lang w:val="en-US" w:eastAsia="zh-CN"/>
    </w:rPr>
  </w:style>
  <w:style w:type="character" w:customStyle="1" w:styleId="106">
    <w:name w:val="正文文本缩进 2 Char Char"/>
    <w:link w:val="54"/>
    <w:semiHidden/>
    <w:qFormat/>
    <w:uiPriority w:val="0"/>
    <w:rPr>
      <w:rFonts w:ascii="Arial" w:hAnsi="Arial" w:eastAsia="仿宋_GB2312"/>
      <w:sz w:val="32"/>
    </w:rPr>
  </w:style>
  <w:style w:type="character" w:customStyle="1" w:styleId="107">
    <w:name w:val="Char Char2"/>
    <w:qFormat/>
    <w:uiPriority w:val="0"/>
    <w:rPr>
      <w:rFonts w:ascii="宋体" w:hAnsi="Courier New" w:eastAsia="华文宋体" w:cs="Times New Roman"/>
      <w:sz w:val="28"/>
      <w:szCs w:val="20"/>
    </w:rPr>
  </w:style>
  <w:style w:type="character" w:customStyle="1" w:styleId="108">
    <w:name w:val="正文文本缩进 字符1"/>
    <w:basedOn w:val="23"/>
    <w:qFormat/>
    <w:uiPriority w:val="0"/>
    <w:rPr>
      <w:rFonts w:ascii="Times New Roman" w:hAnsi="Times New Roman" w:eastAsia="宋体" w:cs="Times New Roman"/>
      <w:szCs w:val="24"/>
    </w:rPr>
  </w:style>
  <w:style w:type="character" w:customStyle="1" w:styleId="109">
    <w:name w:val="正文文本首行缩进 2 字符1"/>
    <w:basedOn w:val="108"/>
    <w:qFormat/>
    <w:uiPriority w:val="0"/>
    <w:rPr>
      <w:rFonts w:ascii="Times New Roman" w:hAnsi="Times New Roman" w:eastAsia="宋体" w:cs="Times New Roman"/>
      <w:szCs w:val="24"/>
    </w:rPr>
  </w:style>
  <w:style w:type="character" w:customStyle="1" w:styleId="110">
    <w:name w:val="页眉 字符1"/>
    <w:basedOn w:val="23"/>
    <w:qFormat/>
    <w:uiPriority w:val="0"/>
    <w:rPr>
      <w:rFonts w:ascii="Times New Roman" w:hAnsi="Times New Roman" w:eastAsia="宋体" w:cs="Times New Roman"/>
      <w:sz w:val="18"/>
      <w:szCs w:val="18"/>
    </w:rPr>
  </w:style>
  <w:style w:type="character" w:customStyle="1" w:styleId="111">
    <w:name w:val="纯文本 字符1"/>
    <w:basedOn w:val="23"/>
    <w:qFormat/>
    <w:uiPriority w:val="0"/>
    <w:rPr>
      <w:rFonts w:ascii="宋体" w:hAnsi="Courier New" w:cs="Courier New"/>
      <w:szCs w:val="24"/>
    </w:rPr>
  </w:style>
  <w:style w:type="character" w:customStyle="1" w:styleId="112">
    <w:name w:val="批注框文本 字符1"/>
    <w:basedOn w:val="23"/>
    <w:qFormat/>
    <w:uiPriority w:val="0"/>
    <w:rPr>
      <w:rFonts w:ascii="Times New Roman" w:hAnsi="Times New Roman" w:eastAsia="宋体" w:cs="Times New Roman"/>
      <w:sz w:val="18"/>
      <w:szCs w:val="18"/>
    </w:rPr>
  </w:style>
  <w:style w:type="character" w:customStyle="1" w:styleId="113">
    <w:name w:val="font01"/>
    <w:basedOn w:val="23"/>
    <w:qFormat/>
    <w:uiPriority w:val="0"/>
    <w:rPr>
      <w:rFonts w:hint="eastAsia" w:ascii="宋体" w:hAnsi="宋体" w:eastAsia="宋体" w:cs="宋体"/>
      <w:color w:val="000000"/>
      <w:sz w:val="20"/>
      <w:szCs w:val="20"/>
      <w:u w:val="none"/>
    </w:rPr>
  </w:style>
  <w:style w:type="character" w:customStyle="1" w:styleId="114">
    <w:name w:val="font11"/>
    <w:basedOn w:val="23"/>
    <w:qFormat/>
    <w:uiPriority w:val="0"/>
    <w:rPr>
      <w:rFonts w:hint="eastAsia" w:ascii="宋体" w:hAnsi="宋体" w:eastAsia="宋体" w:cs="宋体"/>
      <w:color w:val="000000"/>
      <w:sz w:val="21"/>
      <w:szCs w:val="21"/>
      <w:u w:val="none"/>
    </w:rPr>
  </w:style>
  <w:style w:type="character" w:customStyle="1" w:styleId="115">
    <w:name w:val="font31"/>
    <w:basedOn w:val="23"/>
    <w:qFormat/>
    <w:uiPriority w:val="0"/>
    <w:rPr>
      <w:rFonts w:hint="eastAsia" w:ascii="宋体" w:hAnsi="宋体" w:eastAsia="宋体" w:cs="宋体"/>
      <w:color w:val="000000"/>
      <w:sz w:val="21"/>
      <w:szCs w:val="21"/>
      <w:u w:val="none"/>
    </w:rPr>
  </w:style>
  <w:style w:type="character" w:customStyle="1" w:styleId="116">
    <w:name w:val="font21"/>
    <w:basedOn w:val="23"/>
    <w:qFormat/>
    <w:uiPriority w:val="0"/>
    <w:rPr>
      <w:rFonts w:hint="default" w:ascii="Times New Roman" w:hAnsi="Times New Roman" w:cs="Times New Roman"/>
      <w:color w:val="000000"/>
      <w:sz w:val="21"/>
      <w:szCs w:val="21"/>
      <w:u w:val="none"/>
    </w:rPr>
  </w:style>
  <w:style w:type="character" w:customStyle="1" w:styleId="117">
    <w:name w:val="NormalCharacter"/>
    <w:qFormat/>
    <w:uiPriority w:val="0"/>
    <w:rPr>
      <w:rFonts w:ascii="Times New Roman" w:hAnsi="Times New Roman" w:eastAsia="宋体" w:cs="Times New Roman"/>
      <w:kern w:val="2"/>
      <w:sz w:val="21"/>
      <w:szCs w:val="24"/>
      <w:lang w:val="en-US" w:eastAsia="zh-CN" w:bidi="ar-SA"/>
    </w:rPr>
  </w:style>
  <w:style w:type="character" w:customStyle="1" w:styleId="118">
    <w:name w:val="qh_txt"/>
    <w:basedOn w:val="23"/>
    <w:qFormat/>
    <w:uiPriority w:val="0"/>
  </w:style>
  <w:style w:type="character" w:customStyle="1" w:styleId="119">
    <w:name w:val="qh_bg"/>
    <w:basedOn w:val="23"/>
    <w:qFormat/>
    <w:uiPriority w:val="0"/>
    <w:rPr>
      <w:shd w:val="clear" w:color="000000" w:fill="005EA9"/>
    </w:rPr>
  </w:style>
  <w:style w:type="character" w:customStyle="1" w:styleId="120">
    <w:name w:val="qh_bg1"/>
    <w:basedOn w:val="23"/>
    <w:qFormat/>
    <w:uiPriority w:val="0"/>
  </w:style>
  <w:style w:type="character" w:customStyle="1" w:styleId="121">
    <w:name w:val="qh_bg2"/>
    <w:basedOn w:val="23"/>
    <w:qFormat/>
    <w:uiPriority w:val="0"/>
    <w:rPr>
      <w:shd w:val="clear" w:color="000000" w:fill="005EA9"/>
    </w:rPr>
  </w:style>
  <w:style w:type="character" w:customStyle="1" w:styleId="122">
    <w:name w:val="qh_bg3"/>
    <w:basedOn w:val="23"/>
    <w:qFormat/>
    <w:uiPriority w:val="0"/>
    <w:rPr>
      <w:shd w:val="clear" w:color="000000" w:fill="003297"/>
    </w:rPr>
  </w:style>
  <w:style w:type="character" w:customStyle="1" w:styleId="123">
    <w:name w:val="qh_bg4"/>
    <w:basedOn w:val="23"/>
    <w:qFormat/>
    <w:uiPriority w:val="0"/>
    <w:rPr>
      <w:shd w:val="clear" w:color="000000" w:fill="003297"/>
    </w:rPr>
  </w:style>
  <w:style w:type="character" w:customStyle="1" w:styleId="124">
    <w:name w:val="qh_bg5"/>
    <w:basedOn w:val="23"/>
    <w:qFormat/>
    <w:uiPriority w:val="0"/>
  </w:style>
  <w:style w:type="character" w:customStyle="1" w:styleId="125">
    <w:name w:val="qh_bg6"/>
    <w:basedOn w:val="23"/>
    <w:qFormat/>
    <w:uiPriority w:val="0"/>
    <w:rPr>
      <w:shd w:val="clear" w:color="000000" w:fill="003297"/>
    </w:rPr>
  </w:style>
  <w:style w:type="character" w:customStyle="1" w:styleId="126">
    <w:name w:val="qh_bg7"/>
    <w:basedOn w:val="23"/>
    <w:qFormat/>
    <w:uiPriority w:val="0"/>
    <w:rPr>
      <w:shd w:val="clear" w:color="000000" w:fill="003297"/>
    </w:rPr>
  </w:style>
  <w:style w:type="character" w:customStyle="1" w:styleId="127">
    <w:name w:val="qh_bg8"/>
    <w:basedOn w:val="23"/>
    <w:qFormat/>
    <w:uiPriority w:val="0"/>
  </w:style>
  <w:style w:type="character" w:customStyle="1" w:styleId="128">
    <w:name w:val="qh_bg9"/>
    <w:basedOn w:val="23"/>
    <w:qFormat/>
    <w:uiPriority w:val="0"/>
  </w:style>
  <w:style w:type="character" w:customStyle="1" w:styleId="129">
    <w:name w:val="qh_bg10"/>
    <w:basedOn w:val="23"/>
    <w:qFormat/>
    <w:uiPriority w:val="0"/>
  </w:style>
  <w:style w:type="character" w:customStyle="1" w:styleId="130">
    <w:name w:val="qh_bg11"/>
    <w:basedOn w:val="23"/>
    <w:qFormat/>
    <w:uiPriority w:val="0"/>
  </w:style>
  <w:style w:type="character" w:customStyle="1" w:styleId="131">
    <w:name w:val="qh_bg12"/>
    <w:basedOn w:val="23"/>
    <w:qFormat/>
    <w:uiPriority w:val="0"/>
  </w:style>
  <w:style w:type="character" w:customStyle="1" w:styleId="132">
    <w:name w:val="qh_bg13"/>
    <w:basedOn w:val="23"/>
    <w:qFormat/>
    <w:uiPriority w:val="0"/>
    <w:rPr>
      <w:shd w:val="clear" w:color="000000" w:fill="005EA9"/>
    </w:rPr>
  </w:style>
  <w:style w:type="character" w:customStyle="1" w:styleId="133">
    <w:name w:val="qh_bg14"/>
    <w:basedOn w:val="23"/>
    <w:qFormat/>
    <w:uiPriority w:val="0"/>
    <w:rPr>
      <w:shd w:val="clear" w:color="000000" w:fill="005EA9"/>
    </w:rPr>
  </w:style>
  <w:style w:type="character" w:customStyle="1" w:styleId="134">
    <w:name w:val="qh_bg15"/>
    <w:basedOn w:val="23"/>
    <w:qFormat/>
    <w:uiPriority w:val="0"/>
  </w:style>
  <w:style w:type="character" w:customStyle="1" w:styleId="135">
    <w:name w:val="qh_bg16"/>
    <w:basedOn w:val="23"/>
    <w:qFormat/>
    <w:uiPriority w:val="0"/>
    <w:rPr>
      <w:shd w:val="clear" w:color="000000" w:fill="005EA9"/>
    </w:rPr>
  </w:style>
  <w:style w:type="character" w:customStyle="1" w:styleId="136">
    <w:name w:val="qh_bg17"/>
    <w:basedOn w:val="23"/>
    <w:qFormat/>
    <w:uiPriority w:val="0"/>
    <w:rPr>
      <w:shd w:val="clear" w:color="000000" w:fill="14AF3F"/>
    </w:rPr>
  </w:style>
  <w:style w:type="character" w:customStyle="1" w:styleId="137">
    <w:name w:val="qh_bg18"/>
    <w:basedOn w:val="23"/>
    <w:qFormat/>
    <w:uiPriority w:val="0"/>
  </w:style>
  <w:style w:type="character" w:customStyle="1" w:styleId="138">
    <w:name w:val="qh_bg19"/>
    <w:basedOn w:val="23"/>
    <w:qFormat/>
    <w:uiPriority w:val="0"/>
    <w:rPr>
      <w:shd w:val="clear" w:color="000000" w:fill="F46916"/>
    </w:rPr>
  </w:style>
  <w:style w:type="character" w:customStyle="1" w:styleId="139">
    <w:name w:val="qh_bg20"/>
    <w:basedOn w:val="23"/>
    <w:qFormat/>
    <w:uiPriority w:val="0"/>
    <w:rPr>
      <w:shd w:val="clear" w:color="000000" w:fill="003297"/>
    </w:rPr>
  </w:style>
  <w:style w:type="character" w:customStyle="1" w:styleId="140">
    <w:name w:val="qh_bg21"/>
    <w:basedOn w:val="23"/>
    <w:qFormat/>
    <w:uiPriority w:val="0"/>
  </w:style>
  <w:style w:type="character" w:customStyle="1" w:styleId="141">
    <w:name w:val="qh_bg22"/>
    <w:basedOn w:val="23"/>
    <w:qFormat/>
    <w:uiPriority w:val="0"/>
  </w:style>
  <w:style w:type="character" w:customStyle="1" w:styleId="142">
    <w:name w:val="qh_bg23"/>
    <w:basedOn w:val="23"/>
    <w:qFormat/>
    <w:uiPriority w:val="0"/>
  </w:style>
  <w:style w:type="character" w:customStyle="1" w:styleId="143">
    <w:name w:val="qh_bg24"/>
    <w:basedOn w:val="23"/>
    <w:qFormat/>
    <w:uiPriority w:val="0"/>
  </w:style>
  <w:style w:type="character" w:customStyle="1" w:styleId="144">
    <w:name w:val="qh_bg25"/>
    <w:basedOn w:val="23"/>
    <w:qFormat/>
    <w:uiPriority w:val="0"/>
  </w:style>
  <w:style w:type="character" w:customStyle="1" w:styleId="145">
    <w:name w:val="qh_bg26"/>
    <w:basedOn w:val="23"/>
    <w:qFormat/>
    <w:uiPriority w:val="0"/>
  </w:style>
  <w:style w:type="character" w:customStyle="1" w:styleId="146">
    <w:name w:val="qh_bg27"/>
    <w:basedOn w:val="23"/>
    <w:qFormat/>
    <w:uiPriority w:val="0"/>
  </w:style>
  <w:style w:type="character" w:customStyle="1" w:styleId="147">
    <w:name w:val="c2"/>
    <w:basedOn w:val="23"/>
    <w:qFormat/>
    <w:uiPriority w:val="0"/>
  </w:style>
  <w:style w:type="character" w:customStyle="1" w:styleId="148">
    <w:name w:val="jg"/>
    <w:basedOn w:val="23"/>
    <w:qFormat/>
    <w:uiPriority w:val="0"/>
  </w:style>
  <w:style w:type="character" w:customStyle="1" w:styleId="149">
    <w:name w:val="note-content"/>
    <w:basedOn w:val="23"/>
    <w:qFormat/>
    <w:uiPriority w:val="0"/>
    <w:rPr>
      <w:color w:val="333333"/>
    </w:rPr>
  </w:style>
  <w:style w:type="character" w:customStyle="1" w:styleId="150">
    <w:name w:val="sec22"/>
    <w:basedOn w:val="23"/>
    <w:qFormat/>
    <w:uiPriority w:val="0"/>
    <w:rPr>
      <w:b/>
      <w:bCs/>
      <w:color w:val="005EA9"/>
    </w:rPr>
  </w:style>
  <w:style w:type="character" w:customStyle="1" w:styleId="151">
    <w:name w:val="c1"/>
    <w:basedOn w:val="23"/>
    <w:qFormat/>
    <w:uiPriority w:val="0"/>
  </w:style>
  <w:style w:type="character" w:customStyle="1" w:styleId="152">
    <w:name w:val="c3"/>
    <w:basedOn w:val="23"/>
    <w:qFormat/>
    <w:uiPriority w:val="0"/>
  </w:style>
  <w:style w:type="character" w:customStyle="1" w:styleId="153">
    <w:name w:val="tit"/>
    <w:basedOn w:val="23"/>
    <w:qFormat/>
    <w:uiPriority w:val="0"/>
    <w:rPr>
      <w:b/>
      <w:bCs/>
      <w:color w:val="AF0000"/>
    </w:rPr>
  </w:style>
  <w:style w:type="character" w:customStyle="1" w:styleId="154">
    <w:name w:val="font61"/>
    <w:basedOn w:val="23"/>
    <w:qFormat/>
    <w:uiPriority w:val="0"/>
    <w:rPr>
      <w:rFonts w:hint="eastAsia" w:ascii="宋体" w:hAnsi="宋体" w:eastAsia="宋体" w:cs="宋体"/>
      <w:color w:val="000000"/>
      <w:sz w:val="20"/>
      <w:szCs w:val="20"/>
      <w:u w:val="none"/>
    </w:rPr>
  </w:style>
  <w:style w:type="table" w:customStyle="1" w:styleId="155">
    <w:name w:val="Table Normal"/>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17320</Words>
  <Characters>18443</Characters>
  <Lines>170</Lines>
  <Paragraphs>48</Paragraphs>
  <TotalTime>1</TotalTime>
  <ScaleCrop>false</ScaleCrop>
  <LinksUpToDate>false</LinksUpToDate>
  <CharactersWithSpaces>19188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2020-05-09T00:28:00Z</dcterms:created>
  <dc:creator>macw10</dc:creator>
  <cp:lastModifiedBy>WPS_1683679694</cp:lastModifiedBy>
  <cp:lastPrinted>2023-10-07T08:01:00Z</cp:lastPrinted>
  <dcterms:modified xsi:type="dcterms:W3CDTF">2023-10-08T00:57:17Z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E702DB1780AC4CEEA1E5874F02C935E5</vt:lpwstr>
  </property>
</Properties>
</file>