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bidi w:val="0"/>
        <w:snapToGrid w:val="0"/>
        <w:spacing w:beforeAutospacing="0" w:afterAutospacing="0" w:line="360" w:lineRule="auto"/>
        <w:ind w:left="0" w:leftChars="0" w:right="0" w:rightChars="0" w:firstLine="0" w:firstLineChars="0"/>
        <w:jc w:val="center"/>
        <w:textAlignment w:val="auto"/>
        <w:rPr>
          <w:rFonts w:hint="eastAsia" w:asciiTheme="minorEastAsia" w:hAnsiTheme="minorEastAsia" w:cstheme="minorEastAsia"/>
          <w:b/>
          <w:color w:val="auto"/>
          <w:sz w:val="36"/>
          <w:szCs w:val="36"/>
          <w:highlight w:val="none"/>
          <w:u w:val="none"/>
          <w:lang w:val="en-US" w:eastAsia="zh-CN"/>
        </w:rPr>
      </w:pPr>
    </w:p>
    <w:p>
      <w:pPr>
        <w:keepNext w:val="0"/>
        <w:keepLines w:val="0"/>
        <w:pageBreakBefore w:val="0"/>
        <w:kinsoku/>
        <w:overflowPunct/>
        <w:topLinePunct w:val="0"/>
        <w:bidi w:val="0"/>
        <w:snapToGrid w:val="0"/>
        <w:spacing w:beforeAutospacing="0" w:afterAutospacing="0" w:line="360" w:lineRule="auto"/>
        <w:ind w:left="0" w:leftChars="0" w:right="0" w:rightChars="0" w:firstLine="0" w:firstLineChars="0"/>
        <w:jc w:val="center"/>
        <w:textAlignment w:val="auto"/>
        <w:rPr>
          <w:rFonts w:hint="eastAsia" w:asciiTheme="minorEastAsia" w:hAnsiTheme="minorEastAsia" w:eastAsiaTheme="minorEastAsia" w:cstheme="minorEastAsia"/>
          <w:b/>
          <w:color w:val="auto"/>
          <w:sz w:val="36"/>
          <w:szCs w:val="36"/>
          <w:highlight w:val="none"/>
          <w:lang w:eastAsia="zh-CN"/>
        </w:rPr>
      </w:pPr>
      <w:r>
        <w:rPr>
          <w:rFonts w:hint="eastAsia" w:ascii="宋体" w:hAnsi="宋体" w:cs="宋体"/>
          <w:b/>
          <w:bCs/>
          <w:sz w:val="40"/>
          <w:szCs w:val="40"/>
        </w:rPr>
        <w:t>铜陵学院风雨操场铝合金门窗采购及安装项目</w:t>
      </w:r>
      <w:r>
        <w:rPr>
          <w:rFonts w:hint="eastAsia" w:asciiTheme="minorEastAsia" w:hAnsiTheme="minorEastAsia" w:eastAsiaTheme="minorEastAsia" w:cstheme="minorEastAsia"/>
          <w:b/>
          <w:color w:val="auto"/>
          <w:sz w:val="36"/>
          <w:szCs w:val="36"/>
          <w:highlight w:val="none"/>
          <w:lang w:eastAsia="zh-CN"/>
        </w:rPr>
        <w:t>需求</w:t>
      </w:r>
    </w:p>
    <w:p>
      <w:pPr>
        <w:keepNext w:val="0"/>
        <w:keepLines w:val="0"/>
        <w:pageBreakBefore w:val="0"/>
        <w:kinsoku/>
        <w:overflowPunct/>
        <w:topLinePunct w:val="0"/>
        <w:bidi w:val="0"/>
        <w:snapToGrid w:val="0"/>
        <w:spacing w:beforeAutospacing="0" w:afterAutospacing="0" w:line="360" w:lineRule="auto"/>
        <w:ind w:right="0" w:rightChars="0" w:firstLine="2240" w:firstLineChars="800"/>
        <w:textAlignment w:val="auto"/>
        <w:rPr>
          <w:rFonts w:hint="eastAsia" w:asciiTheme="minorEastAsia" w:hAnsiTheme="minorEastAsia" w:eastAsiaTheme="minorEastAsia" w:cstheme="minorEastAsia"/>
          <w:color w:val="auto"/>
          <w:sz w:val="28"/>
          <w:szCs w:val="28"/>
          <w:highlight w:val="none"/>
          <w:lang w:eastAsia="zh-CN"/>
        </w:rPr>
      </w:pPr>
    </w:p>
    <w:p>
      <w:pPr>
        <w:keepNext w:val="0"/>
        <w:keepLines w:val="0"/>
        <w:pageBreakBefore w:val="0"/>
        <w:kinsoku/>
        <w:overflowPunct/>
        <w:topLinePunct w:val="0"/>
        <w:bidi w:val="0"/>
        <w:snapToGrid w:val="0"/>
        <w:spacing w:beforeAutospacing="0" w:afterAutospacing="0" w:line="360" w:lineRule="auto"/>
        <w:ind w:right="0" w:rightChars="0"/>
        <w:textAlignment w:val="auto"/>
        <w:rPr>
          <w:rFonts w:hint="eastAsia" w:asciiTheme="minorEastAsia" w:hAnsiTheme="minorEastAsia" w:eastAsiaTheme="minorEastAsia" w:cstheme="minorEastAsia"/>
          <w:color w:val="auto"/>
          <w:sz w:val="32"/>
          <w:szCs w:val="32"/>
          <w:highlight w:val="none"/>
          <w:u w:val="single"/>
          <w:lang w:val="en-US" w:eastAsia="zh-CN"/>
        </w:rPr>
      </w:pPr>
      <w:r>
        <w:rPr>
          <w:rFonts w:hint="eastAsia" w:asciiTheme="minorEastAsia" w:hAnsiTheme="minorEastAsia" w:eastAsiaTheme="minorEastAsia" w:cstheme="minorEastAsia"/>
          <w:color w:val="auto"/>
          <w:sz w:val="28"/>
          <w:szCs w:val="28"/>
          <w:highlight w:val="none"/>
          <w:lang w:eastAsia="zh-CN"/>
        </w:rPr>
        <w:t>采购单位：</w:t>
      </w:r>
      <w:r>
        <w:rPr>
          <w:rFonts w:hint="eastAsia" w:asciiTheme="minorEastAsia" w:hAnsiTheme="minorEastAsia" w:cstheme="minorEastAsia"/>
          <w:color w:val="auto"/>
          <w:sz w:val="28"/>
          <w:szCs w:val="28"/>
          <w:highlight w:val="none"/>
          <w:lang w:eastAsia="zh-CN"/>
        </w:rPr>
        <w:t>铜陵学院</w:t>
      </w:r>
    </w:p>
    <w:p>
      <w:pPr>
        <w:keepNext w:val="0"/>
        <w:keepLines w:val="0"/>
        <w:pageBreakBefore w:val="0"/>
        <w:numPr>
          <w:ilvl w:val="0"/>
          <w:numId w:val="0"/>
        </w:numPr>
        <w:kinsoku/>
        <w:overflowPunct/>
        <w:topLinePunct w:val="0"/>
        <w:bidi w:val="0"/>
        <w:snapToGrid w:val="0"/>
        <w:spacing w:beforeAutospacing="0" w:afterAutospacing="0" w:line="360" w:lineRule="auto"/>
        <w:ind w:right="0" w:rightChars="0" w:firstLine="562" w:firstLineChars="200"/>
        <w:textAlignment w:val="auto"/>
        <w:rPr>
          <w:rFonts w:hint="eastAsia" w:asciiTheme="minorEastAsia" w:hAnsiTheme="minorEastAsia" w:eastAsiaTheme="minorEastAsia" w:cstheme="minorEastAsia"/>
          <w:b/>
          <w:bCs/>
          <w:color w:val="auto"/>
          <w:sz w:val="28"/>
          <w:szCs w:val="28"/>
          <w:highlight w:val="none"/>
          <w:lang w:eastAsia="zh-CN"/>
        </w:rPr>
      </w:pPr>
      <w:r>
        <w:rPr>
          <w:rFonts w:hint="eastAsia" w:asciiTheme="minorEastAsia" w:hAnsiTheme="minorEastAsia" w:cstheme="minorEastAsia"/>
          <w:b/>
          <w:bCs/>
          <w:color w:val="auto"/>
          <w:sz w:val="28"/>
          <w:szCs w:val="28"/>
          <w:highlight w:val="none"/>
          <w:lang w:val="en-US" w:eastAsia="zh-CN"/>
        </w:rPr>
        <w:t>一、</w:t>
      </w:r>
      <w:r>
        <w:rPr>
          <w:rFonts w:hint="eastAsia" w:asciiTheme="minorEastAsia" w:hAnsiTheme="minorEastAsia" w:eastAsiaTheme="minorEastAsia" w:cstheme="minorEastAsia"/>
          <w:b/>
          <w:bCs/>
          <w:color w:val="auto"/>
          <w:sz w:val="28"/>
          <w:szCs w:val="28"/>
          <w:highlight w:val="none"/>
          <w:lang w:eastAsia="zh-CN"/>
        </w:rPr>
        <w:t>项目基本情况、项目背景、采购内容</w:t>
      </w:r>
    </w:p>
    <w:p>
      <w:pPr>
        <w:widowControl/>
        <w:shd w:val="clear" w:color="auto" w:fill="FFFFFF"/>
        <w:spacing w:line="360" w:lineRule="auto"/>
        <w:ind w:firstLine="560" w:firstLineChars="200"/>
        <w:jc w:val="left"/>
        <w:rPr>
          <w:rFonts w:hint="eastAsia" w:asciiTheme="minorEastAsia" w:hAnsiTheme="minorEastAsia" w:cstheme="minorEastAsia"/>
          <w:color w:val="auto"/>
          <w:kern w:val="0"/>
          <w:sz w:val="28"/>
          <w:szCs w:val="28"/>
          <w:lang w:val="en-US" w:eastAsia="zh-CN"/>
        </w:rPr>
      </w:pPr>
      <w:r>
        <w:rPr>
          <w:rFonts w:hint="eastAsia" w:asciiTheme="minorEastAsia" w:hAnsiTheme="minorEastAsia" w:cstheme="minorEastAsia"/>
          <w:color w:val="auto"/>
          <w:kern w:val="0"/>
          <w:sz w:val="28"/>
          <w:szCs w:val="28"/>
          <w:lang w:val="en-US" w:eastAsia="zh-CN"/>
        </w:rPr>
        <w:t>完成铜陵学院风雨操场铝合金门窗采购及安装，最高投标限价：1177651.34元。</w:t>
      </w:r>
    </w:p>
    <w:p>
      <w:pPr>
        <w:keepNext w:val="0"/>
        <w:keepLines w:val="0"/>
        <w:pageBreakBefore w:val="0"/>
        <w:numPr>
          <w:ilvl w:val="0"/>
          <w:numId w:val="0"/>
        </w:numPr>
        <w:kinsoku/>
        <w:overflowPunct/>
        <w:topLinePunct w:val="0"/>
        <w:bidi w:val="0"/>
        <w:snapToGrid w:val="0"/>
        <w:spacing w:beforeAutospacing="0" w:afterAutospacing="0" w:line="360" w:lineRule="auto"/>
        <w:ind w:right="0" w:rightChars="0" w:firstLine="560" w:firstLineChars="200"/>
        <w:textAlignment w:val="auto"/>
        <w:rPr>
          <w:rFonts w:hint="eastAsia" w:asciiTheme="minorEastAsia" w:hAnsiTheme="minorEastAsia" w:cstheme="minorEastAsia"/>
          <w:color w:val="auto"/>
          <w:kern w:val="0"/>
          <w:sz w:val="28"/>
          <w:szCs w:val="28"/>
          <w:lang w:val="en-US" w:eastAsia="zh-CN"/>
        </w:rPr>
      </w:pPr>
    </w:p>
    <w:p>
      <w:pPr>
        <w:keepNext w:val="0"/>
        <w:keepLines w:val="0"/>
        <w:pageBreakBefore w:val="0"/>
        <w:numPr>
          <w:ilvl w:val="0"/>
          <w:numId w:val="1"/>
        </w:numPr>
        <w:kinsoku/>
        <w:overflowPunct/>
        <w:topLinePunct w:val="0"/>
        <w:bidi w:val="0"/>
        <w:snapToGrid w:val="0"/>
        <w:spacing w:beforeAutospacing="0" w:afterAutospacing="0" w:line="360" w:lineRule="auto"/>
        <w:ind w:right="0" w:rightChars="0" w:firstLine="562" w:firstLineChars="200"/>
        <w:textAlignment w:val="auto"/>
        <w:rPr>
          <w:rFonts w:hint="eastAsia" w:asciiTheme="minorEastAsia" w:hAnsiTheme="minorEastAsia" w:eastAsiaTheme="minorEastAsia" w:cstheme="minorEastAsia"/>
          <w:b/>
          <w:bCs/>
          <w:color w:val="auto"/>
          <w:sz w:val="28"/>
          <w:szCs w:val="28"/>
          <w:highlight w:val="none"/>
          <w:lang w:eastAsia="zh-CN"/>
        </w:rPr>
      </w:pPr>
      <w:r>
        <w:rPr>
          <w:rFonts w:hint="eastAsia" w:asciiTheme="minorEastAsia" w:hAnsiTheme="minorEastAsia" w:eastAsiaTheme="minorEastAsia" w:cstheme="minorEastAsia"/>
          <w:b/>
          <w:bCs/>
          <w:color w:val="auto"/>
          <w:sz w:val="28"/>
          <w:szCs w:val="28"/>
          <w:highlight w:val="none"/>
          <w:lang w:eastAsia="zh-CN"/>
        </w:rPr>
        <w:t>技术方案或服务内容、范围</w:t>
      </w:r>
    </w:p>
    <w:p>
      <w:pPr>
        <w:spacing w:line="440" w:lineRule="exact"/>
        <w:jc w:val="center"/>
        <w:rPr>
          <w:rFonts w:ascii="黑体" w:hAnsi="宋体" w:eastAsia="黑体"/>
          <w:b/>
          <w:bCs/>
          <w:sz w:val="36"/>
          <w:szCs w:val="36"/>
        </w:rPr>
      </w:pPr>
      <w:r>
        <w:rPr>
          <w:rFonts w:hint="eastAsia" w:asciiTheme="minorEastAsia" w:hAnsiTheme="minorEastAsia" w:cstheme="minorEastAsia"/>
          <w:b/>
          <w:bCs/>
          <w:color w:val="auto"/>
          <w:sz w:val="28"/>
          <w:szCs w:val="28"/>
          <w:highlight w:val="none"/>
          <w:lang w:val="en-US" w:eastAsia="zh-CN"/>
        </w:rPr>
        <w:t xml:space="preserve">   </w:t>
      </w:r>
      <w:r>
        <w:rPr>
          <w:rFonts w:hint="eastAsia" w:ascii="黑体" w:hAnsi="宋体" w:eastAsia="黑体"/>
          <w:b/>
          <w:bCs/>
          <w:sz w:val="36"/>
          <w:szCs w:val="36"/>
        </w:rPr>
        <w:t>采购项目样品清单</w:t>
      </w:r>
    </w:p>
    <w:p>
      <w:pPr>
        <w:spacing w:line="440" w:lineRule="exact"/>
        <w:ind w:firstLine="720" w:firstLineChars="200"/>
        <w:rPr>
          <w:rFonts w:ascii="黑体" w:hAnsi="宋体" w:eastAsia="黑体"/>
          <w:sz w:val="36"/>
          <w:szCs w:val="36"/>
        </w:rPr>
      </w:pPr>
    </w:p>
    <w:tbl>
      <w:tblPr>
        <w:tblStyle w:val="14"/>
        <w:tblW w:w="88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2"/>
        <w:gridCol w:w="4464"/>
        <w:gridCol w:w="2385"/>
        <w:gridCol w:w="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 w:hRule="atLeast"/>
        </w:trPr>
        <w:tc>
          <w:tcPr>
            <w:tcW w:w="1012" w:type="dxa"/>
            <w:vAlign w:val="center"/>
          </w:tcPr>
          <w:p>
            <w:pPr>
              <w:widowControl/>
              <w:jc w:val="center"/>
              <w:textAlignment w:val="center"/>
              <w:rPr>
                <w:rFonts w:ascii="宋体" w:hAnsi="宋体" w:cs="宋体"/>
                <w:color w:val="000000"/>
                <w:sz w:val="24"/>
                <w:szCs w:val="22"/>
              </w:rPr>
            </w:pPr>
            <w:r>
              <w:rPr>
                <w:rFonts w:hint="eastAsia" w:ascii="宋体" w:hAnsi="宋体" w:cs="宋体"/>
                <w:color w:val="000000"/>
                <w:sz w:val="24"/>
                <w:szCs w:val="22"/>
              </w:rPr>
              <w:t>序号</w:t>
            </w:r>
          </w:p>
        </w:tc>
        <w:tc>
          <w:tcPr>
            <w:tcW w:w="4464" w:type="dxa"/>
            <w:vAlign w:val="center"/>
          </w:tcPr>
          <w:p>
            <w:pPr>
              <w:widowControl/>
              <w:jc w:val="center"/>
              <w:textAlignment w:val="center"/>
              <w:rPr>
                <w:rFonts w:ascii="宋体" w:hAnsi="宋体" w:cs="宋体"/>
                <w:color w:val="000000"/>
                <w:sz w:val="24"/>
              </w:rPr>
            </w:pPr>
            <w:r>
              <w:rPr>
                <w:rFonts w:hint="eastAsia" w:ascii="宋体" w:hAnsi="宋体" w:cs="宋体"/>
                <w:color w:val="000000"/>
                <w:sz w:val="24"/>
                <w:szCs w:val="22"/>
              </w:rPr>
              <w:t>规格尺寸</w:t>
            </w:r>
          </w:p>
        </w:tc>
        <w:tc>
          <w:tcPr>
            <w:tcW w:w="2385" w:type="dxa"/>
            <w:vAlign w:val="center"/>
          </w:tcPr>
          <w:p>
            <w:pPr>
              <w:pStyle w:val="13"/>
              <w:ind w:left="0" w:firstLine="0" w:firstLineChars="0"/>
              <w:jc w:val="center"/>
              <w:rPr>
                <w:rFonts w:ascii="宋体" w:hAnsi="宋体" w:cs="宋体"/>
                <w:color w:val="000000"/>
                <w:sz w:val="24"/>
              </w:rPr>
            </w:pPr>
            <w:r>
              <w:rPr>
                <w:rFonts w:hint="eastAsia" w:ascii="宋体" w:hAnsi="宋体" w:cs="宋体"/>
                <w:color w:val="000000"/>
                <w:sz w:val="24"/>
              </w:rPr>
              <w:t>样品内容</w:t>
            </w:r>
          </w:p>
        </w:tc>
        <w:tc>
          <w:tcPr>
            <w:tcW w:w="996" w:type="dxa"/>
            <w:vAlign w:val="center"/>
          </w:tcPr>
          <w:p>
            <w:pPr>
              <w:widowControl/>
              <w:jc w:val="center"/>
              <w:textAlignment w:val="center"/>
              <w:rPr>
                <w:rFonts w:ascii="宋体" w:hAnsi="宋体" w:cs="宋体"/>
                <w:color w:val="000000"/>
                <w:sz w:val="24"/>
                <w:szCs w:val="22"/>
              </w:rPr>
            </w:pPr>
            <w:r>
              <w:rPr>
                <w:rFonts w:hint="eastAsia" w:ascii="宋体" w:hAnsi="宋体" w:cs="宋体"/>
                <w:color w:val="000000"/>
                <w:sz w:val="24"/>
                <w:szCs w:val="22"/>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4" w:hRule="atLeast"/>
        </w:trPr>
        <w:tc>
          <w:tcPr>
            <w:tcW w:w="1012" w:type="dxa"/>
            <w:vAlign w:val="center"/>
          </w:tcPr>
          <w:p>
            <w:pPr>
              <w:widowControl/>
              <w:jc w:val="center"/>
              <w:textAlignment w:val="center"/>
              <w:rPr>
                <w:rFonts w:ascii="宋体" w:hAnsi="宋体" w:cs="宋体"/>
              </w:rPr>
            </w:pPr>
            <w:r>
              <w:rPr>
                <w:rFonts w:hint="eastAsia" w:ascii="宋体" w:hAnsi="宋体" w:cs="宋体"/>
              </w:rPr>
              <w:t>1</w:t>
            </w:r>
          </w:p>
        </w:tc>
        <w:tc>
          <w:tcPr>
            <w:tcW w:w="4464" w:type="dxa"/>
            <w:vAlign w:val="center"/>
          </w:tcPr>
          <w:p>
            <w:pPr>
              <w:widowControl/>
              <w:tabs>
                <w:tab w:val="left" w:pos="1446"/>
                <w:tab w:val="center" w:pos="2184"/>
              </w:tabs>
              <w:spacing w:line="0" w:lineRule="atLeast"/>
              <w:jc w:val="left"/>
              <w:textAlignment w:val="center"/>
            </w:pPr>
            <w:r>
              <w:rPr>
                <w:rFonts w:hint="eastAsia"/>
              </w:rPr>
              <w:t>样品如图所示，颜色不限，底边长与高30cm（含）以上，样品可不配玻璃。</w:t>
            </w:r>
          </w:p>
          <w:p>
            <w:pPr>
              <w:pStyle w:val="13"/>
              <w:ind w:firstLine="480"/>
              <w:rPr>
                <w:rFonts w:ascii="宋体" w:hAnsi="宋体" w:cs="宋体"/>
                <w:color w:val="000000"/>
                <w:sz w:val="24"/>
              </w:rPr>
            </w:pPr>
          </w:p>
          <w:p>
            <w:pPr>
              <w:pStyle w:val="13"/>
              <w:ind w:firstLine="480"/>
              <w:rPr>
                <w:rFonts w:ascii="宋体" w:hAnsi="宋体" w:cs="宋体"/>
                <w:color w:val="000000"/>
                <w:sz w:val="24"/>
              </w:rPr>
            </w:pPr>
          </w:p>
          <w:p>
            <w:pPr>
              <w:pStyle w:val="13"/>
              <w:ind w:left="0" w:firstLine="0" w:firstLineChars="0"/>
              <w:rPr>
                <w:rFonts w:ascii="宋体" w:hAnsi="宋体" w:cs="宋体"/>
                <w:color w:val="000000"/>
                <w:sz w:val="24"/>
              </w:rPr>
            </w:pPr>
            <w:r>
              <w:rPr>
                <w:rFonts w:hint="eastAsia" w:ascii="宋体" w:hAnsi="宋体" w:cs="宋体"/>
                <w:color w:val="000000"/>
                <w:sz w:val="24"/>
              </w:rPr>
              <w:drawing>
                <wp:inline distT="0" distB="0" distL="114300" distR="114300">
                  <wp:extent cx="2078990" cy="1839595"/>
                  <wp:effectExtent l="0" t="0" r="16510" b="8255"/>
                  <wp:docPr id="2" name="图片 1" descr="微信图片_20200425102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微信图片_20200425102946"/>
                          <pic:cNvPicPr>
                            <a:picLocks noChangeAspect="1"/>
                          </pic:cNvPicPr>
                        </pic:nvPicPr>
                        <pic:blipFill>
                          <a:blip r:embed="rId5" cstate="print"/>
                          <a:stretch>
                            <a:fillRect/>
                          </a:stretch>
                        </pic:blipFill>
                        <pic:spPr>
                          <a:xfrm>
                            <a:off x="0" y="0"/>
                            <a:ext cx="2078990" cy="1839595"/>
                          </a:xfrm>
                          <a:prstGeom prst="rect">
                            <a:avLst/>
                          </a:prstGeom>
                          <a:noFill/>
                          <a:ln>
                            <a:noFill/>
                          </a:ln>
                        </pic:spPr>
                      </pic:pic>
                    </a:graphicData>
                  </a:graphic>
                </wp:inline>
              </w:drawing>
            </w:r>
          </w:p>
        </w:tc>
        <w:tc>
          <w:tcPr>
            <w:tcW w:w="2385" w:type="dxa"/>
            <w:vAlign w:val="center"/>
          </w:tcPr>
          <w:p>
            <w:pPr>
              <w:jc w:val="left"/>
            </w:pPr>
            <w:r>
              <w:rPr>
                <w:rFonts w:hint="eastAsia"/>
              </w:rPr>
              <w:t>品名：断桥推拉窗</w:t>
            </w:r>
          </w:p>
          <w:p>
            <w:pPr>
              <w:jc w:val="left"/>
            </w:pPr>
            <w:r>
              <w:rPr>
                <w:rFonts w:hint="eastAsia"/>
              </w:rPr>
              <w:t>玻璃材质：钢化玻璃（样品可不配）</w:t>
            </w:r>
          </w:p>
          <w:p>
            <w:pPr>
              <w:jc w:val="left"/>
            </w:pPr>
            <w:r>
              <w:rPr>
                <w:rFonts w:hint="eastAsia"/>
              </w:rPr>
              <w:t>边框：彩色铝合金</w:t>
            </w:r>
          </w:p>
          <w:p>
            <w:pPr>
              <w:jc w:val="left"/>
            </w:pPr>
            <w:r>
              <w:rPr>
                <w:rFonts w:hint="eastAsia"/>
              </w:rPr>
              <w:t>配件：滑撑、铰链、密封条、锁具等</w:t>
            </w:r>
          </w:p>
          <w:p>
            <w:pPr>
              <w:pStyle w:val="13"/>
              <w:ind w:firstLine="480"/>
              <w:rPr>
                <w:rFonts w:ascii="宋体" w:hAnsi="宋体" w:cs="宋体"/>
                <w:color w:val="000000"/>
                <w:sz w:val="24"/>
              </w:rPr>
            </w:pPr>
          </w:p>
          <w:p>
            <w:pPr>
              <w:pStyle w:val="13"/>
              <w:ind w:firstLine="480"/>
              <w:rPr>
                <w:rFonts w:ascii="宋体" w:hAnsi="宋体" w:cs="宋体"/>
                <w:color w:val="000000"/>
                <w:sz w:val="24"/>
              </w:rPr>
            </w:pPr>
          </w:p>
        </w:tc>
        <w:tc>
          <w:tcPr>
            <w:tcW w:w="996" w:type="dxa"/>
            <w:vAlign w:val="center"/>
          </w:tcPr>
          <w:p>
            <w:pPr>
              <w:widowControl/>
              <w:jc w:val="center"/>
              <w:textAlignment w:val="center"/>
              <w:rPr>
                <w:rFonts w:ascii="宋体" w:hAnsi="宋体" w:cs="宋体"/>
              </w:rPr>
            </w:pPr>
            <w:r>
              <w:rPr>
                <w:rFonts w:hint="eastAsia" w:ascii="宋体" w:hAnsi="宋体" w:cs="宋体"/>
                <w:color w:val="000000"/>
                <w:sz w:val="24"/>
                <w:szCs w:val="22"/>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8" w:hRule="atLeast"/>
        </w:trPr>
        <w:tc>
          <w:tcPr>
            <w:tcW w:w="1012" w:type="dxa"/>
            <w:vAlign w:val="center"/>
          </w:tcPr>
          <w:p>
            <w:pPr>
              <w:widowControl/>
              <w:jc w:val="center"/>
              <w:textAlignment w:val="center"/>
              <w:rPr>
                <w:rFonts w:ascii="宋体" w:hAnsi="宋体" w:cs="宋体"/>
                <w:color w:val="000000"/>
                <w:sz w:val="24"/>
                <w:szCs w:val="22"/>
              </w:rPr>
            </w:pPr>
            <w:r>
              <w:rPr>
                <w:rFonts w:hint="eastAsia" w:ascii="宋体" w:hAnsi="宋体" w:cs="宋体"/>
                <w:color w:val="000000"/>
                <w:sz w:val="24"/>
                <w:szCs w:val="22"/>
              </w:rPr>
              <w:t>2</w:t>
            </w:r>
          </w:p>
        </w:tc>
        <w:tc>
          <w:tcPr>
            <w:tcW w:w="4464" w:type="dxa"/>
            <w:vAlign w:val="center"/>
          </w:tcPr>
          <w:p>
            <w:pPr>
              <w:pStyle w:val="13"/>
              <w:ind w:left="0" w:firstLine="0" w:firstLineChars="0"/>
              <w:rPr>
                <w:rFonts w:ascii="宋体" w:hAnsi="宋体" w:cs="宋体"/>
                <w:color w:val="000000"/>
                <w:sz w:val="24"/>
                <w:highlight w:val="yellow"/>
              </w:rPr>
            </w:pPr>
            <w:r>
              <w:rPr>
                <w:rFonts w:hint="eastAsia" w:ascii="宋体" w:hAnsi="宋体" w:cs="宋体"/>
                <w:color w:val="000000"/>
                <w:sz w:val="24"/>
                <w:highlight w:val="yellow"/>
              </w:rPr>
              <w:drawing>
                <wp:inline distT="0" distB="0" distL="114300" distR="114300">
                  <wp:extent cx="2694940" cy="1781175"/>
                  <wp:effectExtent l="0" t="0" r="10160" b="9525"/>
                  <wp:docPr id="1" name="图片 2" descr="O1CN01e7LwMG1qUaYipW5v5_!!0-item_pic.jpg_430x430q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O1CN01e7LwMG1qUaYipW5v5_!!0-item_pic.jpg_430x430q90"/>
                          <pic:cNvPicPr>
                            <a:picLocks noChangeAspect="1"/>
                          </pic:cNvPicPr>
                        </pic:nvPicPr>
                        <pic:blipFill>
                          <a:blip r:embed="rId6" cstate="print"/>
                          <a:stretch>
                            <a:fillRect/>
                          </a:stretch>
                        </pic:blipFill>
                        <pic:spPr>
                          <a:xfrm>
                            <a:off x="0" y="0"/>
                            <a:ext cx="2694940" cy="1781175"/>
                          </a:xfrm>
                          <a:prstGeom prst="rect">
                            <a:avLst/>
                          </a:prstGeom>
                          <a:noFill/>
                          <a:ln>
                            <a:noFill/>
                          </a:ln>
                        </pic:spPr>
                      </pic:pic>
                    </a:graphicData>
                  </a:graphic>
                </wp:inline>
              </w:drawing>
            </w:r>
          </w:p>
        </w:tc>
        <w:tc>
          <w:tcPr>
            <w:tcW w:w="2385" w:type="dxa"/>
            <w:vAlign w:val="center"/>
          </w:tcPr>
          <w:p>
            <w:pPr>
              <w:jc w:val="left"/>
            </w:pPr>
            <w:r>
              <w:rPr>
                <w:rFonts w:hint="eastAsia"/>
              </w:rPr>
              <w:t>门锁：不锈钢护把、铜芯锁</w:t>
            </w:r>
          </w:p>
          <w:p>
            <w:pPr>
              <w:pStyle w:val="13"/>
              <w:ind w:firstLine="480"/>
              <w:rPr>
                <w:rFonts w:ascii="宋体" w:hAnsi="宋体" w:cs="宋体"/>
                <w:color w:val="000000"/>
                <w:sz w:val="24"/>
                <w:highlight w:val="yellow"/>
              </w:rPr>
            </w:pPr>
          </w:p>
        </w:tc>
        <w:tc>
          <w:tcPr>
            <w:tcW w:w="996" w:type="dxa"/>
            <w:vAlign w:val="center"/>
          </w:tcPr>
          <w:p>
            <w:pPr>
              <w:widowControl/>
              <w:jc w:val="center"/>
              <w:textAlignment w:val="center"/>
              <w:rPr>
                <w:rFonts w:ascii="宋体" w:hAnsi="宋体" w:cs="宋体"/>
                <w:color w:val="000000"/>
                <w:sz w:val="24"/>
                <w:szCs w:val="22"/>
                <w:highlight w:val="yellow"/>
              </w:rPr>
            </w:pPr>
            <w:r>
              <w:rPr>
                <w:rFonts w:hint="eastAsia" w:ascii="宋体" w:hAnsi="宋体" w:cs="宋体"/>
                <w:color w:val="000000"/>
                <w:sz w:val="24"/>
                <w:szCs w:val="22"/>
              </w:rPr>
              <w:t>1套</w:t>
            </w:r>
          </w:p>
        </w:tc>
      </w:tr>
    </w:tbl>
    <w:p>
      <w:pPr>
        <w:keepNext w:val="0"/>
        <w:keepLines w:val="0"/>
        <w:pageBreakBefore w:val="0"/>
        <w:numPr>
          <w:numId w:val="0"/>
        </w:numPr>
        <w:kinsoku/>
        <w:overflowPunct/>
        <w:topLinePunct w:val="0"/>
        <w:bidi w:val="0"/>
        <w:snapToGrid w:val="0"/>
        <w:spacing w:beforeAutospacing="0" w:afterAutospacing="0" w:line="360" w:lineRule="auto"/>
        <w:ind w:right="0" w:rightChars="0"/>
        <w:textAlignment w:val="auto"/>
        <w:rPr>
          <w:rFonts w:hint="default" w:asciiTheme="minorEastAsia" w:hAnsiTheme="minorEastAsia" w:eastAsiaTheme="minorEastAsia" w:cstheme="minorEastAsia"/>
          <w:b/>
          <w:bCs/>
          <w:color w:val="auto"/>
          <w:sz w:val="28"/>
          <w:szCs w:val="28"/>
          <w:highlight w:val="none"/>
          <w:lang w:val="en-US" w:eastAsia="zh-CN"/>
        </w:rPr>
      </w:pPr>
    </w:p>
    <w:tbl>
      <w:tblPr>
        <w:tblStyle w:val="14"/>
        <w:tblW w:w="826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58"/>
        <w:gridCol w:w="1256"/>
        <w:gridCol w:w="1099"/>
        <w:gridCol w:w="3561"/>
        <w:gridCol w:w="720"/>
        <w:gridCol w:w="10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00" w:hRule="atLeast"/>
        </w:trPr>
        <w:tc>
          <w:tcPr>
            <w:tcW w:w="8268"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Times New Roman" w:hAnsi="Times New Roman" w:eastAsia="宋体" w:cs="Times New Roman"/>
                <w:b/>
                <w:bCs/>
                <w:kern w:val="2"/>
                <w:sz w:val="28"/>
                <w:szCs w:val="28"/>
                <w:lang w:val="en-US" w:eastAsia="zh-CN" w:bidi="ar-SA"/>
              </w:rPr>
              <w:t>铜陵学院风雨操场铝合金门窗采购及安装</w:t>
            </w:r>
            <w:r>
              <w:rPr>
                <w:rFonts w:hint="eastAsia" w:cs="Times New Roman"/>
                <w:b/>
                <w:bCs/>
                <w:kern w:val="2"/>
                <w:sz w:val="28"/>
                <w:szCs w:val="28"/>
                <w:lang w:val="en-US" w:eastAsia="zh-CN" w:bidi="ar-SA"/>
              </w:rPr>
              <w:t>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55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序号</w:t>
            </w:r>
          </w:p>
        </w:tc>
        <w:tc>
          <w:tcPr>
            <w:tcW w:w="125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项目编码</w:t>
            </w:r>
          </w:p>
        </w:tc>
        <w:tc>
          <w:tcPr>
            <w:tcW w:w="109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项目名称</w:t>
            </w:r>
          </w:p>
        </w:tc>
        <w:tc>
          <w:tcPr>
            <w:tcW w:w="356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项目特征描述</w:t>
            </w: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计量单位</w:t>
            </w:r>
          </w:p>
        </w:tc>
        <w:tc>
          <w:tcPr>
            <w:tcW w:w="107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工程量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5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109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35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107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5" w:hRule="atLeast"/>
        </w:trPr>
        <w:tc>
          <w:tcPr>
            <w:tcW w:w="55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109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35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107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21" w:hRule="atLeast"/>
        </w:trPr>
        <w:tc>
          <w:tcPr>
            <w:tcW w:w="55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2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010801001001</w:t>
            </w:r>
          </w:p>
        </w:tc>
        <w:tc>
          <w:tcPr>
            <w:tcW w:w="10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木质门</w:t>
            </w:r>
          </w:p>
        </w:tc>
        <w:tc>
          <w:tcPr>
            <w:tcW w:w="356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1.门类型：木质门</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2.框截面尺寸、单扇面积：详见图纸</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3.五金品牌需由建设单位推荐品牌中选择，颜色需经建设单位认可</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4.含门套饰面，全套五金、锁等配套安装</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5.其他:满足图纸设计、招标文件及规范要求</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0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108.18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171" w:hRule="atLeast"/>
        </w:trPr>
        <w:tc>
          <w:tcPr>
            <w:tcW w:w="55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2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010802003001</w:t>
            </w:r>
          </w:p>
        </w:tc>
        <w:tc>
          <w:tcPr>
            <w:tcW w:w="10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铝合金框玻璃门</w:t>
            </w:r>
          </w:p>
        </w:tc>
        <w:tc>
          <w:tcPr>
            <w:tcW w:w="356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1.门类型:铝合金框玻璃门，铝合金型材及五金品牌需由建设单位推荐品牌中选择。</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2.框截面尺寸、单扇面积:详见图纸</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3.颜色需经建设单位认可</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4.含门套饰面，全套五金、锁等配套安装</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5.其他:满足图纸设计、招标文件及规范要求</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0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36" w:hRule="atLeast"/>
        </w:trPr>
        <w:tc>
          <w:tcPr>
            <w:tcW w:w="55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2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010802003002</w:t>
            </w:r>
          </w:p>
        </w:tc>
        <w:tc>
          <w:tcPr>
            <w:tcW w:w="10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铝合金框门联窗</w:t>
            </w:r>
          </w:p>
        </w:tc>
        <w:tc>
          <w:tcPr>
            <w:tcW w:w="356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1.类型:铝合金框门联窗，铝合金型材及五金品牌需由建设单位推荐品牌中选择，[6高透光Low-E+12空气+6透明]中空玻璃,颜色建设单位核定</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2.框截面尺寸、单扇面积:详见图纸</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3.颜色需经建设单位核定</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4.含门套饰面，全套五金、锁等配套安装</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5.其他:满足图纸设计、招标文件及规范要求</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0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436.79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61" w:hRule="atLeast"/>
        </w:trPr>
        <w:tc>
          <w:tcPr>
            <w:tcW w:w="55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4</w:t>
            </w:r>
          </w:p>
        </w:tc>
        <w:tc>
          <w:tcPr>
            <w:tcW w:w="12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010807001002</w:t>
            </w:r>
          </w:p>
        </w:tc>
        <w:tc>
          <w:tcPr>
            <w:tcW w:w="109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铝合金框窗</w:t>
            </w:r>
          </w:p>
        </w:tc>
        <w:tc>
          <w:tcPr>
            <w:tcW w:w="356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采用断桥隔热铝型材，铝合金型材及五金品牌需由建设单位推荐品牌中选择，[6高透光Low-E+12空气+6透明]中空玻璃,颜色建设单位核定。抗风压性能为4级(2.5&lt;p3&lt;3.0).水密性能为3级;气密性不低于6级,传热系数为2.70W/m2.K,隔声性能为4级,分级指标值为35≤Rw+Ctr&lt;40;采光性能为4级,透光折减系数0.50≤Tr&lt;0.60，其他详见图纸设计要求</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2.未经说明,外墙上门窗立樘与墙体外平,内墙上内门立樘位置与开启方向墙平,内门均予埋木砖,强弱电间门下有100高暗门槛。</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3.铝合金门窗施工单位均应提供抗风压性能、气密性、水密性、保温性能、隔声性能的检测报告</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4.设有无障碍坡道入口、厕所等的门均应安装视线玻璃,横执把手和关门拉手,门扇下方安装350高的护门板,且内外高差不应大于15</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5.超出人体操作范围内的开启扇均于低处设联动开启装置或电动开启</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6.报价包含五金、脚手架等全部内容，结算不以任何形式调整</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m2</w:t>
            </w:r>
          </w:p>
        </w:tc>
        <w:tc>
          <w:tcPr>
            <w:tcW w:w="10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1422.46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531" w:hRule="atLeast"/>
        </w:trPr>
        <w:tc>
          <w:tcPr>
            <w:tcW w:w="8268"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1.铝合金型材推荐品牌:坚美铝材,凤铝铝材,栋梁铝材,奋安铝材,忠旺铝材,中铝铝材中选择</w:t>
            </w:r>
          </w:p>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2.五金配件推荐品牌：同铝合金型材推荐品牌或在合和、国强、坚朗、春光，GMT中选择。</w:t>
            </w:r>
          </w:p>
        </w:tc>
      </w:tr>
    </w:tbl>
    <w:p>
      <w:pPr>
        <w:keepNext w:val="0"/>
        <w:keepLines w:val="0"/>
        <w:pageBreakBefore w:val="0"/>
        <w:numPr>
          <w:numId w:val="0"/>
        </w:numPr>
        <w:kinsoku/>
        <w:overflowPunct/>
        <w:topLinePunct w:val="0"/>
        <w:bidi w:val="0"/>
        <w:snapToGrid w:val="0"/>
        <w:spacing w:beforeAutospacing="0" w:afterAutospacing="0" w:line="360" w:lineRule="auto"/>
        <w:ind w:right="0" w:rightChars="0"/>
        <w:textAlignment w:val="auto"/>
        <w:rPr>
          <w:rFonts w:hint="default" w:asciiTheme="minorEastAsia" w:hAnsiTheme="minorEastAsia" w:eastAsiaTheme="minorEastAsia" w:cstheme="minorEastAsia"/>
          <w:b/>
          <w:bCs/>
          <w:color w:val="auto"/>
          <w:sz w:val="28"/>
          <w:szCs w:val="28"/>
          <w:highlight w:val="none"/>
          <w:lang w:val="en-US" w:eastAsia="zh-CN"/>
        </w:rPr>
      </w:pPr>
    </w:p>
    <w:p>
      <w:pPr>
        <w:keepNext w:val="0"/>
        <w:keepLines w:val="0"/>
        <w:pageBreakBefore w:val="0"/>
        <w:numPr>
          <w:ilvl w:val="0"/>
          <w:numId w:val="0"/>
        </w:numPr>
        <w:kinsoku/>
        <w:overflowPunct/>
        <w:topLinePunct w:val="0"/>
        <w:bidi w:val="0"/>
        <w:snapToGrid w:val="0"/>
        <w:spacing w:beforeAutospacing="0" w:afterAutospacing="0" w:line="360" w:lineRule="auto"/>
        <w:ind w:right="0" w:rightChars="0" w:firstLine="560" w:firstLineChars="200"/>
        <w:textAlignment w:val="auto"/>
        <w:rPr>
          <w:rFonts w:hint="eastAsia" w:asciiTheme="minorEastAsia" w:hAnsiTheme="minorEastAsia" w:eastAsiaTheme="minorEastAsia" w:cstheme="minorEastAsia"/>
          <w:b/>
          <w:bCs/>
          <w:color w:val="auto"/>
          <w:sz w:val="28"/>
          <w:szCs w:val="28"/>
          <w:highlight w:val="none"/>
          <w:lang w:eastAsia="zh-CN"/>
        </w:rPr>
      </w:pPr>
      <w:r>
        <w:rPr>
          <w:rFonts w:hint="eastAsia" w:asciiTheme="minorEastAsia" w:hAnsiTheme="minorEastAsia" w:eastAsiaTheme="minorEastAsia" w:cstheme="minorEastAsia"/>
          <w:color w:val="auto"/>
          <w:kern w:val="0"/>
          <w:sz w:val="28"/>
          <w:szCs w:val="28"/>
          <w:lang w:val="zh-CN"/>
        </w:rPr>
        <w:t>三、</w:t>
      </w:r>
      <w:r>
        <w:rPr>
          <w:rFonts w:hint="eastAsia" w:asciiTheme="minorEastAsia" w:hAnsiTheme="minorEastAsia" w:eastAsiaTheme="minorEastAsia" w:cstheme="minorEastAsia"/>
          <w:b/>
          <w:bCs/>
          <w:color w:val="auto"/>
          <w:sz w:val="28"/>
          <w:szCs w:val="28"/>
          <w:highlight w:val="none"/>
          <w:lang w:eastAsia="zh-CN"/>
        </w:rPr>
        <w:t>投标人资格要求</w:t>
      </w:r>
    </w:p>
    <w:p>
      <w:pPr>
        <w:keepNext w:val="0"/>
        <w:keepLines w:val="0"/>
        <w:pageBreakBefore w:val="0"/>
        <w:numPr>
          <w:ilvl w:val="0"/>
          <w:numId w:val="0"/>
        </w:numPr>
        <w:kinsoku/>
        <w:overflowPunct/>
        <w:topLinePunct w:val="0"/>
        <w:bidi w:val="0"/>
        <w:snapToGrid w:val="0"/>
        <w:spacing w:beforeAutospacing="0" w:afterAutospacing="0" w:line="360" w:lineRule="auto"/>
        <w:ind w:right="0" w:rightChars="0" w:firstLine="560" w:firstLineChars="200"/>
        <w:textAlignment w:val="auto"/>
        <w:rPr>
          <w:rFonts w:hint="eastAsia" w:ascii="宋体" w:hAnsi="宋体" w:cs="华文仿宋"/>
          <w:kern w:val="0"/>
          <w:sz w:val="28"/>
          <w:szCs w:val="28"/>
          <w:lang w:val="en-US" w:eastAsia="zh-CN"/>
        </w:rPr>
      </w:pPr>
      <w:r>
        <w:rPr>
          <w:rFonts w:hint="eastAsia" w:ascii="宋体" w:hAnsi="宋体" w:cs="华文仿宋"/>
          <w:kern w:val="0"/>
          <w:sz w:val="28"/>
          <w:szCs w:val="28"/>
          <w:lang w:val="en-US" w:eastAsia="zh-CN"/>
        </w:rPr>
        <w:t>1、符合《中华人民共和国政府采购法》第二十二条的规定，具有独立法人资格，具有有效的营业执照。</w:t>
      </w:r>
    </w:p>
    <w:p>
      <w:pPr>
        <w:keepNext w:val="0"/>
        <w:keepLines w:val="0"/>
        <w:pageBreakBefore w:val="0"/>
        <w:numPr>
          <w:ilvl w:val="0"/>
          <w:numId w:val="0"/>
        </w:numPr>
        <w:kinsoku/>
        <w:overflowPunct/>
        <w:topLinePunct w:val="0"/>
        <w:bidi w:val="0"/>
        <w:snapToGrid w:val="0"/>
        <w:spacing w:beforeAutospacing="0" w:afterAutospacing="0" w:line="360" w:lineRule="auto"/>
        <w:ind w:right="0" w:rightChars="0" w:firstLine="560" w:firstLineChars="200"/>
        <w:textAlignment w:val="auto"/>
        <w:rPr>
          <w:rFonts w:hint="eastAsia" w:ascii="宋体" w:hAnsi="宋体" w:cs="华文仿宋"/>
          <w:kern w:val="0"/>
          <w:sz w:val="28"/>
          <w:szCs w:val="28"/>
          <w:lang w:val="en-US" w:eastAsia="zh-CN"/>
        </w:rPr>
      </w:pPr>
      <w:r>
        <w:rPr>
          <w:rFonts w:hint="eastAsia" w:ascii="宋体" w:hAnsi="宋体" w:cs="华文仿宋"/>
          <w:kern w:val="0"/>
          <w:sz w:val="28"/>
          <w:szCs w:val="28"/>
          <w:lang w:val="en-US" w:eastAsia="zh-CN"/>
        </w:rPr>
        <w:t>2.公司具备有效的建筑装修装饰工程专业承包二级（含二级）以上资质，并具有有效的安全生产许可证；或公司营业执照经营范围中含：彩铝（或铝合金）、五金制品加工、制作。</w:t>
      </w:r>
    </w:p>
    <w:p>
      <w:pPr>
        <w:keepNext w:val="0"/>
        <w:keepLines w:val="0"/>
        <w:pageBreakBefore w:val="0"/>
        <w:numPr>
          <w:ilvl w:val="0"/>
          <w:numId w:val="0"/>
        </w:numPr>
        <w:kinsoku/>
        <w:overflowPunct/>
        <w:topLinePunct w:val="0"/>
        <w:bidi w:val="0"/>
        <w:snapToGrid w:val="0"/>
        <w:spacing w:beforeAutospacing="0" w:afterAutospacing="0" w:line="360" w:lineRule="auto"/>
        <w:ind w:right="0" w:rightChars="0" w:firstLine="560" w:firstLineChars="200"/>
        <w:textAlignment w:val="auto"/>
        <w:rPr>
          <w:rFonts w:hint="eastAsia" w:ascii="宋体" w:hAnsi="宋体" w:cs="华文仿宋"/>
          <w:kern w:val="0"/>
          <w:sz w:val="28"/>
          <w:szCs w:val="28"/>
          <w:lang w:val="en-US" w:eastAsia="zh-CN"/>
        </w:rPr>
      </w:pPr>
      <w:r>
        <w:rPr>
          <w:rFonts w:hint="eastAsia" w:ascii="宋体" w:hAnsi="宋体" w:cs="华文仿宋"/>
          <w:kern w:val="0"/>
          <w:sz w:val="28"/>
          <w:szCs w:val="28"/>
          <w:lang w:val="en-US" w:eastAsia="zh-CN"/>
        </w:rPr>
        <w:t>4、本项目不接受联合体磋商； </w:t>
      </w:r>
    </w:p>
    <w:p>
      <w:pPr>
        <w:keepNext w:val="0"/>
        <w:keepLines w:val="0"/>
        <w:pageBreakBefore w:val="0"/>
        <w:numPr>
          <w:ilvl w:val="0"/>
          <w:numId w:val="0"/>
        </w:numPr>
        <w:kinsoku/>
        <w:overflowPunct/>
        <w:topLinePunct w:val="0"/>
        <w:bidi w:val="0"/>
        <w:snapToGrid w:val="0"/>
        <w:spacing w:beforeAutospacing="0" w:afterAutospacing="0" w:line="360" w:lineRule="auto"/>
        <w:ind w:right="0" w:rightChars="0" w:firstLine="560" w:firstLineChars="200"/>
        <w:textAlignment w:val="auto"/>
        <w:rPr>
          <w:rFonts w:hint="eastAsia" w:ascii="宋体" w:hAnsi="宋体" w:cs="华文仿宋"/>
          <w:kern w:val="0"/>
          <w:sz w:val="28"/>
          <w:szCs w:val="28"/>
          <w:lang w:val="en-US" w:eastAsia="zh-CN"/>
        </w:rPr>
      </w:pPr>
      <w:r>
        <w:rPr>
          <w:rFonts w:hint="eastAsia" w:ascii="宋体" w:hAnsi="宋体" w:cs="华文仿宋"/>
          <w:kern w:val="0"/>
          <w:sz w:val="28"/>
          <w:szCs w:val="28"/>
          <w:lang w:val="en-US" w:eastAsia="zh-CN"/>
        </w:rPr>
        <w:t>5、供应商存在以下不良信用记录情形之一的，不得推荐为中标候选供应商，不得确定为中标供应商：</w:t>
      </w:r>
    </w:p>
    <w:p>
      <w:pPr>
        <w:keepNext w:val="0"/>
        <w:keepLines w:val="0"/>
        <w:pageBreakBefore w:val="0"/>
        <w:numPr>
          <w:ilvl w:val="0"/>
          <w:numId w:val="0"/>
        </w:numPr>
        <w:kinsoku/>
        <w:overflowPunct/>
        <w:topLinePunct w:val="0"/>
        <w:bidi w:val="0"/>
        <w:snapToGrid w:val="0"/>
        <w:spacing w:beforeAutospacing="0" w:afterAutospacing="0" w:line="360" w:lineRule="auto"/>
        <w:ind w:right="0" w:rightChars="0" w:firstLine="560" w:firstLineChars="200"/>
        <w:textAlignment w:val="auto"/>
        <w:rPr>
          <w:rFonts w:hint="eastAsia" w:ascii="宋体" w:hAnsi="宋体" w:cs="华文仿宋"/>
          <w:kern w:val="0"/>
          <w:sz w:val="28"/>
          <w:szCs w:val="28"/>
          <w:lang w:val="en-US" w:eastAsia="zh-CN"/>
        </w:rPr>
      </w:pPr>
      <w:r>
        <w:rPr>
          <w:rFonts w:hint="eastAsia" w:ascii="宋体" w:hAnsi="宋体" w:cs="华文仿宋"/>
          <w:kern w:val="0"/>
          <w:sz w:val="28"/>
          <w:szCs w:val="28"/>
          <w:lang w:val="en-US" w:eastAsia="zh-CN"/>
        </w:rPr>
        <w:t>(1）供应商被人民法院列入失信被执行人的；</w:t>
      </w:r>
    </w:p>
    <w:p>
      <w:pPr>
        <w:keepNext w:val="0"/>
        <w:keepLines w:val="0"/>
        <w:pageBreakBefore w:val="0"/>
        <w:numPr>
          <w:ilvl w:val="0"/>
          <w:numId w:val="0"/>
        </w:numPr>
        <w:kinsoku/>
        <w:overflowPunct/>
        <w:topLinePunct w:val="0"/>
        <w:bidi w:val="0"/>
        <w:snapToGrid w:val="0"/>
        <w:spacing w:beforeAutospacing="0" w:afterAutospacing="0" w:line="360" w:lineRule="auto"/>
        <w:ind w:right="0" w:rightChars="0" w:firstLine="560" w:firstLineChars="200"/>
        <w:textAlignment w:val="auto"/>
        <w:rPr>
          <w:rFonts w:hint="eastAsia" w:ascii="宋体" w:hAnsi="宋体" w:cs="华文仿宋"/>
          <w:kern w:val="0"/>
          <w:sz w:val="28"/>
          <w:szCs w:val="28"/>
          <w:lang w:val="en-US" w:eastAsia="zh-CN"/>
        </w:rPr>
      </w:pPr>
      <w:r>
        <w:rPr>
          <w:rFonts w:hint="eastAsia" w:ascii="宋体" w:hAnsi="宋体" w:cs="华文仿宋"/>
          <w:kern w:val="0"/>
          <w:sz w:val="28"/>
          <w:szCs w:val="28"/>
          <w:lang w:val="en-US" w:eastAsia="zh-CN"/>
        </w:rPr>
        <w:t>(2）供应商或其法定代表人或拟派项目经理（项目负责人）被人民检察院列入行贿犯罪档案的；</w:t>
      </w:r>
    </w:p>
    <w:p>
      <w:pPr>
        <w:keepNext w:val="0"/>
        <w:keepLines w:val="0"/>
        <w:pageBreakBefore w:val="0"/>
        <w:numPr>
          <w:ilvl w:val="0"/>
          <w:numId w:val="0"/>
        </w:numPr>
        <w:kinsoku/>
        <w:overflowPunct/>
        <w:topLinePunct w:val="0"/>
        <w:bidi w:val="0"/>
        <w:snapToGrid w:val="0"/>
        <w:spacing w:beforeAutospacing="0" w:afterAutospacing="0" w:line="360" w:lineRule="auto"/>
        <w:ind w:right="0" w:rightChars="0" w:firstLine="560" w:firstLineChars="200"/>
        <w:textAlignment w:val="auto"/>
        <w:rPr>
          <w:rFonts w:hint="eastAsia" w:ascii="宋体" w:hAnsi="宋体" w:cs="华文仿宋"/>
          <w:kern w:val="0"/>
          <w:sz w:val="28"/>
          <w:szCs w:val="28"/>
          <w:lang w:val="en-US" w:eastAsia="zh-CN"/>
        </w:rPr>
      </w:pPr>
      <w:r>
        <w:rPr>
          <w:rFonts w:hint="eastAsia" w:ascii="宋体" w:hAnsi="宋体" w:cs="华文仿宋"/>
          <w:kern w:val="0"/>
          <w:sz w:val="28"/>
          <w:szCs w:val="28"/>
          <w:lang w:val="en-US" w:eastAsia="zh-CN"/>
        </w:rPr>
        <w:t>(3）供应商被工商行政管理部门列入企业经营异常名录的；</w:t>
      </w:r>
    </w:p>
    <w:p>
      <w:pPr>
        <w:keepNext w:val="0"/>
        <w:keepLines w:val="0"/>
        <w:pageBreakBefore w:val="0"/>
        <w:numPr>
          <w:ilvl w:val="0"/>
          <w:numId w:val="0"/>
        </w:numPr>
        <w:kinsoku/>
        <w:overflowPunct/>
        <w:topLinePunct w:val="0"/>
        <w:bidi w:val="0"/>
        <w:snapToGrid w:val="0"/>
        <w:spacing w:beforeAutospacing="0" w:afterAutospacing="0" w:line="360" w:lineRule="auto"/>
        <w:ind w:right="0" w:rightChars="0" w:firstLine="560" w:firstLineChars="200"/>
        <w:textAlignment w:val="auto"/>
        <w:rPr>
          <w:rFonts w:hint="eastAsia" w:ascii="宋体" w:hAnsi="宋体" w:cs="华文仿宋"/>
          <w:kern w:val="0"/>
          <w:sz w:val="28"/>
          <w:szCs w:val="28"/>
          <w:lang w:val="en-US" w:eastAsia="zh-CN"/>
        </w:rPr>
      </w:pPr>
      <w:r>
        <w:rPr>
          <w:rFonts w:hint="eastAsia" w:ascii="宋体" w:hAnsi="宋体" w:cs="华文仿宋"/>
          <w:kern w:val="0"/>
          <w:sz w:val="28"/>
          <w:szCs w:val="28"/>
          <w:lang w:val="en-US" w:eastAsia="zh-CN"/>
        </w:rPr>
        <w:t>(4）供应商被税务部门列入重大税收违法案件当事人名单的；</w:t>
      </w:r>
    </w:p>
    <w:p>
      <w:pPr>
        <w:keepNext w:val="0"/>
        <w:keepLines w:val="0"/>
        <w:pageBreakBefore w:val="0"/>
        <w:numPr>
          <w:ilvl w:val="0"/>
          <w:numId w:val="0"/>
        </w:numPr>
        <w:kinsoku/>
        <w:overflowPunct/>
        <w:topLinePunct w:val="0"/>
        <w:bidi w:val="0"/>
        <w:snapToGrid w:val="0"/>
        <w:spacing w:beforeAutospacing="0" w:afterAutospacing="0" w:line="360" w:lineRule="auto"/>
        <w:ind w:right="0" w:rightChars="0" w:firstLine="560" w:firstLineChars="200"/>
        <w:textAlignment w:val="auto"/>
        <w:rPr>
          <w:rFonts w:hint="eastAsia" w:ascii="宋体" w:hAnsi="宋体" w:cs="华文仿宋"/>
          <w:kern w:val="0"/>
          <w:sz w:val="28"/>
          <w:szCs w:val="28"/>
          <w:lang w:val="en-US" w:eastAsia="zh-CN"/>
        </w:rPr>
      </w:pPr>
      <w:r>
        <w:rPr>
          <w:rFonts w:hint="eastAsia" w:ascii="宋体" w:hAnsi="宋体" w:cs="华文仿宋"/>
          <w:kern w:val="0"/>
          <w:sz w:val="28"/>
          <w:szCs w:val="28"/>
          <w:lang w:val="en-US" w:eastAsia="zh-CN"/>
        </w:rPr>
        <w:t>(5）供应商被政府采购监管部门列入政府采购严重违法失信行为记录名单的。</w:t>
      </w:r>
    </w:p>
    <w:p>
      <w:pPr>
        <w:keepNext w:val="0"/>
        <w:keepLines w:val="0"/>
        <w:pageBreakBefore w:val="0"/>
        <w:numPr>
          <w:ilvl w:val="0"/>
          <w:numId w:val="0"/>
        </w:numPr>
        <w:kinsoku/>
        <w:overflowPunct/>
        <w:topLinePunct w:val="0"/>
        <w:bidi w:val="0"/>
        <w:snapToGrid w:val="0"/>
        <w:spacing w:beforeAutospacing="0" w:afterAutospacing="0" w:line="360" w:lineRule="auto"/>
        <w:ind w:right="0" w:rightChars="0" w:firstLine="560" w:firstLineChars="200"/>
        <w:textAlignment w:val="auto"/>
        <w:rPr>
          <w:rFonts w:hint="eastAsia" w:ascii="宋体" w:hAnsi="宋体" w:cs="华文仿宋"/>
          <w:kern w:val="0"/>
          <w:sz w:val="28"/>
          <w:szCs w:val="28"/>
          <w:lang w:val="en-US" w:eastAsia="zh-CN"/>
        </w:rPr>
      </w:pPr>
      <w:r>
        <w:rPr>
          <w:rFonts w:hint="eastAsia" w:ascii="宋体" w:hAnsi="宋体" w:cs="华文仿宋"/>
          <w:kern w:val="0"/>
          <w:sz w:val="28"/>
          <w:szCs w:val="28"/>
          <w:lang w:val="en-US" w:eastAsia="zh-CN"/>
        </w:rPr>
        <w:t>6、在安徽省内受到市级（仅指地级市）及以上招投标行政主管部门限制投标处罚的，至投标截止之日仍在处罚期内的投标人不得参与投标。</w:t>
      </w:r>
    </w:p>
    <w:p>
      <w:pPr>
        <w:keepNext w:val="0"/>
        <w:keepLines w:val="0"/>
        <w:pageBreakBefore w:val="0"/>
        <w:numPr>
          <w:ilvl w:val="0"/>
          <w:numId w:val="0"/>
        </w:numPr>
        <w:kinsoku/>
        <w:overflowPunct/>
        <w:topLinePunct w:val="0"/>
        <w:bidi w:val="0"/>
        <w:snapToGrid w:val="0"/>
        <w:spacing w:beforeAutospacing="0" w:afterAutospacing="0" w:line="360" w:lineRule="auto"/>
        <w:ind w:right="0" w:rightChars="0" w:firstLine="562" w:firstLineChars="200"/>
        <w:textAlignment w:val="auto"/>
        <w:rPr>
          <w:rFonts w:hint="eastAsia" w:ascii="宋体" w:hAnsi="宋体" w:cs="华文仿宋"/>
          <w:kern w:val="0"/>
          <w:sz w:val="28"/>
          <w:szCs w:val="28"/>
          <w:lang w:val="en-US" w:eastAsia="zh-CN"/>
        </w:rPr>
      </w:pPr>
      <w:r>
        <w:rPr>
          <w:rFonts w:hint="eastAsia" w:asciiTheme="minorEastAsia" w:hAnsiTheme="minorEastAsia" w:eastAsiaTheme="minorEastAsia" w:cstheme="minorEastAsia"/>
          <w:b/>
          <w:bCs/>
          <w:color w:val="auto"/>
          <w:sz w:val="28"/>
          <w:szCs w:val="28"/>
          <w:highlight w:val="none"/>
          <w:lang w:eastAsia="zh-CN"/>
        </w:rPr>
        <w:t>四、</w:t>
      </w:r>
      <w:r>
        <w:rPr>
          <w:rFonts w:hint="eastAsia" w:asciiTheme="minorEastAsia" w:hAnsiTheme="minorEastAsia" w:cstheme="minorEastAsia"/>
          <w:b/>
          <w:bCs/>
          <w:color w:val="auto"/>
          <w:sz w:val="28"/>
          <w:szCs w:val="28"/>
          <w:highlight w:val="none"/>
          <w:lang w:val="en-US" w:eastAsia="zh-CN"/>
        </w:rPr>
        <w:t>服务</w:t>
      </w:r>
      <w:r>
        <w:rPr>
          <w:rFonts w:hint="eastAsia" w:asciiTheme="minorEastAsia" w:hAnsiTheme="minorEastAsia" w:cstheme="minorEastAsia"/>
          <w:b/>
          <w:bCs/>
          <w:color w:val="auto"/>
          <w:sz w:val="28"/>
          <w:szCs w:val="28"/>
          <w:highlight w:val="none"/>
          <w:lang w:eastAsia="zh-CN"/>
        </w:rPr>
        <w:t>周期：</w:t>
      </w:r>
      <w:r>
        <w:rPr>
          <w:rFonts w:hint="eastAsia" w:ascii="宋体" w:hAnsi="宋体" w:cs="华文仿宋"/>
          <w:kern w:val="0"/>
          <w:sz w:val="28"/>
          <w:szCs w:val="28"/>
          <w:lang w:val="en-US" w:eastAsia="zh-CN"/>
        </w:rPr>
        <w:t>60日历天</w:t>
      </w:r>
    </w:p>
    <w:p>
      <w:pPr>
        <w:keepNext w:val="0"/>
        <w:keepLines w:val="0"/>
        <w:pageBreakBefore w:val="0"/>
        <w:numPr>
          <w:ilvl w:val="0"/>
          <w:numId w:val="0"/>
        </w:numPr>
        <w:kinsoku/>
        <w:overflowPunct/>
        <w:topLinePunct w:val="0"/>
        <w:bidi w:val="0"/>
        <w:snapToGrid w:val="0"/>
        <w:spacing w:beforeAutospacing="0" w:afterAutospacing="0" w:line="360" w:lineRule="auto"/>
        <w:ind w:right="0" w:rightChars="0" w:firstLine="562" w:firstLineChars="200"/>
        <w:textAlignment w:val="auto"/>
        <w:rPr>
          <w:rFonts w:hint="eastAsia" w:asciiTheme="minorEastAsia" w:hAnsiTheme="minorEastAsia" w:eastAsiaTheme="minorEastAsia" w:cstheme="minorEastAsia"/>
          <w:color w:val="auto"/>
          <w:sz w:val="28"/>
          <w:szCs w:val="28"/>
          <w:lang w:val="zh-CN"/>
        </w:rPr>
      </w:pPr>
      <w:r>
        <w:rPr>
          <w:rFonts w:hint="eastAsia" w:asciiTheme="minorEastAsia" w:hAnsiTheme="minorEastAsia" w:eastAsiaTheme="minorEastAsia" w:cstheme="minorEastAsia"/>
          <w:b/>
          <w:bCs/>
          <w:color w:val="auto"/>
          <w:sz w:val="28"/>
          <w:szCs w:val="28"/>
          <w:highlight w:val="none"/>
          <w:lang w:eastAsia="zh-CN"/>
        </w:rPr>
        <w:t>五、付款方式</w:t>
      </w:r>
      <w:r>
        <w:rPr>
          <w:rFonts w:hint="eastAsia" w:asciiTheme="minorEastAsia" w:hAnsiTheme="minorEastAsia" w:cstheme="minorEastAsia"/>
          <w:b/>
          <w:bCs/>
          <w:color w:val="auto"/>
          <w:sz w:val="28"/>
          <w:szCs w:val="28"/>
          <w:highlight w:val="none"/>
          <w:lang w:eastAsia="zh-CN"/>
        </w:rPr>
        <w:t>：</w:t>
      </w:r>
      <w:r>
        <w:rPr>
          <w:rFonts w:hint="eastAsia" w:asciiTheme="minorEastAsia" w:hAnsiTheme="minorEastAsia" w:eastAsiaTheme="minorEastAsia" w:cstheme="minorEastAsia"/>
          <w:color w:val="auto"/>
          <w:sz w:val="28"/>
          <w:szCs w:val="28"/>
          <w:lang w:val="zh-CN"/>
        </w:rPr>
        <w:t>按合同约定。</w:t>
      </w:r>
    </w:p>
    <w:p>
      <w:pPr>
        <w:keepNext w:val="0"/>
        <w:keepLines w:val="0"/>
        <w:pageBreakBefore w:val="0"/>
        <w:numPr>
          <w:ilvl w:val="0"/>
          <w:numId w:val="0"/>
        </w:numPr>
        <w:kinsoku/>
        <w:overflowPunct/>
        <w:topLinePunct w:val="0"/>
        <w:bidi w:val="0"/>
        <w:snapToGrid w:val="0"/>
        <w:spacing w:beforeAutospacing="0" w:afterAutospacing="0" w:line="360" w:lineRule="auto"/>
        <w:ind w:right="0" w:rightChars="0" w:firstLine="562" w:firstLineChars="200"/>
        <w:textAlignment w:val="auto"/>
        <w:rPr>
          <w:rFonts w:hint="eastAsia" w:asciiTheme="minorEastAsia" w:hAnsiTheme="minorEastAsia" w:eastAsiaTheme="minorEastAsia" w:cstheme="minorEastAsia"/>
          <w:color w:val="auto"/>
          <w:sz w:val="28"/>
          <w:szCs w:val="28"/>
          <w:highlight w:val="none"/>
          <w:lang w:val="zh-CN" w:eastAsia="zh-CN"/>
        </w:rPr>
      </w:pPr>
      <w:r>
        <w:rPr>
          <w:rFonts w:hint="eastAsia" w:asciiTheme="minorEastAsia" w:hAnsiTheme="minorEastAsia" w:eastAsiaTheme="minorEastAsia" w:cstheme="minorEastAsia"/>
          <w:b/>
          <w:bCs/>
          <w:color w:val="auto"/>
          <w:sz w:val="28"/>
          <w:szCs w:val="28"/>
          <w:highlight w:val="none"/>
          <w:lang w:eastAsia="zh-CN"/>
        </w:rPr>
        <w:t>六、采购方式</w:t>
      </w:r>
      <w:r>
        <w:rPr>
          <w:rFonts w:hint="eastAsia" w:asciiTheme="minorEastAsia" w:hAnsiTheme="minorEastAsia" w:cstheme="minorEastAsia"/>
          <w:b/>
          <w:bCs/>
          <w:color w:val="auto"/>
          <w:sz w:val="28"/>
          <w:szCs w:val="28"/>
          <w:highlight w:val="none"/>
          <w:lang w:eastAsia="zh-CN"/>
        </w:rPr>
        <w:t>：</w:t>
      </w:r>
      <w:r>
        <w:rPr>
          <w:rFonts w:hint="eastAsia" w:asciiTheme="minorEastAsia" w:hAnsiTheme="minorEastAsia" w:eastAsiaTheme="minorEastAsia" w:cstheme="minorEastAsia"/>
          <w:color w:val="auto"/>
          <w:sz w:val="28"/>
          <w:szCs w:val="28"/>
          <w:lang w:val="zh-CN" w:eastAsia="zh-CN"/>
        </w:rPr>
        <w:t>竞争性磋商</w:t>
      </w:r>
    </w:p>
    <w:p>
      <w:pPr>
        <w:keepNext w:val="0"/>
        <w:keepLines w:val="0"/>
        <w:pageBreakBefore w:val="0"/>
        <w:numPr>
          <w:ilvl w:val="0"/>
          <w:numId w:val="0"/>
        </w:numPr>
        <w:kinsoku/>
        <w:overflowPunct/>
        <w:topLinePunct w:val="0"/>
        <w:bidi w:val="0"/>
        <w:snapToGrid w:val="0"/>
        <w:spacing w:beforeAutospacing="0" w:afterAutospacing="0" w:line="360" w:lineRule="auto"/>
        <w:ind w:right="0" w:rightChars="0" w:firstLine="562" w:firstLineChars="200"/>
        <w:textAlignment w:val="auto"/>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b/>
          <w:bCs/>
          <w:color w:val="auto"/>
          <w:sz w:val="28"/>
          <w:szCs w:val="28"/>
          <w:highlight w:val="none"/>
          <w:lang w:eastAsia="zh-CN"/>
        </w:rPr>
        <w:t>七、评标办法</w:t>
      </w:r>
      <w:r>
        <w:rPr>
          <w:rFonts w:hint="eastAsia" w:asciiTheme="minorEastAsia" w:hAnsiTheme="minorEastAsia" w:cstheme="minorEastAsia"/>
          <w:b/>
          <w:bCs/>
          <w:color w:val="auto"/>
          <w:sz w:val="28"/>
          <w:szCs w:val="28"/>
          <w:highlight w:val="none"/>
          <w:lang w:eastAsia="zh-CN"/>
        </w:rPr>
        <w:t>：</w:t>
      </w:r>
      <w:r>
        <w:rPr>
          <w:rFonts w:hint="eastAsia" w:asciiTheme="minorEastAsia" w:hAnsiTheme="minorEastAsia" w:cstheme="minorEastAsia"/>
          <w:color w:val="auto"/>
          <w:sz w:val="28"/>
          <w:szCs w:val="28"/>
          <w:highlight w:val="none"/>
          <w:lang w:eastAsia="zh-CN"/>
        </w:rPr>
        <w:t>综合评分法</w:t>
      </w:r>
      <w:bookmarkStart w:id="0" w:name="_GoBack"/>
      <w:bookmarkEnd w:id="0"/>
    </w:p>
    <w:p>
      <w:pPr>
        <w:keepNext w:val="0"/>
        <w:keepLines w:val="0"/>
        <w:pageBreakBefore w:val="0"/>
        <w:numPr>
          <w:ilvl w:val="0"/>
          <w:numId w:val="0"/>
        </w:numPr>
        <w:kinsoku/>
        <w:overflowPunct/>
        <w:topLinePunct w:val="0"/>
        <w:bidi w:val="0"/>
        <w:snapToGrid w:val="0"/>
        <w:spacing w:beforeAutospacing="0" w:afterAutospacing="0" w:line="360" w:lineRule="auto"/>
        <w:ind w:right="0" w:rightChars="0" w:firstLine="562" w:firstLineChars="200"/>
        <w:textAlignment w:val="auto"/>
        <w:rPr>
          <w:rFonts w:hint="eastAsia" w:asciiTheme="minorEastAsia" w:hAnsiTheme="minorEastAsia" w:eastAsiaTheme="minorEastAsia" w:cstheme="minorEastAsia"/>
          <w:b/>
          <w:bCs/>
          <w:color w:val="auto"/>
          <w:sz w:val="28"/>
          <w:szCs w:val="28"/>
          <w:highlight w:val="none"/>
          <w:lang w:eastAsia="zh-CN"/>
        </w:rPr>
      </w:pPr>
      <w:r>
        <w:rPr>
          <w:rFonts w:hint="eastAsia" w:asciiTheme="minorEastAsia" w:hAnsiTheme="minorEastAsia" w:cstheme="minorEastAsia"/>
          <w:b/>
          <w:bCs/>
          <w:color w:val="auto"/>
          <w:sz w:val="28"/>
          <w:szCs w:val="28"/>
          <w:highlight w:val="none"/>
          <w:lang w:val="en-US" w:eastAsia="zh-CN"/>
        </w:rPr>
        <w:t>八、</w:t>
      </w:r>
      <w:r>
        <w:rPr>
          <w:rFonts w:hint="eastAsia" w:asciiTheme="minorEastAsia" w:hAnsiTheme="minorEastAsia" w:eastAsiaTheme="minorEastAsia" w:cstheme="minorEastAsia"/>
          <w:b/>
          <w:bCs/>
          <w:color w:val="auto"/>
          <w:sz w:val="28"/>
          <w:szCs w:val="28"/>
          <w:highlight w:val="none"/>
          <w:lang w:eastAsia="zh-CN"/>
        </w:rPr>
        <w:t>合同主要条款</w:t>
      </w:r>
    </w:p>
    <w:p>
      <w:pPr>
        <w:keepNext w:val="0"/>
        <w:keepLines w:val="0"/>
        <w:pageBreakBefore w:val="0"/>
        <w:numPr>
          <w:ilvl w:val="0"/>
          <w:numId w:val="0"/>
        </w:numPr>
        <w:kinsoku/>
        <w:overflowPunct/>
        <w:topLinePunct w:val="0"/>
        <w:bidi w:val="0"/>
        <w:snapToGrid w:val="0"/>
        <w:spacing w:beforeAutospacing="0" w:afterAutospacing="0" w:line="360" w:lineRule="auto"/>
        <w:ind w:right="0" w:rightChars="0"/>
        <w:textAlignment w:val="auto"/>
        <w:rPr>
          <w:rFonts w:hint="eastAsia" w:asciiTheme="minorEastAsia" w:hAnsiTheme="minorEastAsia" w:eastAsiaTheme="minorEastAsia" w:cstheme="minorEastAsia"/>
          <w:b/>
          <w:bCs/>
          <w:color w:val="auto"/>
          <w:sz w:val="28"/>
          <w:szCs w:val="28"/>
          <w:highlight w:val="none"/>
          <w:lang w:val="en-US" w:eastAsia="zh-CN"/>
        </w:rPr>
      </w:pPr>
      <w:r>
        <w:rPr>
          <w:rFonts w:hint="eastAsia" w:asciiTheme="minorEastAsia" w:hAnsiTheme="minorEastAsia" w:cstheme="minorEastAsia"/>
          <w:b/>
          <w:bCs/>
          <w:color w:val="auto"/>
          <w:sz w:val="28"/>
          <w:szCs w:val="28"/>
          <w:highlight w:val="none"/>
          <w:lang w:val="en-US" w:eastAsia="zh-CN"/>
        </w:rPr>
        <w:t xml:space="preserve">    </w:t>
      </w:r>
      <w:r>
        <w:rPr>
          <w:rFonts w:hint="eastAsia" w:asciiTheme="minorEastAsia" w:hAnsiTheme="minorEastAsia" w:cstheme="minorEastAsia"/>
          <w:b w:val="0"/>
          <w:bCs w:val="0"/>
          <w:color w:val="auto"/>
          <w:sz w:val="28"/>
          <w:szCs w:val="28"/>
          <w:highlight w:val="none"/>
          <w:lang w:val="en-US" w:eastAsia="zh-CN"/>
        </w:rPr>
        <w:t>详见磋商文件</w:t>
      </w:r>
    </w:p>
    <w:p>
      <w:pPr>
        <w:keepNext w:val="0"/>
        <w:keepLines w:val="0"/>
        <w:pageBreakBefore w:val="0"/>
        <w:numPr>
          <w:ilvl w:val="0"/>
          <w:numId w:val="2"/>
        </w:numPr>
        <w:kinsoku/>
        <w:overflowPunct/>
        <w:topLinePunct w:val="0"/>
        <w:bidi w:val="0"/>
        <w:snapToGrid w:val="0"/>
        <w:spacing w:beforeAutospacing="0" w:afterAutospacing="0" w:line="360" w:lineRule="auto"/>
        <w:ind w:right="0" w:rightChars="0" w:firstLine="562" w:firstLineChars="200"/>
        <w:textAlignment w:val="auto"/>
        <w:rPr>
          <w:rFonts w:hint="eastAsia" w:asciiTheme="minorEastAsia" w:hAnsiTheme="minorEastAsia" w:eastAsiaTheme="minorEastAsia" w:cstheme="minorEastAsia"/>
          <w:b/>
          <w:bCs/>
          <w:color w:val="auto"/>
          <w:sz w:val="28"/>
          <w:szCs w:val="28"/>
          <w:highlight w:val="none"/>
          <w:lang w:eastAsia="zh-CN"/>
        </w:rPr>
      </w:pPr>
      <w:r>
        <w:rPr>
          <w:rFonts w:hint="eastAsia" w:asciiTheme="minorEastAsia" w:hAnsiTheme="minorEastAsia" w:eastAsiaTheme="minorEastAsia" w:cstheme="minorEastAsia"/>
          <w:b/>
          <w:bCs/>
          <w:color w:val="auto"/>
          <w:sz w:val="28"/>
          <w:szCs w:val="28"/>
          <w:highlight w:val="none"/>
          <w:lang w:eastAsia="zh-CN"/>
        </w:rPr>
        <w:t>其它</w:t>
      </w:r>
    </w:p>
    <w:p>
      <w:pPr>
        <w:keepNext w:val="0"/>
        <w:keepLines w:val="0"/>
        <w:pageBreakBefore w:val="0"/>
        <w:numPr>
          <w:ilvl w:val="0"/>
          <w:numId w:val="0"/>
        </w:numPr>
        <w:kinsoku/>
        <w:overflowPunct/>
        <w:topLinePunct w:val="0"/>
        <w:bidi w:val="0"/>
        <w:snapToGrid w:val="0"/>
        <w:spacing w:beforeAutospacing="0" w:afterAutospacing="0" w:line="360" w:lineRule="auto"/>
        <w:ind w:right="0" w:rightChars="0" w:firstLine="560" w:firstLineChars="200"/>
        <w:textAlignment w:val="auto"/>
        <w:rPr>
          <w:rFonts w:hint="eastAsia" w:asciiTheme="minorEastAsia" w:hAnsiTheme="minorEastAsia" w:cstheme="minorEastAsia"/>
          <w:b w:val="0"/>
          <w:bCs w:val="0"/>
          <w:color w:val="auto"/>
          <w:sz w:val="28"/>
          <w:szCs w:val="28"/>
          <w:highlight w:val="none"/>
          <w:lang w:val="en-US" w:eastAsia="zh-CN"/>
        </w:rPr>
      </w:pPr>
      <w:r>
        <w:rPr>
          <w:rFonts w:hint="eastAsia" w:asciiTheme="minorEastAsia" w:hAnsiTheme="minorEastAsia" w:cstheme="minorEastAsia"/>
          <w:b w:val="0"/>
          <w:bCs w:val="0"/>
          <w:color w:val="auto"/>
          <w:sz w:val="28"/>
          <w:szCs w:val="28"/>
          <w:highlight w:val="none"/>
          <w:lang w:val="en-US" w:eastAsia="zh-CN"/>
        </w:rPr>
        <w:t>无。</w:t>
      </w:r>
    </w:p>
    <w:p>
      <w:pPr>
        <w:keepNext w:val="0"/>
        <w:keepLines w:val="0"/>
        <w:pageBreakBefore w:val="0"/>
        <w:kinsoku/>
        <w:wordWrap w:val="0"/>
        <w:overflowPunct/>
        <w:topLinePunct w:val="0"/>
        <w:bidi w:val="0"/>
        <w:snapToGrid w:val="0"/>
        <w:spacing w:beforeAutospacing="0" w:afterAutospacing="0" w:line="360" w:lineRule="auto"/>
        <w:ind w:left="945" w:right="0" w:rightChars="0"/>
        <w:jc w:val="right"/>
        <w:textAlignment w:val="auto"/>
        <w:rPr>
          <w:rFonts w:hint="eastAsia" w:ascii="宋体" w:hAnsi="宋体"/>
          <w:sz w:val="28"/>
          <w:szCs w:val="28"/>
          <w:lang w:eastAsia="zh-CN"/>
        </w:rPr>
      </w:pPr>
      <w:r>
        <w:rPr>
          <w:rFonts w:hint="eastAsia" w:asciiTheme="minorEastAsia" w:hAnsiTheme="minorEastAsia" w:cstheme="minorEastAsia"/>
          <w:color w:val="auto"/>
          <w:sz w:val="28"/>
          <w:szCs w:val="28"/>
          <w:highlight w:val="none"/>
          <w:lang w:eastAsia="zh-CN"/>
        </w:rPr>
        <w:t>采购人：</w:t>
      </w:r>
      <w:r>
        <w:rPr>
          <w:rFonts w:hint="eastAsia" w:ascii="宋体" w:hAnsi="宋体"/>
          <w:sz w:val="28"/>
          <w:szCs w:val="28"/>
          <w:lang w:eastAsia="zh-CN"/>
        </w:rPr>
        <w:t>铜陵学院</w:t>
      </w:r>
    </w:p>
    <w:p>
      <w:pPr>
        <w:keepNext w:val="0"/>
        <w:keepLines w:val="0"/>
        <w:pageBreakBefore w:val="0"/>
        <w:kinsoku/>
        <w:wordWrap/>
        <w:overflowPunct/>
        <w:topLinePunct w:val="0"/>
        <w:bidi w:val="0"/>
        <w:snapToGrid w:val="0"/>
        <w:spacing w:beforeAutospacing="0" w:afterAutospacing="0" w:line="360" w:lineRule="auto"/>
        <w:ind w:left="945" w:right="0" w:rightChars="0"/>
        <w:jc w:val="right"/>
        <w:textAlignment w:val="auto"/>
        <w:rPr>
          <w:rFonts w:hint="eastAsia" w:ascii="宋体" w:hAnsi="宋体"/>
          <w:sz w:val="28"/>
          <w:szCs w:val="28"/>
          <w:lang w:eastAsia="zh-CN"/>
        </w:rPr>
      </w:pPr>
      <w:r>
        <w:rPr>
          <w:rFonts w:hint="eastAsia" w:ascii="宋体" w:hAnsi="宋体"/>
          <w:sz w:val="28"/>
          <w:szCs w:val="28"/>
          <w:lang w:eastAsia="zh-CN"/>
        </w:rPr>
        <w:t>招标代理机构：安徽省建生工程咨询有限公司</w:t>
      </w:r>
    </w:p>
    <w:p>
      <w:pPr>
        <w:keepNext w:val="0"/>
        <w:keepLines w:val="0"/>
        <w:pageBreakBefore w:val="0"/>
        <w:kinsoku/>
        <w:wordWrap w:val="0"/>
        <w:overflowPunct/>
        <w:topLinePunct w:val="0"/>
        <w:bidi w:val="0"/>
        <w:snapToGrid w:val="0"/>
        <w:spacing w:beforeAutospacing="0" w:afterAutospacing="0" w:line="360" w:lineRule="auto"/>
        <w:ind w:left="945" w:right="0" w:rightChars="0"/>
        <w:jc w:val="right"/>
        <w:textAlignment w:val="auto"/>
        <w:rPr>
          <w:rFonts w:hint="eastAsia" w:asciiTheme="minorEastAsia" w:hAnsiTheme="minorEastAsia" w:eastAsiaTheme="minorEastAsia" w:cstheme="minorEastAsia"/>
          <w:color w:val="auto"/>
          <w:sz w:val="28"/>
          <w:szCs w:val="28"/>
          <w:highlight w:val="none"/>
        </w:rPr>
      </w:pPr>
    </w:p>
    <w:sectPr>
      <w:headerReference r:id="rId3" w:type="default"/>
      <w:pgSz w:w="11909" w:h="16838"/>
      <w:pgMar w:top="1026" w:right="1304" w:bottom="1026" w:left="1304" w:header="0" w:footer="6"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宋体">
    <w:panose1 w:val="02010600040101010101"/>
    <w:charset w:val="86"/>
    <w:family w:val="auto"/>
    <w:pitch w:val="default"/>
    <w:sig w:usb0="00000287" w:usb1="080F0000" w:usb2="00000000" w:usb3="00000000" w:csb0="0004009F" w:csb1="DFD70000"/>
  </w:font>
  <w:font w:name="monospace">
    <w:altName w:val="Segoe Print"/>
    <w:panose1 w:val="00000000000000000000"/>
    <w:charset w:val="00"/>
    <w:family w:val="auto"/>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872DF4F"/>
    <w:multiLevelType w:val="singleLevel"/>
    <w:tmpl w:val="F872DF4F"/>
    <w:lvl w:ilvl="0" w:tentative="0">
      <w:start w:val="9"/>
      <w:numFmt w:val="chineseCounting"/>
      <w:suff w:val="nothing"/>
      <w:lvlText w:val="%1、"/>
      <w:lvlJc w:val="left"/>
      <w:rPr>
        <w:rFonts w:hint="eastAsia"/>
      </w:rPr>
    </w:lvl>
  </w:abstractNum>
  <w:abstractNum w:abstractNumId="1">
    <w:nsid w:val="FDA0F58F"/>
    <w:multiLevelType w:val="singleLevel"/>
    <w:tmpl w:val="FDA0F58F"/>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6A71F6"/>
    <w:rsid w:val="003334D3"/>
    <w:rsid w:val="02004ACC"/>
    <w:rsid w:val="03BF4E05"/>
    <w:rsid w:val="06AC793F"/>
    <w:rsid w:val="06CE07EC"/>
    <w:rsid w:val="083D46DA"/>
    <w:rsid w:val="0AB1279B"/>
    <w:rsid w:val="0E7574F5"/>
    <w:rsid w:val="0F2B5B06"/>
    <w:rsid w:val="0FC510D0"/>
    <w:rsid w:val="12C475ED"/>
    <w:rsid w:val="17F85CB1"/>
    <w:rsid w:val="18CA592E"/>
    <w:rsid w:val="19D87E60"/>
    <w:rsid w:val="1D2C42A7"/>
    <w:rsid w:val="1F6365F6"/>
    <w:rsid w:val="21E12840"/>
    <w:rsid w:val="222B25BE"/>
    <w:rsid w:val="22E61807"/>
    <w:rsid w:val="23971979"/>
    <w:rsid w:val="268950BE"/>
    <w:rsid w:val="29492051"/>
    <w:rsid w:val="2ADB68C9"/>
    <w:rsid w:val="2CFF1578"/>
    <w:rsid w:val="2DF8168B"/>
    <w:rsid w:val="2FB41A55"/>
    <w:rsid w:val="326103E8"/>
    <w:rsid w:val="35E74616"/>
    <w:rsid w:val="380E60D0"/>
    <w:rsid w:val="386A71F6"/>
    <w:rsid w:val="3B877D03"/>
    <w:rsid w:val="3C0F37BF"/>
    <w:rsid w:val="3CEA2AE4"/>
    <w:rsid w:val="3CEC3BB3"/>
    <w:rsid w:val="3E9C31FA"/>
    <w:rsid w:val="3ED62916"/>
    <w:rsid w:val="404176CF"/>
    <w:rsid w:val="40E37DD6"/>
    <w:rsid w:val="41617DB9"/>
    <w:rsid w:val="43006491"/>
    <w:rsid w:val="432E1F55"/>
    <w:rsid w:val="441F7401"/>
    <w:rsid w:val="450C6DE1"/>
    <w:rsid w:val="48127828"/>
    <w:rsid w:val="4A621753"/>
    <w:rsid w:val="4B7B7AE1"/>
    <w:rsid w:val="4B9F7619"/>
    <w:rsid w:val="4C7A58FC"/>
    <w:rsid w:val="4E304EA2"/>
    <w:rsid w:val="4EB9326A"/>
    <w:rsid w:val="4FA7359D"/>
    <w:rsid w:val="50E6717E"/>
    <w:rsid w:val="52480CCB"/>
    <w:rsid w:val="54742ADC"/>
    <w:rsid w:val="56EB016C"/>
    <w:rsid w:val="5751191E"/>
    <w:rsid w:val="579E6AFF"/>
    <w:rsid w:val="57CC0154"/>
    <w:rsid w:val="590E6785"/>
    <w:rsid w:val="5F5F3F1F"/>
    <w:rsid w:val="60F60E98"/>
    <w:rsid w:val="63AA7D52"/>
    <w:rsid w:val="64D101A1"/>
    <w:rsid w:val="659E39B4"/>
    <w:rsid w:val="66575314"/>
    <w:rsid w:val="699E0B0A"/>
    <w:rsid w:val="6AF42B72"/>
    <w:rsid w:val="6C0F7D8A"/>
    <w:rsid w:val="726B3554"/>
    <w:rsid w:val="731153FA"/>
    <w:rsid w:val="731C63B9"/>
    <w:rsid w:val="73F543A5"/>
    <w:rsid w:val="73FF10C0"/>
    <w:rsid w:val="754B5AE2"/>
    <w:rsid w:val="76E1619D"/>
    <w:rsid w:val="79ED739D"/>
    <w:rsid w:val="7BFE5ED7"/>
    <w:rsid w:val="7DB12EF1"/>
    <w:rsid w:val="7E825F3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Pr>
    <w:rPr>
      <w:rFonts w:asciiTheme="minorHAnsi" w:hAnsiTheme="minorHAnsi" w:eastAsiaTheme="minorEastAsia" w:cstheme="minorBidi"/>
      <w:color w:val="000000"/>
      <w:sz w:val="24"/>
      <w:szCs w:val="24"/>
      <w:lang w:val="zh-TW" w:eastAsia="zh-TW"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unhideWhenUsed/>
    <w:qFormat/>
    <w:uiPriority w:val="0"/>
    <w:pPr>
      <w:keepNext/>
      <w:keepLines/>
      <w:spacing w:line="416" w:lineRule="auto"/>
      <w:outlineLvl w:val="1"/>
    </w:pPr>
    <w:rPr>
      <w:rFonts w:ascii="Arial" w:hAnsi="Arial" w:eastAsia="黑体"/>
      <w:b/>
      <w:bCs/>
      <w:sz w:val="32"/>
      <w:szCs w:val="32"/>
    </w:rPr>
  </w:style>
  <w:style w:type="paragraph" w:styleId="5">
    <w:name w:val="heading 3"/>
    <w:basedOn w:val="1"/>
    <w:next w:val="1"/>
    <w:unhideWhenUsed/>
    <w:qFormat/>
    <w:uiPriority w:val="0"/>
    <w:pPr>
      <w:keepNext/>
      <w:keepLines/>
      <w:spacing w:line="413" w:lineRule="auto"/>
      <w:outlineLvl w:val="2"/>
    </w:pPr>
    <w:rPr>
      <w:b/>
      <w:bCs/>
      <w:sz w:val="32"/>
      <w:szCs w:val="32"/>
    </w:rPr>
  </w:style>
  <w:style w:type="paragraph" w:styleId="6">
    <w:name w:val="heading 5"/>
    <w:basedOn w:val="1"/>
    <w:next w:val="1"/>
    <w:unhideWhenUsed/>
    <w:qFormat/>
    <w:uiPriority w:val="0"/>
    <w:pPr>
      <w:keepNext/>
      <w:keepLines/>
      <w:spacing w:before="280" w:after="290" w:line="376" w:lineRule="auto"/>
      <w:outlineLvl w:val="4"/>
    </w:pPr>
    <w:rPr>
      <w:b/>
      <w:bCs/>
      <w:sz w:val="28"/>
      <w:szCs w:val="28"/>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customStyle="1" w:styleId="2">
    <w:name w:val="样式 ！正文 + 首行缩进:  2 字符"/>
    <w:basedOn w:val="1"/>
    <w:qFormat/>
    <w:uiPriority w:val="0"/>
    <w:pPr>
      <w:ind w:firstLine="480" w:firstLineChars="200"/>
    </w:pPr>
    <w:rPr>
      <w:rFonts w:hint="eastAsia" w:ascii="Arial" w:hAnsi="Arial" w:cs="宋体"/>
      <w:szCs w:val="20"/>
    </w:rPr>
  </w:style>
  <w:style w:type="paragraph" w:styleId="7">
    <w:name w:val="Body Text"/>
    <w:basedOn w:val="1"/>
    <w:qFormat/>
    <w:uiPriority w:val="0"/>
    <w:pPr>
      <w:spacing w:after="120"/>
    </w:pPr>
    <w:rPr>
      <w:rFonts w:hint="eastAsia" w:ascii="Calibri" w:hAnsi="Calibri" w:eastAsia="宋体"/>
      <w:sz w:val="22"/>
    </w:rPr>
  </w:style>
  <w:style w:type="paragraph" w:styleId="8">
    <w:name w:val="Body Text Indent"/>
    <w:basedOn w:val="1"/>
    <w:next w:val="9"/>
    <w:qFormat/>
    <w:uiPriority w:val="0"/>
    <w:pPr>
      <w:ind w:firstLine="630"/>
    </w:pPr>
    <w:rPr>
      <w:sz w:val="32"/>
      <w:szCs w:val="20"/>
    </w:rPr>
  </w:style>
  <w:style w:type="paragraph" w:styleId="9">
    <w:name w:val="envelope return"/>
    <w:basedOn w:val="1"/>
    <w:qFormat/>
    <w:uiPriority w:val="99"/>
    <w:pPr>
      <w:snapToGrid w:val="0"/>
    </w:pPr>
    <w:rPr>
      <w:rFonts w:ascii="Arial" w:hAnsi="Arial"/>
    </w:rPr>
  </w:style>
  <w:style w:type="paragraph" w:styleId="10">
    <w:name w:val="Plain Text"/>
    <w:basedOn w:val="1"/>
    <w:qFormat/>
    <w:uiPriority w:val="0"/>
    <w:rPr>
      <w:rFonts w:ascii="宋体" w:hAnsi="Courier New" w:eastAsia="华文宋体" w:cs="Times New Roman"/>
      <w:kern w:val="0"/>
      <w:sz w:val="28"/>
      <w:szCs w:val="2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widowControl/>
      <w:spacing w:before="100" w:beforeLines="0" w:beforeAutospacing="1" w:after="100" w:afterLines="0" w:afterAutospacing="1"/>
      <w:jc w:val="left"/>
    </w:pPr>
    <w:rPr>
      <w:rFonts w:ascii="宋体" w:hAnsi="宋体" w:cs="宋体"/>
      <w:kern w:val="0"/>
      <w:sz w:val="24"/>
      <w:lang w:bidi="he-IL"/>
    </w:rPr>
  </w:style>
  <w:style w:type="paragraph" w:styleId="13">
    <w:name w:val="Body Text First Indent 2"/>
    <w:basedOn w:val="8"/>
    <w:qFormat/>
    <w:uiPriority w:val="99"/>
    <w:pPr>
      <w:ind w:left="420" w:firstLine="420" w:firstLineChars="200"/>
    </w:pPr>
  </w:style>
  <w:style w:type="table" w:styleId="15">
    <w:name w:val="Table Grid"/>
    <w:basedOn w:val="14"/>
    <w:qFormat/>
    <w:uiPriority w:val="0"/>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basedOn w:val="16"/>
    <w:qFormat/>
    <w:uiPriority w:val="0"/>
  </w:style>
  <w:style w:type="character" w:styleId="18">
    <w:name w:val="FollowedHyperlink"/>
    <w:basedOn w:val="16"/>
    <w:uiPriority w:val="0"/>
    <w:rPr>
      <w:color w:val="800080"/>
      <w:u w:val="none"/>
    </w:rPr>
  </w:style>
  <w:style w:type="character" w:styleId="19">
    <w:name w:val="Emphasis"/>
    <w:basedOn w:val="16"/>
    <w:qFormat/>
    <w:uiPriority w:val="0"/>
  </w:style>
  <w:style w:type="character" w:styleId="20">
    <w:name w:val="HTML Definition"/>
    <w:basedOn w:val="16"/>
    <w:qFormat/>
    <w:uiPriority w:val="0"/>
  </w:style>
  <w:style w:type="character" w:styleId="21">
    <w:name w:val="HTML Typewriter"/>
    <w:basedOn w:val="16"/>
    <w:qFormat/>
    <w:uiPriority w:val="0"/>
    <w:rPr>
      <w:rFonts w:hint="default" w:ascii="monospace" w:hAnsi="monospace" w:eastAsia="monospace" w:cs="monospace"/>
      <w:sz w:val="20"/>
    </w:rPr>
  </w:style>
  <w:style w:type="character" w:styleId="22">
    <w:name w:val="HTML Acronym"/>
    <w:basedOn w:val="16"/>
    <w:qFormat/>
    <w:uiPriority w:val="0"/>
  </w:style>
  <w:style w:type="character" w:styleId="23">
    <w:name w:val="HTML Variable"/>
    <w:basedOn w:val="16"/>
    <w:uiPriority w:val="0"/>
  </w:style>
  <w:style w:type="character" w:styleId="24">
    <w:name w:val="Hyperlink"/>
    <w:qFormat/>
    <w:uiPriority w:val="0"/>
    <w:rPr>
      <w:color w:val="333333"/>
      <w:u w:val="none"/>
    </w:rPr>
  </w:style>
  <w:style w:type="character" w:styleId="25">
    <w:name w:val="HTML Code"/>
    <w:basedOn w:val="16"/>
    <w:qFormat/>
    <w:uiPriority w:val="0"/>
    <w:rPr>
      <w:rFonts w:ascii="monospace" w:hAnsi="monospace" w:eastAsia="monospace" w:cs="monospace"/>
      <w:sz w:val="20"/>
    </w:rPr>
  </w:style>
  <w:style w:type="character" w:styleId="26">
    <w:name w:val="HTML Cite"/>
    <w:basedOn w:val="16"/>
    <w:qFormat/>
    <w:uiPriority w:val="0"/>
  </w:style>
  <w:style w:type="character" w:styleId="27">
    <w:name w:val="HTML Keyboard"/>
    <w:basedOn w:val="16"/>
    <w:qFormat/>
    <w:uiPriority w:val="0"/>
    <w:rPr>
      <w:rFonts w:hint="default" w:ascii="monospace" w:hAnsi="monospace" w:eastAsia="monospace" w:cs="monospace"/>
      <w:sz w:val="20"/>
    </w:rPr>
  </w:style>
  <w:style w:type="character" w:styleId="28">
    <w:name w:val="HTML Sample"/>
    <w:basedOn w:val="16"/>
    <w:qFormat/>
    <w:uiPriority w:val="0"/>
    <w:rPr>
      <w:rFonts w:hint="default" w:ascii="monospace" w:hAnsi="monospace" w:eastAsia="monospace" w:cs="monospace"/>
    </w:rPr>
  </w:style>
  <w:style w:type="paragraph" w:customStyle="1" w:styleId="29">
    <w:name w:val="001大标题"/>
    <w:basedOn w:val="1"/>
    <w:qFormat/>
    <w:uiPriority w:val="0"/>
    <w:pPr>
      <w:tabs>
        <w:tab w:val="left" w:pos="1080"/>
      </w:tabs>
      <w:jc w:val="center"/>
    </w:pPr>
    <w:rPr>
      <w:rFonts w:ascii="宋体" w:hAnsi="宋体" w:cs="宋体"/>
      <w:b/>
      <w:bCs/>
      <w:sz w:val="30"/>
      <w:szCs w:val="30"/>
    </w:rPr>
  </w:style>
  <w:style w:type="paragraph" w:customStyle="1" w:styleId="30">
    <w:name w:val="样式"/>
    <w:qFormat/>
    <w:uiPriority w:val="0"/>
    <w:pPr>
      <w:widowControl w:val="0"/>
      <w:autoSpaceDE w:val="0"/>
      <w:autoSpaceDN w:val="0"/>
      <w:adjustRightInd w:val="0"/>
    </w:pPr>
    <w:rPr>
      <w:rFonts w:ascii="宋体" w:hAnsi="宋体" w:cs="宋体" w:eastAsiaTheme="minorEastAsia"/>
      <w:sz w:val="24"/>
      <w:szCs w:val="24"/>
      <w:lang w:val="en-US" w:eastAsia="zh-CN" w:bidi="ar-SA"/>
    </w:rPr>
  </w:style>
  <w:style w:type="paragraph" w:customStyle="1" w:styleId="31">
    <w:name w:val="02标题二"/>
    <w:basedOn w:val="1"/>
    <w:qFormat/>
    <w:uiPriority w:val="0"/>
    <w:pPr>
      <w:ind w:firstLine="562" w:firstLineChars="200"/>
    </w:pPr>
    <w:rPr>
      <w:rFonts w:cs="华文仿宋"/>
      <w:b/>
      <w:bCs/>
      <w:sz w:val="28"/>
      <w:szCs w:val="28"/>
    </w:rPr>
  </w:style>
  <w:style w:type="paragraph" w:customStyle="1" w:styleId="32">
    <w:name w:val="正文 New"/>
    <w:basedOn w:val="1"/>
    <w:qFormat/>
    <w:uiPriority w:val="0"/>
    <w:rPr>
      <w:rFonts w:ascii="Times New Roman" w:hAnsi="Times New Roman" w:eastAsia="宋体" w:cs="Times New Roman"/>
      <w:szCs w:val="20"/>
    </w:rPr>
  </w:style>
  <w:style w:type="paragraph" w:customStyle="1" w:styleId="33">
    <w:name w:val="List Paragraph1"/>
    <w:basedOn w:val="1"/>
    <w:qFormat/>
    <w:uiPriority w:val="0"/>
    <w:pPr>
      <w:ind w:firstLine="420"/>
    </w:pPr>
    <w:rPr>
      <w:rFonts w:ascii="Calibri" w:hAnsi="Calibri"/>
    </w:rPr>
  </w:style>
  <w:style w:type="paragraph" w:customStyle="1" w:styleId="34">
    <w:name w:val="List Paragraph"/>
    <w:basedOn w:val="1"/>
    <w:qFormat/>
    <w:uiPriority w:val="34"/>
    <w:pPr>
      <w:ind w:firstLine="420" w:firstLineChars="200"/>
    </w:pPr>
    <w:rPr>
      <w:rFonts w:ascii="Calibri" w:hAnsi="Calibri" w:eastAsia="宋体" w:cs="Times New Roman"/>
      <w:szCs w:val="22"/>
    </w:rPr>
  </w:style>
  <w:style w:type="paragraph" w:customStyle="1" w:styleId="35">
    <w:name w:val="No Spacing"/>
    <w:qFormat/>
    <w:uiPriority w:val="1"/>
    <w:pPr>
      <w:widowControl w:val="0"/>
      <w:jc w:val="both"/>
    </w:pPr>
    <w:rPr>
      <w:rFonts w:ascii="Calibri" w:hAnsi="Calibri" w:eastAsia="宋体" w:cs="Times New Roman"/>
      <w:kern w:val="2"/>
      <w:sz w:val="21"/>
      <w:szCs w:val="24"/>
      <w:lang w:val="en-US" w:eastAsia="zh-CN" w:bidi="ar-SA"/>
    </w:rPr>
  </w:style>
  <w:style w:type="paragraph" w:customStyle="1" w:styleId="36">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
    <w:name w:val="列出段落1"/>
    <w:basedOn w:val="1"/>
    <w:qFormat/>
    <w:uiPriority w:val="0"/>
    <w:pPr>
      <w:ind w:firstLine="420" w:firstLineChars="200"/>
    </w:pPr>
    <w:rPr>
      <w:rFonts w:ascii="Calibri" w:hAnsi="Calibri" w:cs="Calibri"/>
      <w:szCs w:val="21"/>
    </w:rPr>
  </w:style>
  <w:style w:type="paragraph" w:customStyle="1" w:styleId="38">
    <w:name w:val="正文文本缩进_0"/>
    <w:basedOn w:val="36"/>
    <w:qFormat/>
    <w:uiPriority w:val="0"/>
    <w:pPr>
      <w:ind w:firstLine="645"/>
    </w:pPr>
    <w:rPr>
      <w:rFonts w:ascii="楷体_GB2312" w:eastAsia="楷体_GB2312"/>
      <w:sz w:val="32"/>
    </w:rPr>
  </w:style>
  <w:style w:type="paragraph" w:customStyle="1" w:styleId="39">
    <w:name w:val="纯文本1"/>
    <w:basedOn w:val="1"/>
    <w:qFormat/>
    <w:uiPriority w:val="0"/>
    <w:rPr>
      <w:rFonts w:ascii="宋体" w:hAnsi="Courier New" w:cs="宋体"/>
      <w:szCs w:val="21"/>
    </w:rPr>
  </w:style>
  <w:style w:type="paragraph" w:customStyle="1" w:styleId="40">
    <w:name w:val="规划正文"/>
    <w:basedOn w:val="1"/>
    <w:qFormat/>
    <w:uiPriority w:val="0"/>
    <w:pPr>
      <w:spacing w:line="276" w:lineRule="auto"/>
      <w:ind w:firstLine="200"/>
    </w:pPr>
    <w:rPr>
      <w:rFonts w:ascii="仿宋" w:hAnsi="仿宋" w:eastAsia="宋体"/>
      <w:color w:val="000000"/>
      <w:sz w:val="24"/>
    </w:rPr>
  </w:style>
  <w:style w:type="character" w:customStyle="1" w:styleId="41">
    <w:name w:val="bds_more"/>
    <w:basedOn w:val="16"/>
    <w:qFormat/>
    <w:uiPriority w:val="0"/>
  </w:style>
  <w:style w:type="character" w:customStyle="1" w:styleId="42">
    <w:name w:val="bds_more1"/>
    <w:basedOn w:val="16"/>
    <w:qFormat/>
    <w:uiPriority w:val="0"/>
    <w:rPr>
      <w:rFonts w:hint="eastAsia" w:ascii="宋体" w:hAnsi="宋体" w:eastAsia="宋体" w:cs="宋体"/>
    </w:rPr>
  </w:style>
  <w:style w:type="character" w:customStyle="1" w:styleId="43">
    <w:name w:val="bds_more2"/>
    <w:basedOn w:val="16"/>
    <w:qFormat/>
    <w:uiPriority w:val="0"/>
  </w:style>
  <w:style w:type="character" w:customStyle="1" w:styleId="44">
    <w:name w:val="bds_nopic"/>
    <w:basedOn w:val="16"/>
    <w:qFormat/>
    <w:uiPriority w:val="0"/>
  </w:style>
  <w:style w:type="character" w:customStyle="1" w:styleId="45">
    <w:name w:val="bds_nopic1"/>
    <w:basedOn w:val="16"/>
    <w:qFormat/>
    <w:uiPriority w:val="0"/>
  </w:style>
  <w:style w:type="character" w:customStyle="1" w:styleId="46">
    <w:name w:val="bds_nopic2"/>
    <w:basedOn w:val="16"/>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2016-09-19T01:59:00Z</dcterms:created>
  <dc:creator>Administrator</dc:creator>
  <cp:lastModifiedBy>安徽省建生工程咨询有限公司</cp:lastModifiedBy>
  <cp:lastPrinted>2020-02-21T03:15:00Z</cp:lastPrinted>
  <dcterms:modified xsi:type="dcterms:W3CDTF">2020-04-27T05:03:39Z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