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72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44"/>
          <w:szCs w:val="44"/>
          <w:lang w:val="en-US" w:eastAsia="zh-CN" w:bidi="ar-SA"/>
        </w:rPr>
        <w:t>铜陵学院</w:t>
      </w:r>
      <w:r>
        <w:rPr>
          <w:rStyle w:val="62"/>
          <w:rFonts w:hint="eastAsia" w:hAnsi="宋体" w:cs="宋体"/>
          <w:b/>
          <w:color w:val="000000"/>
          <w:kern w:val="2"/>
          <w:sz w:val="44"/>
          <w:szCs w:val="44"/>
          <w:lang w:val="en-US" w:eastAsia="zh-CN" w:bidi="ar-SA"/>
        </w:rPr>
        <w:t>公寓智能控电系统维修维保</w:t>
      </w:r>
      <w:r>
        <w:rPr>
          <w:rStyle w:val="62"/>
          <w:rFonts w:hint="eastAsia" w:ascii="宋体" w:hAnsi="宋体" w:eastAsia="宋体" w:cs="宋体"/>
          <w:b/>
          <w:color w:val="000000"/>
          <w:kern w:val="2"/>
          <w:sz w:val="44"/>
          <w:szCs w:val="44"/>
          <w:lang w:val="en-US" w:eastAsia="zh-CN" w:bidi="ar-SA"/>
        </w:rPr>
        <w:t>项目竞争性谈判文件</w:t>
      </w:r>
    </w:p>
    <w:p>
      <w:pPr>
        <w:pStyle w:val="22"/>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项目编号：</w:t>
      </w:r>
      <w:r>
        <w:rPr>
          <w:rStyle w:val="62"/>
          <w:rFonts w:hint="eastAsia" w:hAnsi="宋体" w:cs="宋体"/>
          <w:b/>
          <w:color w:val="000000"/>
          <w:kern w:val="2"/>
          <w:sz w:val="24"/>
          <w:szCs w:val="24"/>
          <w:u w:val="none"/>
          <w:lang w:val="en-US" w:eastAsia="zh-CN" w:bidi="ar-SA"/>
        </w:rPr>
        <w:t>tlxyzb</w:t>
      </w:r>
      <w:r>
        <w:rPr>
          <w:rStyle w:val="62"/>
          <w:rFonts w:hint="eastAsia" w:ascii="宋体" w:hAnsi="宋体" w:eastAsia="宋体" w:cs="宋体"/>
          <w:b/>
          <w:color w:val="000000"/>
          <w:kern w:val="2"/>
          <w:sz w:val="24"/>
          <w:szCs w:val="24"/>
          <w:u w:val="none"/>
          <w:lang w:val="en-US" w:eastAsia="zh-CN" w:bidi="ar-SA"/>
        </w:rPr>
        <w:t>【202</w:t>
      </w:r>
      <w:r>
        <w:rPr>
          <w:rStyle w:val="62"/>
          <w:rFonts w:hint="eastAsia" w:hAnsi="宋体" w:cs="宋体"/>
          <w:b/>
          <w:color w:val="000000"/>
          <w:kern w:val="2"/>
          <w:sz w:val="24"/>
          <w:szCs w:val="24"/>
          <w:u w:val="none"/>
          <w:lang w:val="en-US" w:eastAsia="zh-CN" w:bidi="ar-SA"/>
        </w:rPr>
        <w:t>3</w:t>
      </w:r>
      <w:r>
        <w:rPr>
          <w:rStyle w:val="62"/>
          <w:rFonts w:hint="eastAsia" w:ascii="宋体" w:hAnsi="宋体" w:eastAsia="宋体" w:cs="宋体"/>
          <w:b/>
          <w:color w:val="000000"/>
          <w:kern w:val="2"/>
          <w:sz w:val="24"/>
          <w:szCs w:val="24"/>
          <w:u w:val="none"/>
          <w:lang w:val="en-US" w:eastAsia="zh-CN" w:bidi="ar-SA"/>
        </w:rPr>
        <w:t>】</w:t>
      </w:r>
      <w:r>
        <w:rPr>
          <w:rStyle w:val="62"/>
          <w:rFonts w:hint="eastAsia" w:hAnsi="宋体" w:cs="宋体"/>
          <w:b/>
          <w:color w:val="000000"/>
          <w:kern w:val="2"/>
          <w:sz w:val="24"/>
          <w:szCs w:val="24"/>
          <w:u w:val="none"/>
          <w:lang w:val="en-US" w:eastAsia="zh-CN" w:bidi="ar-SA"/>
        </w:rPr>
        <w:t>36</w:t>
      </w:r>
      <w:r>
        <w:rPr>
          <w:rStyle w:val="62"/>
          <w:rFonts w:hint="eastAsia" w:ascii="宋体" w:hAnsi="宋体" w:eastAsia="宋体" w:cs="宋体"/>
          <w:b/>
          <w:color w:val="000000"/>
          <w:kern w:val="2"/>
          <w:sz w:val="24"/>
          <w:szCs w:val="24"/>
          <w:u w:val="none"/>
          <w:lang w:val="en-US" w:eastAsia="zh-CN" w:bidi="ar-SA"/>
        </w:rPr>
        <w:t>号</w:t>
      </w: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p>
    <w:tbl>
      <w:tblPr>
        <w:tblStyle w:val="12"/>
        <w:tblW w:w="80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77"/>
        <w:gridCol w:w="485"/>
        <w:gridCol w:w="54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2077" w:type="dxa"/>
            <w:vAlign w:val="center"/>
          </w:tcPr>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采   购  人</w:t>
            </w:r>
          </w:p>
        </w:tc>
        <w:tc>
          <w:tcPr>
            <w:tcW w:w="485" w:type="dxa"/>
            <w:vAlign w:val="center"/>
          </w:tcPr>
          <w:p>
            <w:pPr>
              <w:pStyle w:val="22"/>
              <w:widowControl/>
              <w:spacing w:line="360" w:lineRule="auto"/>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spacing w:val="60"/>
                <w:kern w:val="2"/>
                <w:sz w:val="24"/>
                <w:szCs w:val="24"/>
                <w:lang w:val="en-US" w:eastAsia="zh-CN" w:bidi="ar-SA"/>
              </w:rPr>
              <w:t>：</w:t>
            </w:r>
          </w:p>
        </w:tc>
        <w:tc>
          <w:tcPr>
            <w:tcW w:w="5492" w:type="dxa"/>
            <w:vAlign w:val="center"/>
          </w:tcPr>
          <w:p>
            <w:pPr>
              <w:pStyle w:val="22"/>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铜陵学院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2077" w:type="dxa"/>
            <w:vAlign w:val="center"/>
          </w:tcPr>
          <w:p>
            <w:pPr>
              <w:spacing w:line="360" w:lineRule="auto"/>
              <w:jc w:val="both"/>
              <w:textAlignment w:val="baseline"/>
              <w:rPr>
                <w:rStyle w:val="62"/>
                <w:rFonts w:hint="eastAsia" w:ascii="宋体" w:hAnsi="宋体" w:eastAsia="宋体" w:cs="宋体"/>
                <w:b/>
                <w:color w:val="000000"/>
                <w:spacing w:val="60"/>
                <w:kern w:val="2"/>
                <w:sz w:val="24"/>
                <w:szCs w:val="24"/>
                <w:lang w:val="en-US" w:eastAsia="zh-CN" w:bidi="ar-SA"/>
              </w:rPr>
            </w:pPr>
            <w:r>
              <w:rPr>
                <w:rStyle w:val="62"/>
                <w:rFonts w:hint="eastAsia" w:ascii="宋体" w:hAnsi="宋体" w:eastAsia="宋体" w:cs="宋体"/>
                <w:b/>
                <w:color w:val="000000"/>
                <w:spacing w:val="60"/>
                <w:kern w:val="2"/>
                <w:sz w:val="24"/>
                <w:szCs w:val="24"/>
                <w:lang w:val="en-US" w:eastAsia="zh-CN" w:bidi="ar-SA"/>
              </w:rPr>
              <w:t>编制时间</w:t>
            </w:r>
          </w:p>
        </w:tc>
        <w:tc>
          <w:tcPr>
            <w:tcW w:w="485" w:type="dxa"/>
            <w:vAlign w:val="center"/>
          </w:tcPr>
          <w:p>
            <w:pPr>
              <w:spacing w:line="360" w:lineRule="auto"/>
              <w:jc w:val="both"/>
              <w:textAlignment w:val="baseline"/>
              <w:rPr>
                <w:rStyle w:val="62"/>
                <w:rFonts w:hint="eastAsia" w:ascii="宋体" w:hAnsi="宋体" w:eastAsia="宋体" w:cs="宋体"/>
                <w:b/>
                <w:color w:val="000000"/>
                <w:spacing w:val="60"/>
                <w:kern w:val="2"/>
                <w:sz w:val="24"/>
                <w:szCs w:val="24"/>
                <w:lang w:val="en-US" w:eastAsia="zh-CN" w:bidi="ar-SA"/>
              </w:rPr>
            </w:pPr>
            <w:r>
              <w:rPr>
                <w:rStyle w:val="62"/>
                <w:rFonts w:hint="eastAsia" w:ascii="宋体" w:hAnsi="宋体" w:eastAsia="宋体" w:cs="宋体"/>
                <w:b/>
                <w:color w:val="000000"/>
                <w:spacing w:val="60"/>
                <w:kern w:val="2"/>
                <w:sz w:val="24"/>
                <w:szCs w:val="24"/>
                <w:lang w:val="en-US" w:eastAsia="zh-CN" w:bidi="ar-SA"/>
              </w:rPr>
              <w:t>：</w:t>
            </w:r>
          </w:p>
        </w:tc>
        <w:tc>
          <w:tcPr>
            <w:tcW w:w="5492" w:type="dxa"/>
            <w:vAlign w:val="center"/>
          </w:tcPr>
          <w:p>
            <w:pPr>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2021年</w:t>
            </w:r>
            <w:r>
              <w:rPr>
                <w:rStyle w:val="62"/>
                <w:rFonts w:hint="eastAsia" w:ascii="宋体" w:hAnsi="宋体" w:cs="宋体"/>
                <w:b/>
                <w:color w:val="000000"/>
                <w:kern w:val="2"/>
                <w:sz w:val="24"/>
                <w:szCs w:val="24"/>
                <w:lang w:val="en-US" w:eastAsia="zh-CN" w:bidi="ar-SA"/>
              </w:rPr>
              <w:t>4</w:t>
            </w:r>
            <w:r>
              <w:rPr>
                <w:rStyle w:val="62"/>
                <w:rFonts w:hint="eastAsia" w:ascii="宋体" w:hAnsi="宋体" w:eastAsia="宋体" w:cs="宋体"/>
                <w:b/>
                <w:color w:val="000000"/>
                <w:kern w:val="2"/>
                <w:sz w:val="24"/>
                <w:szCs w:val="24"/>
                <w:lang w:val="en-US" w:eastAsia="zh-CN" w:bidi="ar-SA"/>
              </w:rPr>
              <w:t>月</w:t>
            </w:r>
          </w:p>
        </w:tc>
      </w:tr>
    </w:tbl>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spacing w:line="360" w:lineRule="auto"/>
        <w:jc w:val="center"/>
        <w:textAlignment w:val="baseline"/>
        <w:rPr>
          <w:rStyle w:val="62"/>
          <w:rFonts w:hint="eastAsia" w:ascii="宋体" w:hAnsi="宋体" w:eastAsia="宋体" w:cs="宋体"/>
          <w:b/>
          <w:color w:val="000000"/>
          <w:kern w:val="2"/>
          <w:sz w:val="32"/>
          <w:szCs w:val="32"/>
          <w:lang w:val="en-US" w:eastAsia="zh-CN" w:bidi="ar-SA"/>
        </w:rPr>
      </w:pPr>
    </w:p>
    <w:p>
      <w:pPr>
        <w:spacing w:line="360" w:lineRule="auto"/>
        <w:jc w:val="center"/>
        <w:textAlignment w:val="baseline"/>
        <w:rPr>
          <w:rStyle w:val="62"/>
          <w:rFonts w:hint="eastAsia" w:ascii="宋体" w:hAnsi="宋体" w:eastAsia="宋体" w:cs="宋体"/>
          <w:b/>
          <w:color w:val="000000"/>
          <w:kern w:val="2"/>
          <w:sz w:val="32"/>
          <w:szCs w:val="32"/>
          <w:lang w:val="en-US" w:eastAsia="zh-CN" w:bidi="ar-SA"/>
        </w:rPr>
      </w:pPr>
    </w:p>
    <w:p>
      <w:pPr>
        <w:spacing w:line="360" w:lineRule="auto"/>
        <w:jc w:val="center"/>
        <w:textAlignment w:val="baseline"/>
        <w:rPr>
          <w:rStyle w:val="62"/>
          <w:rFonts w:hint="eastAsia" w:ascii="宋体" w:hAnsi="宋体" w:eastAsia="宋体" w:cs="宋体"/>
          <w:b/>
          <w:color w:val="000000"/>
          <w:kern w:val="2"/>
          <w:sz w:val="32"/>
          <w:szCs w:val="32"/>
          <w:lang w:val="en-US" w:eastAsia="zh-CN" w:bidi="ar-SA"/>
        </w:rPr>
      </w:pPr>
    </w:p>
    <w:p>
      <w:pPr>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32"/>
          <w:szCs w:val="32"/>
          <w:lang w:val="en-US" w:eastAsia="zh-CN" w:bidi="ar-SA"/>
        </w:rPr>
        <w:t>目   录</w:t>
      </w:r>
    </w:p>
    <w:p>
      <w:pPr>
        <w:spacing w:line="360" w:lineRule="auto"/>
        <w:ind w:right="42" w:rightChars="20" w:firstLine="482" w:firstLineChars="200"/>
        <w:jc w:val="center"/>
        <w:textAlignment w:val="baseline"/>
        <w:rPr>
          <w:rStyle w:val="62"/>
          <w:rFonts w:hint="eastAsia" w:ascii="宋体" w:hAnsi="宋体" w:eastAsia="宋体" w:cs="宋体"/>
          <w:b/>
          <w:color w:val="000000"/>
          <w:kern w:val="2"/>
          <w:sz w:val="24"/>
          <w:szCs w:val="24"/>
          <w:lang w:val="en-US" w:eastAsia="zh-CN" w:bidi="ar-SA"/>
        </w:rPr>
      </w:pPr>
    </w:p>
    <w:p>
      <w:pPr>
        <w:numPr>
          <w:ilvl w:val="0"/>
          <w:numId w:val="2"/>
        </w:numPr>
        <w:spacing w:line="480" w:lineRule="auto"/>
        <w:ind w:right="42" w:rightChars="20" w:firstLine="480" w:firstLineChars="20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谈判公告</w:t>
      </w:r>
    </w:p>
    <w:p>
      <w:pPr>
        <w:numPr>
          <w:ilvl w:val="0"/>
          <w:numId w:val="2"/>
        </w:numPr>
        <w:spacing w:line="480" w:lineRule="auto"/>
        <w:ind w:right="42" w:rightChars="20" w:firstLine="480" w:firstLineChars="20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谈判响应供应商须知前附表</w:t>
      </w:r>
    </w:p>
    <w:p>
      <w:pPr>
        <w:numPr>
          <w:ilvl w:val="0"/>
          <w:numId w:val="2"/>
        </w:numPr>
        <w:spacing w:line="480" w:lineRule="auto"/>
        <w:ind w:right="42" w:rightChars="20" w:firstLine="480" w:firstLineChars="20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谈判响应供应商须知</w:t>
      </w:r>
    </w:p>
    <w:p>
      <w:pPr>
        <w:numPr>
          <w:ilvl w:val="0"/>
          <w:numId w:val="3"/>
        </w:numPr>
        <w:spacing w:line="480" w:lineRule="auto"/>
        <w:ind w:right="42" w:rightChars="2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总则</w:t>
      </w:r>
    </w:p>
    <w:p>
      <w:pPr>
        <w:numPr>
          <w:ilvl w:val="0"/>
          <w:numId w:val="3"/>
        </w:numPr>
        <w:spacing w:line="480" w:lineRule="auto"/>
        <w:ind w:right="42" w:rightChars="2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竞争性谈判文件</w:t>
      </w:r>
    </w:p>
    <w:p>
      <w:pPr>
        <w:numPr>
          <w:ilvl w:val="0"/>
          <w:numId w:val="3"/>
        </w:numPr>
        <w:spacing w:line="480" w:lineRule="auto"/>
        <w:ind w:right="42" w:rightChars="2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供应商</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谈判响应书的编制</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谈判响应书的递交</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开标现场</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谈判与评审</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废标</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评标办法</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合同的签订、履行及验收</w:t>
      </w:r>
    </w:p>
    <w:p>
      <w:pPr>
        <w:numPr>
          <w:ilvl w:val="0"/>
          <w:numId w:val="3"/>
        </w:numPr>
        <w:spacing w:line="480" w:lineRule="auto"/>
        <w:ind w:right="42" w:rightChars="2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质疑</w:t>
      </w:r>
    </w:p>
    <w:p>
      <w:pPr>
        <w:numPr>
          <w:ilvl w:val="0"/>
          <w:numId w:val="4"/>
        </w:numPr>
        <w:spacing w:line="480" w:lineRule="auto"/>
        <w:ind w:right="42" w:rightChars="20" w:firstLine="56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项目需求</w:t>
      </w:r>
    </w:p>
    <w:p>
      <w:pPr>
        <w:numPr>
          <w:ilvl w:val="0"/>
          <w:numId w:val="4"/>
        </w:numPr>
        <w:spacing w:line="480" w:lineRule="auto"/>
        <w:ind w:right="42" w:rightChars="20" w:firstLine="56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项目合同</w:t>
      </w:r>
    </w:p>
    <w:p>
      <w:pPr>
        <w:spacing w:line="480" w:lineRule="auto"/>
        <w:ind w:right="42" w:rightChars="20" w:firstLine="56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第六章 谈判响应书格式</w:t>
      </w:r>
    </w:p>
    <w:p>
      <w:pPr>
        <w:spacing w:line="480" w:lineRule="auto"/>
        <w:ind w:right="42" w:rightChars="2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（一）资格、技术及商务部分</w:t>
      </w:r>
    </w:p>
    <w:p>
      <w:pPr>
        <w:spacing w:line="480" w:lineRule="auto"/>
        <w:ind w:right="42" w:rightChars="20"/>
        <w:jc w:val="left"/>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（二）报价部分</w:t>
      </w:r>
    </w:p>
    <w:p>
      <w:pPr>
        <w:widowControl/>
        <w:shd w:val="clear" w:color="auto" w:fill="FFFFFF"/>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15"/>
        <w:keepNext/>
        <w:keepLines/>
        <w:widowControl/>
        <w:numPr>
          <w:ilvl w:val="0"/>
          <w:numId w:val="5"/>
        </w:numPr>
        <w:tabs>
          <w:tab w:val="left" w:pos="0"/>
          <w:tab w:val="left" w:pos="3165"/>
          <w:tab w:val="center" w:pos="4153"/>
        </w:tabs>
        <w:spacing w:before="0" w:after="0" w:line="360" w:lineRule="auto"/>
        <w:jc w:val="center"/>
        <w:textAlignment w:val="baseline"/>
        <w:rPr>
          <w:rStyle w:val="62"/>
          <w:rFonts w:hint="eastAsia" w:ascii="宋体" w:hAnsi="宋体" w:eastAsia="宋体" w:cs="宋体"/>
          <w:b/>
          <w:bCs/>
          <w:color w:val="000000"/>
          <w:kern w:val="44"/>
          <w:sz w:val="28"/>
          <w:szCs w:val="28"/>
          <w:lang w:val="en-US" w:eastAsia="zh-CN" w:bidi="ar-SA"/>
        </w:rPr>
      </w:pPr>
      <w:r>
        <w:rPr>
          <w:rStyle w:val="62"/>
          <w:rFonts w:hint="eastAsia" w:ascii="宋体" w:hAnsi="宋体" w:eastAsia="宋体" w:cs="宋体"/>
          <w:b/>
          <w:bCs/>
          <w:color w:val="000000"/>
          <w:kern w:val="44"/>
          <w:sz w:val="28"/>
          <w:szCs w:val="28"/>
          <w:lang w:val="en-US" w:eastAsia="zh-CN" w:bidi="ar-SA"/>
        </w:rPr>
        <w:t xml:space="preserve"> 竞争性谈判公告</w:t>
      </w:r>
    </w:p>
    <w:p>
      <w:pPr>
        <w:numPr>
          <w:ilvl w:val="0"/>
          <w:numId w:val="0"/>
        </w:numPr>
        <w:spacing w:line="360" w:lineRule="auto"/>
        <w:jc w:val="both"/>
        <w:textAlignment w:val="baseline"/>
        <w:rPr>
          <w:rStyle w:val="62"/>
          <w:rFonts w:hint="eastAsia" w:ascii="宋体" w:hAnsi="宋体" w:eastAsia="宋体" w:cs="宋体"/>
          <w:kern w:val="2"/>
          <w:sz w:val="24"/>
          <w:szCs w:val="24"/>
          <w:lang w:val="en-US" w:eastAsia="zh-CN" w:bidi="ar-SA"/>
        </w:rPr>
      </w:pP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一、项目基本情况</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1.项目编号：</w:t>
      </w:r>
      <w:r>
        <w:rPr>
          <w:rStyle w:val="62"/>
          <w:rFonts w:hint="eastAsia" w:ascii="宋体" w:hAnsi="宋体" w:cs="宋体"/>
          <w:color w:val="000000"/>
          <w:kern w:val="2"/>
          <w:sz w:val="24"/>
          <w:szCs w:val="24"/>
          <w:lang w:val="en-US" w:eastAsia="zh-CN" w:bidi="ar-SA"/>
        </w:rPr>
        <w:t>tlxyzb</w:t>
      </w:r>
      <w:r>
        <w:rPr>
          <w:rStyle w:val="62"/>
          <w:rFonts w:hint="eastAsia" w:ascii="宋体" w:hAnsi="宋体" w:eastAsia="宋体" w:cs="宋体"/>
          <w:color w:val="000000"/>
          <w:kern w:val="2"/>
          <w:sz w:val="24"/>
          <w:szCs w:val="24"/>
          <w:lang w:val="en-US" w:eastAsia="zh-CN" w:bidi="ar-SA"/>
        </w:rPr>
        <w:t>【202</w:t>
      </w:r>
      <w:r>
        <w:rPr>
          <w:rStyle w:val="62"/>
          <w:rFonts w:hint="eastAsia" w:ascii="宋体" w:hAnsi="宋体" w:cs="宋体"/>
          <w:color w:val="000000"/>
          <w:kern w:val="2"/>
          <w:sz w:val="24"/>
          <w:szCs w:val="24"/>
          <w:lang w:val="en-US" w:eastAsia="zh-CN" w:bidi="ar-SA"/>
        </w:rPr>
        <w:t>3</w:t>
      </w:r>
      <w:r>
        <w:rPr>
          <w:rStyle w:val="62"/>
          <w:rFonts w:hint="eastAsia" w:ascii="宋体" w:hAnsi="宋体" w:eastAsia="宋体" w:cs="宋体"/>
          <w:color w:val="000000"/>
          <w:kern w:val="2"/>
          <w:sz w:val="24"/>
          <w:szCs w:val="24"/>
          <w:lang w:val="en-US" w:eastAsia="zh-CN" w:bidi="ar-SA"/>
        </w:rPr>
        <w:t>】</w:t>
      </w:r>
      <w:r>
        <w:rPr>
          <w:rStyle w:val="62"/>
          <w:rFonts w:hint="eastAsia" w:ascii="宋体" w:hAnsi="宋体" w:cs="宋体"/>
          <w:color w:val="000000"/>
          <w:kern w:val="2"/>
          <w:sz w:val="24"/>
          <w:szCs w:val="24"/>
          <w:lang w:val="en-US" w:eastAsia="zh-CN" w:bidi="ar-SA"/>
        </w:rPr>
        <w:t>36</w:t>
      </w:r>
      <w:r>
        <w:rPr>
          <w:rStyle w:val="62"/>
          <w:rFonts w:hint="eastAsia" w:ascii="宋体" w:hAnsi="宋体" w:eastAsia="宋体" w:cs="宋体"/>
          <w:color w:val="000000"/>
          <w:kern w:val="2"/>
          <w:sz w:val="24"/>
          <w:szCs w:val="24"/>
          <w:lang w:val="en-US" w:eastAsia="zh-CN" w:bidi="ar-SA"/>
        </w:rPr>
        <w:t>号</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2.项目名称：铜陵学院</w:t>
      </w:r>
      <w:r>
        <w:rPr>
          <w:rStyle w:val="62"/>
          <w:rFonts w:hint="eastAsia" w:ascii="宋体" w:hAnsi="宋体" w:cs="宋体"/>
          <w:color w:val="000000"/>
          <w:kern w:val="2"/>
          <w:sz w:val="24"/>
          <w:szCs w:val="24"/>
          <w:lang w:val="en-US" w:eastAsia="zh-CN" w:bidi="ar-SA"/>
        </w:rPr>
        <w:t>公寓智能控电系统维修维保</w:t>
      </w:r>
      <w:r>
        <w:rPr>
          <w:rStyle w:val="62"/>
          <w:rFonts w:hint="eastAsia" w:ascii="宋体" w:hAnsi="宋体" w:eastAsia="宋体" w:cs="宋体"/>
          <w:color w:val="000000"/>
          <w:kern w:val="2"/>
          <w:sz w:val="24"/>
          <w:szCs w:val="24"/>
          <w:lang w:val="en-US" w:eastAsia="zh-CN" w:bidi="ar-SA"/>
        </w:rPr>
        <w:t>项目</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3.采购方式：竞争性谈判</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4.预算金额：</w:t>
      </w:r>
      <w:r>
        <w:rPr>
          <w:rStyle w:val="62"/>
          <w:rFonts w:hint="eastAsia" w:ascii="宋体" w:hAnsi="宋体" w:cs="宋体"/>
          <w:color w:val="000000"/>
          <w:kern w:val="2"/>
          <w:sz w:val="24"/>
          <w:szCs w:val="24"/>
          <w:lang w:val="en-US" w:eastAsia="zh-CN" w:bidi="ar-SA"/>
        </w:rPr>
        <w:t>4.2万</w:t>
      </w:r>
      <w:r>
        <w:rPr>
          <w:rStyle w:val="62"/>
          <w:rFonts w:hint="eastAsia" w:ascii="宋体" w:hAnsi="宋体" w:eastAsia="宋体" w:cs="宋体"/>
          <w:color w:val="000000"/>
          <w:kern w:val="2"/>
          <w:sz w:val="24"/>
          <w:szCs w:val="24"/>
          <w:lang w:val="en-US" w:eastAsia="zh-CN" w:bidi="ar-SA"/>
        </w:rPr>
        <w:t>元</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5.最高限价（如有）：</w:t>
      </w:r>
      <w:r>
        <w:rPr>
          <w:rStyle w:val="62"/>
          <w:rFonts w:hint="eastAsia" w:ascii="宋体" w:hAnsi="宋体" w:cs="宋体"/>
          <w:color w:val="000000"/>
          <w:kern w:val="2"/>
          <w:sz w:val="24"/>
          <w:szCs w:val="24"/>
          <w:lang w:val="en-US" w:eastAsia="zh-CN" w:bidi="ar-SA"/>
        </w:rPr>
        <w:t>4.2万</w:t>
      </w:r>
      <w:r>
        <w:rPr>
          <w:rStyle w:val="62"/>
          <w:rFonts w:hint="eastAsia" w:ascii="宋体" w:hAnsi="宋体" w:eastAsia="宋体" w:cs="宋体"/>
          <w:color w:val="000000"/>
          <w:kern w:val="2"/>
          <w:sz w:val="24"/>
          <w:szCs w:val="24"/>
          <w:lang w:val="en-US" w:eastAsia="zh-CN" w:bidi="ar-SA"/>
        </w:rPr>
        <w:t>元</w:t>
      </w:r>
    </w:p>
    <w:p>
      <w:pPr>
        <w:spacing w:line="360" w:lineRule="auto"/>
        <w:ind w:firstLine="480" w:firstLineChars="200"/>
        <w:jc w:val="both"/>
        <w:textAlignment w:val="baseline"/>
        <w:rPr>
          <w:rStyle w:val="62"/>
          <w:rFonts w:hint="default"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6.采购需求：</w:t>
      </w:r>
      <w:r>
        <w:rPr>
          <w:rStyle w:val="62"/>
          <w:rFonts w:hint="eastAsia" w:ascii="宋体" w:hAnsi="宋体" w:cs="宋体"/>
          <w:color w:val="000000"/>
          <w:kern w:val="2"/>
          <w:sz w:val="24"/>
          <w:szCs w:val="24"/>
          <w:lang w:val="en-US" w:eastAsia="zh-CN" w:bidi="ar-SA"/>
        </w:rPr>
        <w:t>公寓智能控电系统维修维保</w:t>
      </w:r>
      <w:r>
        <w:rPr>
          <w:rStyle w:val="62"/>
          <w:rFonts w:hint="eastAsia" w:ascii="宋体" w:hAnsi="宋体" w:eastAsia="宋体" w:cs="宋体"/>
          <w:color w:val="000000"/>
          <w:kern w:val="2"/>
          <w:sz w:val="24"/>
          <w:szCs w:val="24"/>
          <w:lang w:val="en-US" w:eastAsia="zh-CN" w:bidi="ar-SA"/>
        </w:rPr>
        <w:t>升级</w:t>
      </w:r>
      <w:r>
        <w:rPr>
          <w:rStyle w:val="62"/>
          <w:rFonts w:hint="eastAsia" w:ascii="宋体" w:hAnsi="宋体" w:cs="宋体"/>
          <w:color w:val="000000"/>
          <w:kern w:val="2"/>
          <w:sz w:val="24"/>
          <w:szCs w:val="24"/>
          <w:lang w:val="en-US" w:eastAsia="zh-CN" w:bidi="ar-SA"/>
        </w:rPr>
        <w:t>及设备采购，详见项目需求。</w:t>
      </w:r>
    </w:p>
    <w:p>
      <w:pPr>
        <w:spacing w:line="360" w:lineRule="auto"/>
        <w:ind w:firstLine="480" w:firstLineChars="200"/>
        <w:jc w:val="both"/>
        <w:textAlignment w:val="baseline"/>
        <w:rPr>
          <w:rStyle w:val="62"/>
          <w:rFonts w:hint="eastAsia" w:ascii="宋体" w:hAnsi="宋体" w:eastAsia="宋体" w:cs="宋体"/>
          <w:color w:val="000000"/>
          <w:kern w:val="2"/>
          <w:sz w:val="24"/>
          <w:szCs w:val="24"/>
          <w:u w:val="single"/>
          <w:lang w:val="en-US" w:eastAsia="zh-CN" w:bidi="ar-SA"/>
        </w:rPr>
      </w:pPr>
      <w:r>
        <w:rPr>
          <w:rStyle w:val="62"/>
          <w:rFonts w:hint="eastAsia" w:ascii="宋体" w:hAnsi="宋体" w:eastAsia="宋体" w:cs="宋体"/>
          <w:color w:val="000000"/>
          <w:kern w:val="2"/>
          <w:sz w:val="24"/>
          <w:szCs w:val="24"/>
          <w:lang w:val="en-US" w:eastAsia="zh-CN" w:bidi="ar-SA"/>
        </w:rPr>
        <w:t>7.</w:t>
      </w:r>
      <w:r>
        <w:rPr>
          <w:rStyle w:val="62"/>
          <w:rFonts w:hint="eastAsia" w:ascii="宋体" w:hAnsi="宋体" w:cs="宋体"/>
          <w:color w:val="000000"/>
          <w:kern w:val="2"/>
          <w:sz w:val="24"/>
          <w:szCs w:val="24"/>
          <w:lang w:val="en-US" w:eastAsia="zh-CN" w:bidi="ar-SA"/>
        </w:rPr>
        <w:t>服务</w:t>
      </w:r>
      <w:r>
        <w:rPr>
          <w:rStyle w:val="62"/>
          <w:rFonts w:hint="eastAsia" w:ascii="宋体" w:hAnsi="宋体" w:eastAsia="宋体" w:cs="宋体"/>
          <w:color w:val="000000"/>
          <w:kern w:val="2"/>
          <w:sz w:val="24"/>
          <w:szCs w:val="24"/>
          <w:lang w:val="en-US" w:eastAsia="zh-CN" w:bidi="ar-SA"/>
        </w:rPr>
        <w:t>期：</w:t>
      </w:r>
      <w:r>
        <w:rPr>
          <w:rStyle w:val="62"/>
          <w:rFonts w:hint="eastAsia" w:ascii="宋体" w:hAnsi="宋体" w:cs="宋体"/>
          <w:color w:val="000000"/>
          <w:kern w:val="2"/>
          <w:sz w:val="24"/>
          <w:szCs w:val="24"/>
          <w:lang w:val="en-US" w:eastAsia="zh-CN" w:bidi="ar-SA"/>
        </w:rPr>
        <w:t>一年。自合同签订之日起执行。合同按照1+1+1方式签订,即每年考核合格后签订下一年合同。</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8.标段（包别）划分：一个标段</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9.本项目不接受联合体投标。</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二、申请人的资格要求</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1.满足《中华人民共和国政府采购法》第二十二条规定</w:t>
      </w:r>
      <w:r>
        <w:rPr>
          <w:rStyle w:val="62"/>
          <w:rFonts w:hint="eastAsia" w:ascii="宋体" w:hAnsi="宋体" w:cs="宋体"/>
          <w:color w:val="000000"/>
          <w:kern w:val="2"/>
          <w:sz w:val="24"/>
          <w:szCs w:val="24"/>
          <w:lang w:val="en-US" w:eastAsia="zh-CN" w:bidi="ar-SA"/>
        </w:rPr>
        <w:t>。</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2.落实政府采购政策需满足的资格要求：本项目非专门面向中小企业采购。</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3.供应商存在以下不良信用记录情形之一的，不得推荐为成交候选人，不得确定为成交供应商：</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(1）供应商被人民法院列入失信被执行人的；</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(2）供应商或其法定代表人近三年内被人民检察院列入行贿犯罪档案的；</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(3）供应商被工商行政管理部门列入企业经营异常名录的；</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(4）供应商被税务部门列入重大税收违法案件当事人名单的；</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(5）供应商被政府采购监管部门列入政府采购严重违法失信行为记录名单的。</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三、获取采购文件</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时间：202</w:t>
      </w:r>
      <w:r>
        <w:rPr>
          <w:rStyle w:val="62"/>
          <w:rFonts w:hint="eastAsia" w:ascii="宋体" w:hAnsi="宋体" w:cs="宋体"/>
          <w:color w:val="000000"/>
          <w:kern w:val="2"/>
          <w:sz w:val="24"/>
          <w:szCs w:val="24"/>
          <w:lang w:val="en-US" w:eastAsia="zh-CN" w:bidi="ar-SA"/>
        </w:rPr>
        <w:t>3</w:t>
      </w:r>
      <w:r>
        <w:rPr>
          <w:rStyle w:val="62"/>
          <w:rFonts w:hint="eastAsia" w:ascii="宋体" w:hAnsi="宋体" w:eastAsia="宋体" w:cs="宋体"/>
          <w:color w:val="000000"/>
          <w:kern w:val="2"/>
          <w:sz w:val="24"/>
          <w:szCs w:val="24"/>
          <w:lang w:val="en-US" w:eastAsia="zh-CN" w:bidi="ar-SA"/>
        </w:rPr>
        <w:t>年</w:t>
      </w:r>
      <w:r>
        <w:rPr>
          <w:rStyle w:val="62"/>
          <w:rFonts w:hint="eastAsia" w:ascii="宋体" w:hAnsi="宋体" w:cs="宋体"/>
          <w:color w:val="000000"/>
          <w:kern w:val="2"/>
          <w:sz w:val="24"/>
          <w:szCs w:val="24"/>
          <w:lang w:val="en-US" w:eastAsia="zh-CN" w:bidi="ar-SA"/>
        </w:rPr>
        <w:t>4</w:t>
      </w:r>
      <w:r>
        <w:rPr>
          <w:rStyle w:val="62"/>
          <w:rFonts w:hint="eastAsia" w:ascii="宋体" w:hAnsi="宋体" w:eastAsia="宋体" w:cs="宋体"/>
          <w:color w:val="000000"/>
          <w:kern w:val="2"/>
          <w:sz w:val="24"/>
          <w:szCs w:val="24"/>
          <w:lang w:val="en-US" w:eastAsia="zh-CN" w:bidi="ar-SA"/>
        </w:rPr>
        <w:t>月</w:t>
      </w:r>
      <w:r>
        <w:rPr>
          <w:rStyle w:val="62"/>
          <w:rFonts w:hint="eastAsia" w:ascii="宋体" w:hAnsi="宋体" w:cs="宋体"/>
          <w:color w:val="000000"/>
          <w:kern w:val="2"/>
          <w:sz w:val="24"/>
          <w:szCs w:val="24"/>
          <w:lang w:val="en-US" w:eastAsia="zh-CN" w:bidi="ar-SA"/>
        </w:rPr>
        <w:t>10</w:t>
      </w:r>
      <w:r>
        <w:rPr>
          <w:rStyle w:val="62"/>
          <w:rFonts w:hint="eastAsia" w:ascii="宋体" w:hAnsi="宋体" w:eastAsia="宋体" w:cs="宋体"/>
          <w:color w:val="000000"/>
          <w:kern w:val="2"/>
          <w:sz w:val="24"/>
          <w:szCs w:val="24"/>
          <w:lang w:val="en-US" w:eastAsia="zh-CN" w:bidi="ar-SA"/>
        </w:rPr>
        <w:t>日至202</w:t>
      </w:r>
      <w:r>
        <w:rPr>
          <w:rStyle w:val="62"/>
          <w:rFonts w:hint="eastAsia" w:ascii="宋体" w:hAnsi="宋体" w:cs="宋体"/>
          <w:color w:val="000000"/>
          <w:kern w:val="2"/>
          <w:sz w:val="24"/>
          <w:szCs w:val="24"/>
          <w:lang w:val="en-US" w:eastAsia="zh-CN" w:bidi="ar-SA"/>
        </w:rPr>
        <w:t>3</w:t>
      </w:r>
      <w:r>
        <w:rPr>
          <w:rStyle w:val="62"/>
          <w:rFonts w:hint="eastAsia" w:ascii="宋体" w:hAnsi="宋体" w:eastAsia="宋体" w:cs="宋体"/>
          <w:color w:val="000000"/>
          <w:kern w:val="2"/>
          <w:sz w:val="24"/>
          <w:szCs w:val="24"/>
          <w:lang w:val="en-US" w:eastAsia="zh-CN" w:bidi="ar-SA"/>
        </w:rPr>
        <w:t>年</w:t>
      </w:r>
      <w:r>
        <w:rPr>
          <w:rStyle w:val="62"/>
          <w:rFonts w:hint="eastAsia" w:ascii="宋体" w:hAnsi="宋体" w:cs="宋体"/>
          <w:color w:val="000000"/>
          <w:kern w:val="2"/>
          <w:sz w:val="24"/>
          <w:szCs w:val="24"/>
          <w:lang w:val="en-US" w:eastAsia="zh-CN" w:bidi="ar-SA"/>
        </w:rPr>
        <w:t>4</w:t>
      </w:r>
      <w:r>
        <w:rPr>
          <w:rStyle w:val="62"/>
          <w:rFonts w:hint="eastAsia" w:ascii="宋体" w:hAnsi="宋体" w:eastAsia="宋体" w:cs="宋体"/>
          <w:color w:val="000000"/>
          <w:kern w:val="2"/>
          <w:sz w:val="24"/>
          <w:szCs w:val="24"/>
          <w:lang w:val="en-US" w:eastAsia="zh-CN" w:bidi="ar-SA"/>
        </w:rPr>
        <w:t>月</w:t>
      </w:r>
      <w:r>
        <w:rPr>
          <w:rStyle w:val="62"/>
          <w:rFonts w:hint="eastAsia" w:ascii="宋体" w:hAnsi="宋体" w:cs="宋体"/>
          <w:color w:val="000000"/>
          <w:kern w:val="2"/>
          <w:sz w:val="24"/>
          <w:szCs w:val="24"/>
          <w:lang w:val="en-US" w:eastAsia="zh-CN" w:bidi="ar-SA"/>
        </w:rPr>
        <w:t>20</w:t>
      </w:r>
      <w:r>
        <w:rPr>
          <w:rStyle w:val="62"/>
          <w:rFonts w:hint="eastAsia" w:ascii="宋体" w:hAnsi="宋体" w:eastAsia="宋体" w:cs="宋体"/>
          <w:color w:val="000000"/>
          <w:kern w:val="2"/>
          <w:sz w:val="24"/>
          <w:szCs w:val="24"/>
          <w:lang w:val="en-US" w:eastAsia="zh-CN" w:bidi="ar-SA"/>
        </w:rPr>
        <w:t>日在</w:t>
      </w:r>
      <w:r>
        <w:rPr>
          <w:rStyle w:val="62"/>
          <w:rFonts w:hint="eastAsia" w:ascii="宋体" w:hAnsi="宋体" w:cs="宋体"/>
          <w:color w:val="000000"/>
          <w:kern w:val="2"/>
          <w:sz w:val="24"/>
          <w:szCs w:val="24"/>
          <w:lang w:val="en-US" w:eastAsia="zh-CN" w:bidi="ar-SA"/>
        </w:rPr>
        <w:t>“铜陵学院校园网”</w:t>
      </w:r>
      <w:r>
        <w:rPr>
          <w:rStyle w:val="62"/>
          <w:rFonts w:hint="eastAsia" w:ascii="宋体" w:hAnsi="宋体" w:eastAsia="宋体" w:cs="宋体"/>
          <w:color w:val="000000"/>
          <w:kern w:val="2"/>
          <w:sz w:val="24"/>
          <w:szCs w:val="24"/>
          <w:lang w:val="en-US" w:eastAsia="zh-CN" w:bidi="ar-SA"/>
        </w:rPr>
        <w:t>网站</w:t>
      </w:r>
      <w:r>
        <w:rPr>
          <w:rStyle w:val="62"/>
          <w:rFonts w:hint="eastAsia" w:ascii="宋体" w:hAnsi="宋体" w:cs="宋体"/>
          <w:color w:val="000000"/>
          <w:kern w:val="2"/>
          <w:sz w:val="24"/>
          <w:szCs w:val="24"/>
          <w:lang w:val="en-US" w:eastAsia="zh-CN" w:bidi="ar-SA"/>
        </w:rPr>
        <w:t>自行下载</w:t>
      </w:r>
      <w:r>
        <w:rPr>
          <w:rStyle w:val="62"/>
          <w:rFonts w:hint="eastAsia" w:ascii="宋体" w:hAnsi="宋体" w:eastAsia="宋体" w:cs="宋体"/>
          <w:color w:val="000000"/>
          <w:kern w:val="2"/>
          <w:sz w:val="24"/>
          <w:szCs w:val="24"/>
          <w:lang w:val="en-US" w:eastAsia="zh-CN" w:bidi="ar-SA"/>
        </w:rPr>
        <w:t xml:space="preserve">。     </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四、响应文件提交</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凡符合投标资格、有意向的投标单位，均为被询价对象。请有意参与投标报价的单位于2023年4月</w:t>
      </w:r>
      <w:r>
        <w:rPr>
          <w:rStyle w:val="62"/>
          <w:rFonts w:hint="eastAsia" w:ascii="宋体" w:hAnsi="宋体" w:cs="宋体"/>
          <w:color w:val="000000"/>
          <w:kern w:val="2"/>
          <w:sz w:val="24"/>
          <w:szCs w:val="24"/>
          <w:lang w:val="en-US" w:eastAsia="zh-CN" w:bidi="ar-SA"/>
        </w:rPr>
        <w:t>20</w:t>
      </w:r>
      <w:bookmarkStart w:id="0" w:name="_GoBack"/>
      <w:bookmarkEnd w:id="0"/>
      <w:r>
        <w:rPr>
          <w:rStyle w:val="62"/>
          <w:rFonts w:hint="eastAsia" w:ascii="宋体" w:hAnsi="宋体" w:eastAsia="宋体" w:cs="宋体"/>
          <w:color w:val="000000"/>
          <w:kern w:val="2"/>
          <w:sz w:val="24"/>
          <w:szCs w:val="24"/>
          <w:lang w:val="en-US" w:eastAsia="zh-CN" w:bidi="ar-SA"/>
        </w:rPr>
        <w:t>日上午11：00前将投标文件送达铜陵学院南大门值班室，联系人：胡老师（13955931061）。</w:t>
      </w:r>
    </w:p>
    <w:p>
      <w:pPr>
        <w:spacing w:line="360" w:lineRule="auto"/>
        <w:ind w:firstLine="480" w:firstLineChars="200"/>
        <w:jc w:val="both"/>
        <w:textAlignment w:val="baseline"/>
        <w:rPr>
          <w:rStyle w:val="62"/>
          <w:rFonts w:hint="eastAsia" w:ascii="宋体" w:hAnsi="宋体" w:eastAsia="宋体" w:cs="宋体"/>
          <w:color w:val="000000"/>
          <w:kern w:val="2"/>
          <w:sz w:val="24"/>
          <w:szCs w:val="24"/>
          <w:highlight w:val="yellow"/>
          <w:lang w:val="en-US" w:eastAsia="zh-CN" w:bidi="ar-SA"/>
        </w:rPr>
      </w:pPr>
      <w:r>
        <w:rPr>
          <w:rStyle w:val="62"/>
          <w:rFonts w:hint="eastAsia" w:ascii="宋体" w:hAnsi="宋体" w:eastAsia="宋体" w:cs="宋体"/>
          <w:color w:val="000000"/>
          <w:kern w:val="2"/>
          <w:sz w:val="24"/>
          <w:szCs w:val="24"/>
          <w:highlight w:val="yellow"/>
          <w:lang w:val="en-US" w:eastAsia="zh-CN" w:bidi="ar-SA"/>
        </w:rPr>
        <w:t>（因校园管理要求，请投标人在2023年4月</w:t>
      </w:r>
      <w:r>
        <w:rPr>
          <w:rStyle w:val="62"/>
          <w:rFonts w:hint="eastAsia" w:ascii="宋体" w:hAnsi="宋体" w:cs="宋体"/>
          <w:color w:val="000000"/>
          <w:kern w:val="2"/>
          <w:sz w:val="24"/>
          <w:szCs w:val="24"/>
          <w:highlight w:val="yellow"/>
          <w:lang w:val="en-US" w:eastAsia="zh-CN" w:bidi="ar-SA"/>
        </w:rPr>
        <w:t>20</w:t>
      </w:r>
      <w:r>
        <w:rPr>
          <w:rStyle w:val="62"/>
          <w:rFonts w:hint="eastAsia" w:ascii="宋体" w:hAnsi="宋体" w:eastAsia="宋体" w:cs="宋体"/>
          <w:color w:val="000000"/>
          <w:kern w:val="2"/>
          <w:sz w:val="24"/>
          <w:szCs w:val="24"/>
          <w:highlight w:val="yellow"/>
          <w:lang w:val="en-US" w:eastAsia="zh-CN" w:bidi="ar-SA"/>
        </w:rPr>
        <w:t>日上午8:30-11:00期间投递投标函，其它时段不接收）。</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五、开启</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1.开标由采购人在监督部门监督下</w:t>
      </w:r>
      <w:r>
        <w:rPr>
          <w:rStyle w:val="62"/>
          <w:rFonts w:hint="eastAsia" w:ascii="宋体" w:hAnsi="宋体" w:cs="宋体"/>
          <w:color w:val="000000"/>
          <w:kern w:val="2"/>
          <w:sz w:val="24"/>
          <w:szCs w:val="24"/>
          <w:lang w:val="en-US" w:eastAsia="zh-CN" w:bidi="ar-SA"/>
        </w:rPr>
        <w:t>自行组织开标，投保人不参加开标。</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2.地点：铜陵</w:t>
      </w:r>
      <w:r>
        <w:rPr>
          <w:rStyle w:val="62"/>
          <w:rFonts w:hint="eastAsia" w:ascii="宋体" w:hAnsi="宋体" w:cs="宋体"/>
          <w:color w:val="000000"/>
          <w:kern w:val="2"/>
          <w:sz w:val="24"/>
          <w:szCs w:val="24"/>
          <w:lang w:val="en-US" w:eastAsia="zh-CN" w:bidi="ar-SA"/>
        </w:rPr>
        <w:t>学院翠湖校区图书馆八楼评标室</w:t>
      </w:r>
    </w:p>
    <w:p>
      <w:pPr>
        <w:spacing w:line="360" w:lineRule="auto"/>
        <w:ind w:firstLine="480" w:firstLineChars="200"/>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bCs/>
          <w:color w:val="000000"/>
          <w:kern w:val="2"/>
          <w:sz w:val="24"/>
          <w:szCs w:val="24"/>
          <w:lang w:val="en-US" w:eastAsia="zh-CN" w:bidi="ar-SA"/>
        </w:rPr>
        <w:t>六、其他补充事宜</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采购项目的名称、编号、数量、简要规格描述或项目基本概况介绍详见采购需求。</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七、凡对本次采购提出询问，请按以下方式联系。</w:t>
      </w:r>
    </w:p>
    <w:p>
      <w:pPr>
        <w:widowControl/>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　　1.采购人信息</w:t>
      </w:r>
    </w:p>
    <w:p>
      <w:pPr>
        <w:spacing w:line="360" w:lineRule="auto"/>
        <w:ind w:firstLine="480" w:firstLineChars="20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名  称：</w:t>
      </w:r>
      <w:r>
        <w:rPr>
          <w:rStyle w:val="62"/>
          <w:rFonts w:hint="eastAsia" w:ascii="宋体" w:hAnsi="宋体" w:eastAsia="宋体" w:cs="宋体"/>
          <w:color w:val="000000"/>
          <w:kern w:val="2"/>
          <w:sz w:val="24"/>
          <w:szCs w:val="24"/>
          <w:u w:val="single"/>
          <w:lang w:val="en-US" w:eastAsia="zh-CN" w:bidi="ar-SA"/>
        </w:rPr>
        <w:t xml:space="preserve">           铜陵学院            　</w:t>
      </w:r>
    </w:p>
    <w:p>
      <w:pPr>
        <w:spacing w:line="360" w:lineRule="auto"/>
        <w:ind w:firstLine="480" w:firstLineChars="200"/>
        <w:jc w:val="left"/>
        <w:textAlignment w:val="baseline"/>
        <w:rPr>
          <w:rStyle w:val="62"/>
          <w:rFonts w:hint="eastAsia" w:ascii="宋体" w:hAnsi="宋体" w:eastAsia="宋体" w:cs="宋体"/>
          <w:color w:val="000000"/>
          <w:kern w:val="2"/>
          <w:sz w:val="24"/>
          <w:szCs w:val="24"/>
          <w:u w:val="single"/>
          <w:lang w:val="en-US" w:eastAsia="zh-CN" w:bidi="ar-SA"/>
        </w:rPr>
      </w:pPr>
      <w:r>
        <w:rPr>
          <w:rStyle w:val="62"/>
          <w:rFonts w:hint="eastAsia" w:ascii="宋体" w:hAnsi="宋体" w:eastAsia="宋体" w:cs="宋体"/>
          <w:color w:val="000000"/>
          <w:kern w:val="2"/>
          <w:sz w:val="24"/>
          <w:szCs w:val="24"/>
          <w:lang w:val="en-US" w:eastAsia="zh-CN" w:bidi="ar-SA"/>
        </w:rPr>
        <w:t>地  址：</w:t>
      </w:r>
      <w:r>
        <w:rPr>
          <w:rStyle w:val="62"/>
          <w:rFonts w:hint="eastAsia" w:ascii="宋体" w:hAnsi="宋体" w:eastAsia="宋体" w:cs="宋体"/>
          <w:color w:val="000000"/>
          <w:kern w:val="2"/>
          <w:sz w:val="24"/>
          <w:szCs w:val="24"/>
          <w:u w:val="single"/>
          <w:lang w:val="en-US" w:eastAsia="zh-CN" w:bidi="ar-SA"/>
        </w:rPr>
        <w:t xml:space="preserve">　 铜陵市开发区翠湖四路1335号   </w:t>
      </w:r>
    </w:p>
    <w:p>
      <w:pPr>
        <w:spacing w:line="360" w:lineRule="auto"/>
        <w:ind w:firstLine="480" w:firstLineChars="20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联系人：</w:t>
      </w:r>
      <w:r>
        <w:rPr>
          <w:rStyle w:val="62"/>
          <w:rFonts w:hint="eastAsia" w:ascii="宋体" w:hAnsi="宋体" w:eastAsia="宋体" w:cs="宋体"/>
          <w:color w:val="000000"/>
          <w:kern w:val="2"/>
          <w:sz w:val="24"/>
          <w:szCs w:val="24"/>
          <w:u w:val="single"/>
          <w:lang w:val="en-US" w:eastAsia="zh-CN" w:bidi="ar-SA"/>
        </w:rPr>
        <w:t xml:space="preserve">　　        程老师　　　　　　　 </w:t>
      </w:r>
    </w:p>
    <w:p>
      <w:pPr>
        <w:spacing w:line="360" w:lineRule="auto"/>
        <w:ind w:firstLine="480" w:firstLineChars="200"/>
        <w:jc w:val="left"/>
        <w:textAlignment w:val="baseline"/>
        <w:rPr>
          <w:rStyle w:val="62"/>
          <w:rFonts w:hint="eastAsia" w:ascii="宋体" w:hAnsi="宋体" w:eastAsia="宋体" w:cs="宋体"/>
          <w:color w:val="000000"/>
          <w:kern w:val="2"/>
          <w:sz w:val="24"/>
          <w:szCs w:val="24"/>
          <w:u w:val="single"/>
          <w:lang w:val="en-US" w:eastAsia="zh-CN" w:bidi="ar-SA"/>
        </w:rPr>
      </w:pPr>
      <w:r>
        <w:rPr>
          <w:rStyle w:val="62"/>
          <w:rFonts w:hint="eastAsia" w:ascii="宋体" w:hAnsi="宋体" w:eastAsia="宋体" w:cs="宋体"/>
          <w:color w:val="000000"/>
          <w:kern w:val="2"/>
          <w:sz w:val="24"/>
          <w:szCs w:val="24"/>
          <w:lang w:val="en-US" w:eastAsia="zh-CN" w:bidi="ar-SA"/>
        </w:rPr>
        <w:t>联系方式：</w:t>
      </w:r>
      <w:r>
        <w:rPr>
          <w:rStyle w:val="62"/>
          <w:rFonts w:hint="eastAsia" w:ascii="宋体" w:hAnsi="宋体" w:eastAsia="宋体" w:cs="宋体"/>
          <w:color w:val="000000"/>
          <w:kern w:val="2"/>
          <w:sz w:val="24"/>
          <w:szCs w:val="24"/>
          <w:u w:val="single"/>
          <w:lang w:val="en-US" w:eastAsia="zh-CN" w:bidi="ar-SA"/>
        </w:rPr>
        <w:t>　      0562-5881058     　　　</w:t>
      </w:r>
    </w:p>
    <w:p>
      <w:pPr>
        <w:spacing w:line="360" w:lineRule="auto"/>
        <w:ind w:firstLine="480" w:firstLineChars="200"/>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w:t>
      </w:r>
      <w:r>
        <w:rPr>
          <w:rStyle w:val="62"/>
          <w:rFonts w:hint="eastAsia" w:ascii="宋体" w:hAnsi="宋体" w:cs="宋体"/>
          <w:color w:val="000000"/>
          <w:kern w:val="2"/>
          <w:sz w:val="24"/>
          <w:szCs w:val="24"/>
          <w:lang w:val="en-US" w:eastAsia="zh-CN" w:bidi="ar-SA"/>
        </w:rPr>
        <w:t>项目使用管理部门</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名  称：</w:t>
      </w:r>
      <w:r>
        <w:rPr>
          <w:rStyle w:val="62"/>
          <w:rFonts w:hint="eastAsia" w:ascii="宋体" w:hAnsi="宋体" w:eastAsia="宋体" w:cs="宋体"/>
          <w:color w:val="000000"/>
          <w:kern w:val="2"/>
          <w:sz w:val="24"/>
          <w:szCs w:val="24"/>
          <w:u w:val="single"/>
          <w:lang w:val="en-US" w:eastAsia="zh-CN" w:bidi="ar-SA"/>
        </w:rPr>
        <w:t>　铜陵</w:t>
      </w:r>
      <w:r>
        <w:rPr>
          <w:rStyle w:val="62"/>
          <w:rFonts w:hint="eastAsia" w:ascii="宋体" w:hAnsi="宋体" w:cs="宋体"/>
          <w:color w:val="000000"/>
          <w:kern w:val="2"/>
          <w:sz w:val="24"/>
          <w:szCs w:val="24"/>
          <w:u w:val="single"/>
          <w:lang w:val="en-US" w:eastAsia="zh-CN" w:bidi="ar-SA"/>
        </w:rPr>
        <w:t>学院总务处</w:t>
      </w:r>
      <w:r>
        <w:rPr>
          <w:rStyle w:val="62"/>
          <w:rFonts w:hint="eastAsia" w:ascii="宋体" w:hAnsi="宋体" w:eastAsia="宋体" w:cs="宋体"/>
          <w:color w:val="000000"/>
          <w:kern w:val="2"/>
          <w:sz w:val="24"/>
          <w:szCs w:val="24"/>
          <w:u w:val="single"/>
          <w:lang w:val="en-US" w:eastAsia="zh-CN" w:bidi="ar-SA"/>
        </w:rPr>
        <w:t xml:space="preserve">  　</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联系人：</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cs="宋体"/>
          <w:color w:val="000000"/>
          <w:kern w:val="2"/>
          <w:sz w:val="24"/>
          <w:szCs w:val="24"/>
          <w:u w:val="single"/>
          <w:lang w:val="en-US" w:eastAsia="zh-CN" w:bidi="ar-SA"/>
        </w:rPr>
        <w:t>金老师</w:t>
      </w:r>
      <w:r>
        <w:rPr>
          <w:rStyle w:val="62"/>
          <w:rFonts w:hint="eastAsia" w:ascii="宋体" w:hAnsi="宋体" w:eastAsia="宋体" w:cs="宋体"/>
          <w:color w:val="000000"/>
          <w:kern w:val="2"/>
          <w:sz w:val="24"/>
          <w:szCs w:val="24"/>
          <w:u w:val="single"/>
          <w:lang w:val="en-US" w:eastAsia="zh-CN" w:bidi="ar-SA"/>
        </w:rPr>
        <w:t xml:space="preserve"> 　        　　 </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联系方式：</w:t>
      </w:r>
      <w:r>
        <w:rPr>
          <w:rStyle w:val="62"/>
          <w:rFonts w:hint="eastAsia" w:ascii="宋体" w:hAnsi="宋体" w:eastAsia="宋体" w:cs="宋体"/>
          <w:color w:val="000000"/>
          <w:kern w:val="2"/>
          <w:sz w:val="24"/>
          <w:szCs w:val="24"/>
          <w:u w:val="single"/>
          <w:lang w:val="en-US" w:eastAsia="zh-CN" w:bidi="ar-SA"/>
        </w:rPr>
        <w:t>　　0562-</w:t>
      </w:r>
      <w:r>
        <w:rPr>
          <w:rStyle w:val="62"/>
          <w:rFonts w:hint="eastAsia" w:ascii="宋体" w:hAnsi="宋体" w:cs="宋体"/>
          <w:color w:val="000000"/>
          <w:kern w:val="2"/>
          <w:sz w:val="24"/>
          <w:szCs w:val="24"/>
          <w:u w:val="single"/>
          <w:lang w:val="en-US" w:eastAsia="zh-CN" w:bidi="ar-SA"/>
        </w:rPr>
        <w:t>5883010</w:t>
      </w:r>
      <w:r>
        <w:rPr>
          <w:rStyle w:val="62"/>
          <w:rFonts w:hint="eastAsia" w:ascii="宋体" w:hAnsi="宋体" w:eastAsia="宋体" w:cs="宋体"/>
          <w:color w:val="000000"/>
          <w:kern w:val="2"/>
          <w:sz w:val="24"/>
          <w:szCs w:val="24"/>
          <w:u w:val="single"/>
          <w:lang w:val="en-US" w:eastAsia="zh-CN" w:bidi="ar-SA"/>
        </w:rPr>
        <w:t xml:space="preserve">      　　</w:t>
      </w:r>
    </w:p>
    <w:p>
      <w:pPr>
        <w:widowControl/>
        <w:shd w:val="clear" w:color="auto" w:fill="FFFFFF"/>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p>
    <w:p>
      <w:pPr>
        <w:pStyle w:val="2"/>
        <w:rPr>
          <w:rFonts w:hint="eastAsia"/>
          <w:lang w:val="en-US" w:eastAsia="zh-CN"/>
        </w:rPr>
      </w:pPr>
    </w:p>
    <w:p>
      <w:pPr>
        <w:spacing w:line="360" w:lineRule="auto"/>
        <w:ind w:right="600"/>
        <w:jc w:val="right"/>
        <w:textAlignment w:val="baseline"/>
        <w:rPr>
          <w:rStyle w:val="62"/>
          <w:rFonts w:hint="eastAsia" w:ascii="宋体" w:hAnsi="宋体" w:eastAsia="宋体" w:cs="宋体"/>
          <w:color w:val="000000"/>
          <w:kern w:val="2"/>
          <w:sz w:val="24"/>
          <w:szCs w:val="24"/>
          <w:lang w:val="en-US" w:eastAsia="zh-CN" w:bidi="ar-SA"/>
        </w:rPr>
      </w:pPr>
    </w:p>
    <w:p>
      <w:pPr>
        <w:spacing w:line="360" w:lineRule="auto"/>
        <w:ind w:right="600"/>
        <w:jc w:val="right"/>
        <w:textAlignment w:val="baseline"/>
        <w:rPr>
          <w:rStyle w:val="62"/>
          <w:rFonts w:hint="eastAsia" w:ascii="宋体" w:hAnsi="宋体" w:eastAsia="宋体" w:cs="宋体"/>
          <w:color w:val="000000"/>
          <w:kern w:val="2"/>
          <w:sz w:val="24"/>
          <w:szCs w:val="24"/>
          <w:lang w:val="en-US" w:eastAsia="zh-CN" w:bidi="ar-SA"/>
        </w:rPr>
      </w:pPr>
    </w:p>
    <w:p>
      <w:pPr>
        <w:pStyle w:val="2"/>
        <w:rPr>
          <w:rStyle w:val="62"/>
          <w:rFonts w:hint="eastAsia" w:ascii="宋体" w:hAnsi="宋体" w:eastAsia="宋体" w:cs="宋体"/>
          <w:color w:val="000000"/>
          <w:kern w:val="2"/>
          <w:sz w:val="24"/>
          <w:szCs w:val="24"/>
          <w:lang w:val="en-US" w:eastAsia="zh-CN" w:bidi="ar-SA"/>
        </w:rPr>
      </w:pPr>
    </w:p>
    <w:p>
      <w:pPr>
        <w:rPr>
          <w:rStyle w:val="62"/>
          <w:rFonts w:hint="eastAsia" w:ascii="宋体" w:hAnsi="宋体" w:eastAsia="宋体" w:cs="宋体"/>
          <w:color w:val="000000"/>
          <w:kern w:val="2"/>
          <w:sz w:val="24"/>
          <w:szCs w:val="24"/>
          <w:lang w:val="en-US" w:eastAsia="zh-CN" w:bidi="ar-SA"/>
        </w:rPr>
      </w:pPr>
    </w:p>
    <w:p>
      <w:pPr>
        <w:pStyle w:val="2"/>
        <w:rPr>
          <w:rFonts w:hint="eastAsia"/>
          <w:lang w:val="en-US" w:eastAsia="zh-CN"/>
        </w:rPr>
      </w:pPr>
    </w:p>
    <w:p>
      <w:pPr>
        <w:spacing w:line="360" w:lineRule="auto"/>
        <w:ind w:right="600"/>
        <w:jc w:val="right"/>
        <w:textAlignment w:val="baseline"/>
        <w:rPr>
          <w:rStyle w:val="62"/>
          <w:rFonts w:hint="eastAsia" w:ascii="宋体" w:hAnsi="宋体" w:eastAsia="宋体" w:cs="宋体"/>
          <w:color w:val="000000"/>
          <w:kern w:val="2"/>
          <w:sz w:val="24"/>
          <w:szCs w:val="24"/>
          <w:lang w:val="en-US" w:eastAsia="zh-CN" w:bidi="ar-SA"/>
        </w:rPr>
      </w:pPr>
    </w:p>
    <w:p>
      <w:pPr>
        <w:spacing w:line="360" w:lineRule="auto"/>
        <w:ind w:right="600"/>
        <w:jc w:val="right"/>
        <w:textAlignment w:val="baseline"/>
        <w:rPr>
          <w:rStyle w:val="62"/>
          <w:rFonts w:hint="eastAsia" w:ascii="宋体" w:hAnsi="宋体" w:eastAsia="宋体" w:cs="宋体"/>
          <w:color w:val="000000"/>
          <w:kern w:val="2"/>
          <w:sz w:val="24"/>
          <w:szCs w:val="24"/>
          <w:lang w:val="en-US" w:eastAsia="zh-CN" w:bidi="ar-SA"/>
        </w:rPr>
      </w:pPr>
    </w:p>
    <w:p>
      <w:pPr>
        <w:spacing w:line="360" w:lineRule="auto"/>
        <w:ind w:right="42" w:rightChars="20"/>
        <w:jc w:val="center"/>
        <w:textAlignment w:val="baseline"/>
        <w:rPr>
          <w:rStyle w:val="62"/>
          <w:rFonts w:hint="eastAsia" w:ascii="宋体" w:hAnsi="宋体" w:eastAsia="宋体" w:cs="宋体"/>
          <w:b/>
          <w:color w:val="000000"/>
          <w:kern w:val="2"/>
          <w:sz w:val="28"/>
          <w:szCs w:val="28"/>
          <w:lang w:val="en-US" w:eastAsia="zh-CN" w:bidi="ar-SA"/>
        </w:rPr>
      </w:pPr>
      <w:r>
        <w:rPr>
          <w:rStyle w:val="62"/>
          <w:rFonts w:hint="eastAsia" w:ascii="宋体" w:hAnsi="宋体" w:eastAsia="宋体" w:cs="宋体"/>
          <w:b/>
          <w:bCs/>
          <w:color w:val="000000"/>
          <w:kern w:val="2"/>
          <w:sz w:val="28"/>
          <w:szCs w:val="28"/>
          <w:lang w:val="en-US" w:eastAsia="zh-CN" w:bidi="ar-SA"/>
        </w:rPr>
        <w:t>第二章 谈判响应供应商须知前附表</w:t>
      </w:r>
    </w:p>
    <w:tbl>
      <w:tblPr>
        <w:tblStyle w:val="12"/>
        <w:tblW w:w="895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727"/>
        <w:gridCol w:w="2354"/>
        <w:gridCol w:w="587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18" w:hRule="atLeast"/>
          <w:jc w:val="center"/>
        </w:trPr>
        <w:tc>
          <w:tcPr>
            <w:tcW w:w="727" w:type="dxa"/>
            <w:tcBorders>
              <w:top w:val="single" w:color="000000" w:sz="12" w:space="0"/>
              <w:left w:val="single" w:color="000000" w:sz="12"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序号</w:t>
            </w:r>
          </w:p>
        </w:tc>
        <w:tc>
          <w:tcPr>
            <w:tcW w:w="2354" w:type="dxa"/>
            <w:tcBorders>
              <w:top w:val="single" w:color="000000" w:sz="12" w:space="0"/>
              <w:left w:val="single" w:color="000000" w:sz="6" w:space="0"/>
              <w:bottom w:val="single" w:color="000000" w:sz="6" w:space="0"/>
              <w:right w:val="single" w:color="000000" w:sz="6" w:space="0"/>
            </w:tcBorders>
            <w:vAlign w:val="center"/>
          </w:tcPr>
          <w:p>
            <w:pPr>
              <w:pStyle w:val="47"/>
              <w:spacing w:line="360" w:lineRule="auto"/>
              <w:ind w:left="38"/>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条款名称</w:t>
            </w:r>
          </w:p>
        </w:tc>
        <w:tc>
          <w:tcPr>
            <w:tcW w:w="5877" w:type="dxa"/>
            <w:tcBorders>
              <w:top w:val="single" w:color="000000" w:sz="12" w:space="0"/>
              <w:left w:val="single" w:color="000000" w:sz="6" w:space="0"/>
              <w:bottom w:val="single" w:color="000000" w:sz="6" w:space="0"/>
              <w:right w:val="single" w:color="000000" w:sz="12" w:space="0"/>
            </w:tcBorders>
            <w:vAlign w:val="center"/>
          </w:tcPr>
          <w:p>
            <w:pPr>
              <w:pStyle w:val="47"/>
              <w:spacing w:line="360" w:lineRule="auto"/>
              <w:jc w:val="center"/>
              <w:textAlignment w:val="baseline"/>
              <w:rPr>
                <w:rStyle w:val="62"/>
                <w:rFonts w:hint="eastAsia" w:ascii="宋体" w:hAnsi="宋体" w:eastAsia="宋体" w:cs="宋体"/>
                <w:b/>
                <w:color w:val="000000"/>
                <w:sz w:val="24"/>
                <w:szCs w:val="24"/>
                <w:lang w:val="zh-CN" w:eastAsia="zh-CN" w:bidi="ar-SA"/>
              </w:rPr>
            </w:pPr>
            <w:r>
              <w:rPr>
                <w:rStyle w:val="62"/>
                <w:rFonts w:hint="eastAsia" w:ascii="宋体" w:hAnsi="宋体" w:eastAsia="宋体" w:cs="宋体"/>
                <w:bCs/>
                <w:color w:val="000000"/>
                <w:sz w:val="24"/>
                <w:szCs w:val="24"/>
                <w:lang w:val="zh-CN" w:eastAsia="zh-CN" w:bidi="ar-SA"/>
              </w:rPr>
              <w:t>说明和要求</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资格审查资料</w:t>
            </w:r>
          </w:p>
        </w:tc>
        <w:tc>
          <w:tcPr>
            <w:tcW w:w="5877" w:type="dxa"/>
            <w:tcBorders>
              <w:top w:val="single" w:color="000000" w:sz="6" w:space="0"/>
              <w:left w:val="single" w:color="000000" w:sz="6" w:space="0"/>
              <w:bottom w:val="single" w:color="000000" w:sz="6" w:space="0"/>
              <w:right w:val="single" w:color="000000" w:sz="12" w:space="0"/>
            </w:tcBorders>
            <w:vAlign w:val="center"/>
          </w:tcPr>
          <w:p>
            <w:pPr>
              <w:snapToGrid w:val="0"/>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见谈判公告</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资金来源</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default"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自筹资金</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left="38"/>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预算控制数</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4.2万</w:t>
            </w:r>
            <w:r>
              <w:rPr>
                <w:rStyle w:val="62"/>
                <w:rFonts w:hint="eastAsia" w:ascii="宋体" w:hAnsi="宋体" w:eastAsia="宋体" w:cs="宋体"/>
                <w:color w:val="000000"/>
                <w:sz w:val="24"/>
                <w:szCs w:val="24"/>
                <w:lang w:val="en-US" w:eastAsia="zh-CN" w:bidi="ar-SA"/>
              </w:rPr>
              <w:t>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left="38"/>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采购方式</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竞争性谈判</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是否接受联合体</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不接受</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是否接受分包履约</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不接受</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13"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left="52"/>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构成竞争性谈判文件的其他文件</w:t>
            </w:r>
          </w:p>
        </w:tc>
        <w:tc>
          <w:tcPr>
            <w:tcW w:w="5877" w:type="dxa"/>
            <w:tcBorders>
              <w:top w:val="single" w:color="000000" w:sz="6" w:space="0"/>
              <w:left w:val="single" w:color="000000" w:sz="6" w:space="0"/>
              <w:bottom w:val="single" w:color="000000" w:sz="6" w:space="0"/>
              <w:right w:val="single" w:color="000000" w:sz="12" w:space="0"/>
            </w:tcBorders>
            <w:vAlign w:val="center"/>
          </w:tcPr>
          <w:p>
            <w:pPr>
              <w:snapToGrid w:val="0"/>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竞争性谈判文件的澄清、修改书及有关补充通知为竞争性谈判文件的有效组成部分。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19"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left="52"/>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谈判投标截止时间</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kern w:val="2"/>
                <w:sz w:val="24"/>
                <w:szCs w:val="24"/>
                <w:lang w:val="zh-CN" w:eastAsia="zh-CN" w:bidi="ar-SA"/>
              </w:rPr>
            </w:pPr>
            <w:r>
              <w:rPr>
                <w:rStyle w:val="62"/>
                <w:rFonts w:hint="eastAsia" w:ascii="宋体" w:hAnsi="宋体" w:eastAsia="宋体" w:cs="宋体"/>
                <w:color w:val="000000"/>
                <w:kern w:val="2"/>
                <w:sz w:val="24"/>
                <w:szCs w:val="24"/>
                <w:lang w:val="zh-CN" w:eastAsia="zh-CN" w:bidi="ar-SA"/>
              </w:rPr>
              <w:t>见谈判公告，迟于投标截止时间递交的文件将不予接受。</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投标有效期</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开标后三个月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标段划分</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kern w:val="2"/>
                <w:sz w:val="24"/>
                <w:szCs w:val="24"/>
                <w:lang w:val="zh-CN" w:eastAsia="zh-CN" w:bidi="ar-SA"/>
              </w:rPr>
              <w:t>本项目分为</w:t>
            </w:r>
            <w:r>
              <w:rPr>
                <w:rStyle w:val="62"/>
                <w:rFonts w:hint="eastAsia" w:ascii="宋体" w:hAnsi="宋体" w:eastAsia="宋体" w:cs="宋体"/>
                <w:color w:val="000000"/>
                <w:kern w:val="2"/>
                <w:sz w:val="24"/>
                <w:szCs w:val="24"/>
                <w:lang w:val="en-US" w:eastAsia="zh-CN" w:bidi="ar-SA"/>
              </w:rPr>
              <w:t>一</w:t>
            </w:r>
            <w:r>
              <w:rPr>
                <w:rStyle w:val="62"/>
                <w:rFonts w:hint="eastAsia" w:ascii="宋体" w:hAnsi="宋体" w:eastAsia="宋体" w:cs="宋体"/>
                <w:color w:val="000000"/>
                <w:kern w:val="2"/>
                <w:sz w:val="24"/>
                <w:szCs w:val="24"/>
                <w:lang w:val="zh-CN" w:eastAsia="zh-CN" w:bidi="ar-SA"/>
              </w:rPr>
              <w:t>个标段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281"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kern w:val="2"/>
                <w:sz w:val="24"/>
                <w:szCs w:val="24"/>
                <w:lang w:val="zh-CN" w:eastAsia="zh-CN" w:bidi="ar-SA"/>
              </w:rPr>
            </w:pPr>
            <w:r>
              <w:rPr>
                <w:rStyle w:val="62"/>
                <w:rFonts w:hint="eastAsia" w:ascii="宋体" w:hAnsi="宋体" w:eastAsia="宋体" w:cs="宋体"/>
                <w:color w:val="000000"/>
                <w:kern w:val="2"/>
                <w:sz w:val="24"/>
                <w:szCs w:val="24"/>
                <w:lang w:val="zh-CN" w:eastAsia="zh-CN" w:bidi="ar-SA"/>
              </w:rPr>
              <w:t>递交谈判文件地点及开标地点</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见谈判公告，供应商应当仔细上网查看地点及时间相关发布或变更信息，递交至错误的投标地点将造成标书无法接</w:t>
            </w:r>
            <w:r>
              <w:rPr>
                <w:rStyle w:val="62"/>
                <w:rFonts w:hint="eastAsia" w:ascii="宋体" w:hAnsi="宋体" w:cs="宋体"/>
                <w:color w:val="000000"/>
                <w:kern w:val="2"/>
                <w:sz w:val="24"/>
                <w:szCs w:val="24"/>
                <w:lang w:val="en-US" w:eastAsia="zh-CN" w:bidi="ar-SA"/>
              </w:rPr>
              <w:t>收</w:t>
            </w:r>
            <w:r>
              <w:rPr>
                <w:rStyle w:val="62"/>
                <w:rFonts w:hint="eastAsia" w:ascii="宋体" w:hAnsi="宋体" w:eastAsia="宋体" w:cs="宋体"/>
                <w:color w:val="000000"/>
                <w:kern w:val="2"/>
                <w:sz w:val="24"/>
                <w:szCs w:val="24"/>
                <w:lang w:val="en-US" w:eastAsia="zh-CN" w:bidi="ar-SA"/>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029"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中标候选人推荐</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评标委员会依据谈判文件规定的评标标准和方法，对合格谈判响应文件分别进行评审和比较，</w:t>
            </w:r>
            <w:r>
              <w:rPr>
                <w:rStyle w:val="62"/>
                <w:rFonts w:hint="eastAsia" w:ascii="宋体" w:hAnsi="宋体" w:eastAsia="宋体" w:cs="宋体"/>
                <w:b/>
                <w:color w:val="000000"/>
                <w:sz w:val="24"/>
                <w:szCs w:val="24"/>
                <w:lang w:val="en-US" w:eastAsia="zh-CN" w:bidi="ar-SA"/>
              </w:rPr>
              <w:t>结合信用查询情况，按顺序推荐出有排序的</w:t>
            </w:r>
            <w:r>
              <w:rPr>
                <w:rStyle w:val="62"/>
                <w:rFonts w:hint="eastAsia" w:ascii="宋体" w:hAnsi="宋体" w:eastAsia="宋体" w:cs="宋体"/>
                <w:b/>
                <w:color w:val="000000"/>
                <w:sz w:val="24"/>
                <w:szCs w:val="24"/>
                <w:u w:val="single"/>
                <w:lang w:val="en-US" w:eastAsia="zh-CN" w:bidi="ar-SA"/>
              </w:rPr>
              <w:t>3</w:t>
            </w:r>
            <w:r>
              <w:rPr>
                <w:rStyle w:val="62"/>
                <w:rFonts w:hint="eastAsia" w:ascii="宋体" w:hAnsi="宋体" w:eastAsia="宋体" w:cs="宋体"/>
                <w:b/>
                <w:color w:val="000000"/>
                <w:sz w:val="24"/>
                <w:szCs w:val="24"/>
                <w:lang w:val="en-US" w:eastAsia="zh-CN" w:bidi="ar-SA"/>
              </w:rPr>
              <w:t>名成交候选人。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026"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zh-CN" w:eastAsia="zh-CN" w:bidi="ar-SA"/>
              </w:rPr>
            </w:pPr>
            <w:r>
              <w:rPr>
                <w:rStyle w:val="62"/>
                <w:rFonts w:hint="eastAsia" w:ascii="宋体" w:hAnsi="宋体" w:eastAsia="宋体" w:cs="宋体"/>
                <w:color w:val="000000"/>
                <w:kern w:val="2"/>
                <w:sz w:val="24"/>
                <w:szCs w:val="24"/>
                <w:lang w:val="en-US" w:eastAsia="zh-CN" w:bidi="ar-SA"/>
              </w:rPr>
              <w:t xml:space="preserve">   勘察现场的要求</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napToGrid w:val="0"/>
              <w:spacing w:line="36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供应商应自行对</w:t>
            </w:r>
            <w:r>
              <w:rPr>
                <w:rStyle w:val="62"/>
                <w:rFonts w:hint="eastAsia" w:cs="宋体"/>
                <w:color w:val="000000"/>
                <w:sz w:val="24"/>
                <w:szCs w:val="24"/>
                <w:lang w:val="en-US" w:eastAsia="zh-CN" w:bidi="ar-SA"/>
              </w:rPr>
              <w:t>项目</w:t>
            </w:r>
            <w:r>
              <w:rPr>
                <w:rStyle w:val="62"/>
                <w:rFonts w:hint="eastAsia" w:ascii="宋体" w:hAnsi="宋体" w:eastAsia="宋体" w:cs="宋体"/>
                <w:color w:val="000000"/>
                <w:sz w:val="24"/>
                <w:szCs w:val="24"/>
                <w:lang w:val="en-US" w:eastAsia="zh-CN" w:bidi="ar-SA"/>
              </w:rPr>
              <w:t>现场和周围环境进行勘察，以获取编制谈判文件和签署合同所需的资料。</w:t>
            </w:r>
          </w:p>
          <w:p>
            <w:pPr>
              <w:pStyle w:val="47"/>
              <w:snapToGrid w:val="0"/>
              <w:spacing w:line="36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勘察现场的地址为：详见公告</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联系人及联系方式：详见公告</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谈判响应文件份数</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一份正本两份副本</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left="33"/>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en-US" w:eastAsia="zh-CN" w:bidi="ar-SA"/>
              </w:rPr>
              <w:t>谈判响应</w:t>
            </w:r>
            <w:r>
              <w:rPr>
                <w:rStyle w:val="62"/>
                <w:rFonts w:hint="eastAsia" w:ascii="宋体" w:hAnsi="宋体" w:eastAsia="宋体" w:cs="宋体"/>
                <w:color w:val="000000"/>
                <w:sz w:val="24"/>
                <w:szCs w:val="24"/>
                <w:lang w:val="zh-CN" w:eastAsia="zh-CN" w:bidi="ar-SA"/>
              </w:rPr>
              <w:t>保证金</w:t>
            </w:r>
          </w:p>
        </w:tc>
        <w:tc>
          <w:tcPr>
            <w:tcW w:w="5877"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left"/>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详见招标公告</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pStyle w:val="47"/>
              <w:numPr>
                <w:ilvl w:val="0"/>
                <w:numId w:val="6"/>
              </w:numPr>
              <w:spacing w:line="360" w:lineRule="auto"/>
              <w:ind w:left="425" w:hanging="425"/>
              <w:jc w:val="center"/>
              <w:textAlignment w:val="baseline"/>
              <w:rPr>
                <w:rStyle w:val="62"/>
                <w:rFonts w:hint="eastAsia" w:ascii="宋体" w:hAnsi="宋体" w:eastAsia="宋体" w:cs="宋体"/>
                <w:color w:val="000000"/>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ind w:right="28"/>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备选方案和报价</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zh-CN" w:eastAsia="zh-CN" w:bidi="ar-SA"/>
              </w:rPr>
              <w:t>不接受备选响应方案和多个报价</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textAlignment w:val="baseline"/>
              <w:rPr>
                <w:rStyle w:val="62"/>
                <w:rFonts w:hint="eastAsia" w:ascii="宋体" w:hAnsi="宋体" w:eastAsia="宋体" w:cs="宋体"/>
                <w:color w:val="000000"/>
                <w:kern w:val="0"/>
                <w:sz w:val="24"/>
                <w:szCs w:val="24"/>
                <w:lang w:val="zh-CN" w:eastAsia="zh-CN" w:bidi="ar-SA"/>
              </w:rPr>
            </w:pPr>
            <w:r>
              <w:rPr>
                <w:rStyle w:val="62"/>
                <w:rFonts w:hint="eastAsia" w:ascii="宋体" w:hAnsi="宋体" w:cs="宋体"/>
                <w:color w:val="000000"/>
                <w:kern w:val="0"/>
                <w:sz w:val="24"/>
                <w:szCs w:val="24"/>
                <w:lang w:val="en-US" w:eastAsia="zh-CN" w:bidi="ar-SA"/>
              </w:rPr>
              <w:t>服务</w:t>
            </w:r>
            <w:r>
              <w:rPr>
                <w:rStyle w:val="62"/>
                <w:rFonts w:hint="eastAsia" w:ascii="宋体" w:hAnsi="宋体" w:eastAsia="宋体" w:cs="宋体"/>
                <w:color w:val="000000"/>
                <w:kern w:val="0"/>
                <w:sz w:val="24"/>
                <w:szCs w:val="24"/>
                <w:lang w:val="en-US" w:eastAsia="zh-CN" w:bidi="ar-SA"/>
              </w:rPr>
              <w:t>期</w:t>
            </w:r>
          </w:p>
        </w:tc>
        <w:tc>
          <w:tcPr>
            <w:tcW w:w="5877" w:type="dxa"/>
            <w:tcBorders>
              <w:top w:val="single" w:color="000000" w:sz="6" w:space="0"/>
              <w:left w:val="single" w:color="000000" w:sz="6" w:space="0"/>
              <w:bottom w:val="single" w:color="000000" w:sz="6" w:space="0"/>
              <w:right w:val="single" w:color="000000" w:sz="12" w:space="0"/>
            </w:tcBorders>
            <w:vAlign w:val="center"/>
          </w:tcPr>
          <w:p>
            <w:pPr>
              <w:snapToGrid w:val="0"/>
              <w:spacing w:line="360" w:lineRule="auto"/>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一年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textAlignment w:val="baseline"/>
              <w:rPr>
                <w:rStyle w:val="62"/>
                <w:rFonts w:hint="eastAsia" w:ascii="宋体" w:hAnsi="宋体" w:eastAsia="宋体" w:cs="宋体"/>
                <w:color w:val="000000"/>
                <w:kern w:val="0"/>
                <w:sz w:val="24"/>
                <w:szCs w:val="24"/>
                <w:lang w:val="zh-CN" w:eastAsia="zh-CN" w:bidi="ar-SA"/>
              </w:rPr>
            </w:pPr>
            <w:r>
              <w:rPr>
                <w:rStyle w:val="62"/>
                <w:rFonts w:hint="eastAsia" w:ascii="宋体" w:hAnsi="宋体" w:eastAsia="宋体" w:cs="宋体"/>
                <w:color w:val="000000"/>
                <w:kern w:val="0"/>
                <w:sz w:val="24"/>
                <w:szCs w:val="24"/>
                <w:lang w:val="zh-CN" w:eastAsia="zh-CN" w:bidi="ar-SA"/>
              </w:rPr>
              <w:t>付款方式</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textAlignment w:val="baseline"/>
              <w:rPr>
                <w:rStyle w:val="62"/>
                <w:rFonts w:hint="default" w:ascii="宋体" w:hAnsi="宋体" w:eastAsia="宋体" w:cs="宋体"/>
                <w:color w:val="000000"/>
                <w:kern w:val="0"/>
                <w:sz w:val="24"/>
                <w:szCs w:val="24"/>
                <w:lang w:val="en-US" w:eastAsia="zh-CN" w:bidi="ar-SA"/>
              </w:rPr>
            </w:pPr>
            <w:r>
              <w:rPr>
                <w:rFonts w:hint="eastAsia" w:ascii="宋体" w:hAnsi="宋体" w:eastAsia="宋体" w:cs="宋体"/>
                <w:sz w:val="24"/>
              </w:rPr>
              <w:t>合同期满经验收考核合格后一次付100%年度维修保养费用。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en-US"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textAlignment w:val="baseline"/>
              <w:rPr>
                <w:rStyle w:val="62"/>
                <w:rFonts w:hint="eastAsia" w:ascii="宋体" w:hAnsi="宋体" w:eastAsia="宋体" w:cs="宋体"/>
                <w:color w:val="000000"/>
                <w:kern w:val="0"/>
                <w:sz w:val="24"/>
                <w:szCs w:val="24"/>
                <w:lang w:val="zh-CN" w:eastAsia="zh-CN" w:bidi="ar-SA"/>
              </w:rPr>
            </w:pPr>
            <w:r>
              <w:rPr>
                <w:rStyle w:val="62"/>
                <w:rFonts w:hint="eastAsia" w:ascii="宋体" w:hAnsi="宋体" w:eastAsia="宋体" w:cs="宋体"/>
                <w:color w:val="000000"/>
                <w:kern w:val="0"/>
                <w:sz w:val="24"/>
                <w:szCs w:val="24"/>
                <w:lang w:val="zh-CN" w:eastAsia="zh-CN" w:bidi="ar-SA"/>
              </w:rPr>
              <w:t>履约保证金</w:t>
            </w:r>
          </w:p>
        </w:tc>
        <w:tc>
          <w:tcPr>
            <w:tcW w:w="5877" w:type="dxa"/>
            <w:tcBorders>
              <w:top w:val="single" w:color="000000" w:sz="6" w:space="0"/>
              <w:left w:val="single" w:color="000000" w:sz="6" w:space="0"/>
              <w:bottom w:val="single" w:color="000000" w:sz="6" w:space="0"/>
              <w:right w:val="single" w:color="000000" w:sz="12" w:space="0"/>
            </w:tcBorders>
            <w:vAlign w:val="center"/>
          </w:tcPr>
          <w:p>
            <w:pPr>
              <w:widowControl/>
              <w:spacing w:line="360" w:lineRule="auto"/>
              <w:jc w:val="left"/>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cs="宋体"/>
                <w:color w:val="000000"/>
                <w:kern w:val="0"/>
                <w:sz w:val="24"/>
                <w:szCs w:val="24"/>
                <w:lang w:val="en-US" w:eastAsia="zh-CN" w:bidi="ar-SA"/>
              </w:rPr>
              <w:t>无</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en-US" w:eastAsia="zh-CN" w:bidi="ar-SA"/>
              </w:rPr>
              <w:t>费用承担</w:t>
            </w:r>
          </w:p>
        </w:tc>
        <w:tc>
          <w:tcPr>
            <w:tcW w:w="5877" w:type="dxa"/>
            <w:tcBorders>
              <w:top w:val="single" w:color="000000" w:sz="6" w:space="0"/>
              <w:left w:val="single" w:color="000000" w:sz="6" w:space="0"/>
              <w:bottom w:val="single" w:color="000000" w:sz="6" w:space="0"/>
              <w:right w:val="single" w:color="000000" w:sz="12" w:space="0"/>
            </w:tcBorders>
            <w:vAlign w:val="center"/>
          </w:tcPr>
          <w:p>
            <w:pPr>
              <w:pStyle w:val="47"/>
              <w:spacing w:line="360" w:lineRule="auto"/>
              <w:ind w:right="105" w:rightChars="50"/>
              <w:textAlignment w:val="baseline"/>
              <w:rPr>
                <w:rStyle w:val="62"/>
                <w:rFonts w:hint="eastAsia" w:ascii="宋体" w:hAnsi="宋体" w:eastAsia="宋体" w:cs="宋体"/>
                <w:color w:val="000000"/>
                <w:sz w:val="24"/>
                <w:szCs w:val="24"/>
                <w:u w:val="single"/>
                <w:lang w:val="zh-CN" w:eastAsia="zh-CN" w:bidi="ar-SA"/>
              </w:rPr>
            </w:pPr>
            <w:r>
              <w:rPr>
                <w:rStyle w:val="62"/>
                <w:rFonts w:hint="eastAsia" w:ascii="宋体" w:hAnsi="宋体" w:eastAsia="宋体" w:cs="宋体"/>
                <w:color w:val="000000"/>
                <w:sz w:val="24"/>
                <w:szCs w:val="24"/>
                <w:lang w:val="en-US" w:eastAsia="zh-CN" w:bidi="ar-SA"/>
              </w:rPr>
              <w:t>供应商参加谈判活动发生的一切费用均自理。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026" w:hRule="atLeast"/>
          <w:jc w:val="center"/>
        </w:trPr>
        <w:tc>
          <w:tcPr>
            <w:tcW w:w="727" w:type="dxa"/>
            <w:tcBorders>
              <w:top w:val="single" w:color="000000" w:sz="6" w:space="0"/>
              <w:left w:val="single" w:color="000000" w:sz="12" w:space="0"/>
              <w:bottom w:val="single" w:color="000000" w:sz="6"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zh-CN" w:eastAsia="zh-CN" w:bidi="ar-SA"/>
              </w:rPr>
            </w:pPr>
          </w:p>
        </w:tc>
        <w:tc>
          <w:tcPr>
            <w:tcW w:w="2354" w:type="dxa"/>
            <w:tcBorders>
              <w:top w:val="single" w:color="000000" w:sz="6" w:space="0"/>
              <w:left w:val="single" w:color="000000" w:sz="6" w:space="0"/>
              <w:bottom w:val="single" w:color="000000" w:sz="6"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zh-CN" w:eastAsia="zh-CN" w:bidi="ar-SA"/>
              </w:rPr>
            </w:pPr>
            <w:r>
              <w:rPr>
                <w:rStyle w:val="62"/>
                <w:rFonts w:hint="eastAsia" w:ascii="宋体" w:hAnsi="宋体" w:eastAsia="宋体" w:cs="宋体"/>
                <w:color w:val="000000"/>
                <w:sz w:val="24"/>
                <w:szCs w:val="24"/>
                <w:lang w:val="en-US" w:eastAsia="zh-CN" w:bidi="ar-SA"/>
              </w:rPr>
              <w:t>合同签订时间</w:t>
            </w:r>
          </w:p>
        </w:tc>
        <w:tc>
          <w:tcPr>
            <w:tcW w:w="5877" w:type="dxa"/>
            <w:tcBorders>
              <w:top w:val="single" w:color="000000" w:sz="6" w:space="0"/>
              <w:left w:val="single" w:color="000000" w:sz="6" w:space="0"/>
              <w:bottom w:val="single" w:color="000000" w:sz="6" w:space="0"/>
              <w:right w:val="single" w:color="000000" w:sz="12" w:space="0"/>
            </w:tcBorders>
            <w:vAlign w:val="center"/>
          </w:tcPr>
          <w:p>
            <w:pPr>
              <w:snapToGrid w:val="0"/>
              <w:spacing w:line="360" w:lineRule="auto"/>
              <w:jc w:val="left"/>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采购人通知领取中标通知书后，中标人应在3日内领取</w:t>
            </w:r>
            <w:r>
              <w:rPr>
                <w:rStyle w:val="62"/>
                <w:rFonts w:hint="eastAsia" w:ascii="宋体" w:hAnsi="宋体" w:cs="宋体"/>
                <w:color w:val="000000"/>
                <w:kern w:val="0"/>
                <w:sz w:val="24"/>
                <w:szCs w:val="24"/>
                <w:lang w:val="en-US" w:eastAsia="zh-CN" w:bidi="ar-SA"/>
              </w:rPr>
              <w:t>成交</w:t>
            </w:r>
            <w:r>
              <w:rPr>
                <w:rStyle w:val="62"/>
                <w:rFonts w:hint="eastAsia" w:ascii="宋体" w:hAnsi="宋体" w:eastAsia="宋体" w:cs="宋体"/>
                <w:color w:val="000000"/>
                <w:kern w:val="0"/>
                <w:sz w:val="24"/>
                <w:szCs w:val="24"/>
                <w:lang w:val="en-US" w:eastAsia="zh-CN" w:bidi="ar-SA"/>
              </w:rPr>
              <w:t>通知书，领取后30天内与采购人签订合同，逾期不领取</w:t>
            </w:r>
            <w:r>
              <w:rPr>
                <w:rStyle w:val="62"/>
                <w:rFonts w:hint="eastAsia" w:ascii="宋体" w:hAnsi="宋体" w:cs="宋体"/>
                <w:color w:val="000000"/>
                <w:kern w:val="0"/>
                <w:sz w:val="24"/>
                <w:szCs w:val="24"/>
                <w:lang w:val="en-US" w:eastAsia="zh-CN" w:bidi="ar-SA"/>
              </w:rPr>
              <w:t>成交</w:t>
            </w:r>
            <w:r>
              <w:rPr>
                <w:rStyle w:val="62"/>
                <w:rFonts w:hint="eastAsia" w:ascii="宋体" w:hAnsi="宋体" w:eastAsia="宋体" w:cs="宋体"/>
                <w:color w:val="000000"/>
                <w:kern w:val="0"/>
                <w:sz w:val="24"/>
                <w:szCs w:val="24"/>
                <w:lang w:val="en-US" w:eastAsia="zh-CN" w:bidi="ar-SA"/>
              </w:rPr>
              <w:t>通知书或不签订合同的，顺延至第二中标人或重新采购。</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7" w:hRule="atLeast"/>
          <w:jc w:val="center"/>
        </w:trPr>
        <w:tc>
          <w:tcPr>
            <w:tcW w:w="727" w:type="dxa"/>
            <w:tcBorders>
              <w:top w:val="single" w:color="000000" w:sz="6" w:space="0"/>
              <w:left w:val="single" w:color="000000" w:sz="12" w:space="0"/>
              <w:bottom w:val="single" w:color="000000" w:sz="12" w:space="0"/>
              <w:right w:val="single" w:color="000000" w:sz="6" w:space="0"/>
            </w:tcBorders>
            <w:vAlign w:val="center"/>
          </w:tcPr>
          <w:p>
            <w:pPr>
              <w:numPr>
                <w:ilvl w:val="0"/>
                <w:numId w:val="6"/>
              </w:numPr>
              <w:spacing w:line="360" w:lineRule="auto"/>
              <w:ind w:left="425" w:hanging="425"/>
              <w:jc w:val="center"/>
              <w:textAlignment w:val="baseline"/>
              <w:rPr>
                <w:rStyle w:val="62"/>
                <w:rFonts w:hint="eastAsia" w:ascii="宋体" w:hAnsi="宋体" w:eastAsia="宋体" w:cs="宋体"/>
                <w:color w:val="000000"/>
                <w:kern w:val="2"/>
                <w:sz w:val="24"/>
                <w:szCs w:val="24"/>
                <w:lang w:val="en-US" w:eastAsia="zh-CN" w:bidi="ar-SA"/>
              </w:rPr>
            </w:pPr>
          </w:p>
        </w:tc>
        <w:tc>
          <w:tcPr>
            <w:tcW w:w="2354" w:type="dxa"/>
            <w:tcBorders>
              <w:top w:val="single" w:color="000000" w:sz="6" w:space="0"/>
              <w:left w:val="single" w:color="000000" w:sz="6" w:space="0"/>
              <w:bottom w:val="single" w:color="000000" w:sz="12" w:space="0"/>
              <w:right w:val="single" w:color="000000" w:sz="6"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信用查询</w:t>
            </w:r>
          </w:p>
        </w:tc>
        <w:tc>
          <w:tcPr>
            <w:tcW w:w="5877" w:type="dxa"/>
            <w:tcBorders>
              <w:top w:val="single" w:color="000000" w:sz="6" w:space="0"/>
              <w:left w:val="single" w:color="000000" w:sz="6" w:space="0"/>
              <w:bottom w:val="single" w:color="000000" w:sz="12" w:space="0"/>
              <w:right w:val="single" w:color="000000" w:sz="12" w:space="0"/>
            </w:tcBorders>
            <w:vAlign w:val="center"/>
          </w:tcPr>
          <w:p>
            <w:pPr>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详见评标办法</w:t>
            </w:r>
          </w:p>
        </w:tc>
      </w:tr>
    </w:tbl>
    <w:p>
      <w:pPr>
        <w:pStyle w:val="25"/>
        <w:widowControl/>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 xml:space="preserve">第三章 </w:t>
      </w:r>
      <w:r>
        <w:rPr>
          <w:rStyle w:val="62"/>
          <w:rFonts w:hint="eastAsia" w:ascii="宋体" w:hAnsi="宋体" w:eastAsia="宋体" w:cs="宋体"/>
          <w:b/>
          <w:color w:val="000000"/>
          <w:kern w:val="2"/>
          <w:sz w:val="24"/>
          <w:szCs w:val="24"/>
          <w:lang w:val="en-US" w:eastAsia="zh-CN" w:bidi="ar-SA"/>
        </w:rPr>
        <w:t>谈判响应供应商须知</w:t>
      </w: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（一）总则</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1、本谈判文件仅适用于本次竞争性谈判的货物项目。铜陵华诚工程咨询有限公司接受采购人委托，根据采购人提交的技术服务要求，对此项目进行采购代理，编制竞争性谈判文件，组织开评标活动。</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本次招标的货物是指各种形态和种类的物品，包括原材料、燃料、设备、产品等，包括与之相关的备品备件、工具、手册及安装、调试、技术协助、校准、培训、售后服务等。谈判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谈判文件规定的规格、参数、质量、价格、有效期、售后服务等要求。本谈判文件所采购的货物、产品、配件等全部标的，均应是全新、未使用过的，是完全符合相应质量标准的原装正品。无论谈判文件是否列明，供应商所提供的货物、产品、配件均须符合国家产品质量、安全、卫生、环保、检疫检验、生产经营许可等现行法律法规的规定，否则投标无效。 本谈判文件所要求的证书、认证、资质，均应当是由权威机构颁发，且在有效期内的。</w:t>
      </w:r>
    </w:p>
    <w:p>
      <w:pPr>
        <w:pStyle w:val="47"/>
        <w:snapToGrid w:val="0"/>
        <w:spacing w:line="360" w:lineRule="auto"/>
        <w:ind w:firstLine="480" w:firstLineChars="200"/>
        <w:textAlignment w:val="baseline"/>
        <w:rPr>
          <w:rStyle w:val="62"/>
          <w:rFonts w:hint="eastAsia" w:ascii="宋体" w:hAnsi="宋体" w:eastAsia="宋体" w:cs="宋体"/>
          <w:color w:val="000000"/>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（二）竞争性谈判文件</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供应商应当按照竞争性谈判文件的要求编制谈判响应文件。谈判响应文件应对竞争性谈判文件提出的要求和条件作出实质性响应。供应商应认真阅读和充分理解竞争性谈判文件中所有的内容。如果供应商没有满足竞争性谈判文件的有关要求，其风险由供应商自行承担。</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4、供应商获取竞争性谈判文件后，应仔细检查竞争性谈判文件的所有内容，如有残缺、疑问等问题应在谈判文件规定的时间内向采购代理机构提出，否则，由此引起的损失由供应商自行承担。</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5、竞争性谈判文件的澄清</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5.1供应商可以要求采购单位对竞争性谈判文件中的有关问题进行答疑、澄清。</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5.2供应商对竞争性谈判文件如有疑问，须在法律规定的时间前按谈判公告中的联系方式，以书面形式（如传真、信件等）通知采购人和采购代理机构。未在规定时间提出疑问的，将不予答复。在此规定时间以前收到的、且需要做出澄清的问题，将在投标截止前以公告的形式刊登在“铜陵学院网”、“中国政府采购网”及“铜陵华诚工程咨询有限公司”，告知所有供应商，但不说明问题的来源。因此，供应商无论是否提出过澄清的要求，均应上网查看是否有关本项目的澄清说明。</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6、竞争性谈判文件的修改</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6.1</w:t>
      </w:r>
      <w:r>
        <w:rPr>
          <w:rStyle w:val="62"/>
          <w:rFonts w:hint="eastAsia" w:ascii="宋体" w:hAnsi="宋体" w:eastAsia="宋体" w:cs="宋体"/>
          <w:color w:val="000000"/>
          <w:kern w:val="2"/>
          <w:sz w:val="24"/>
          <w:szCs w:val="24"/>
          <w:lang w:val="en-US" w:eastAsia="zh-CN" w:bidi="ar-SA"/>
        </w:rPr>
        <w:t>在某些情况下，采购人可能对竞争性谈判文件进行修改。</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6.2</w:t>
      </w:r>
      <w:r>
        <w:rPr>
          <w:rStyle w:val="62"/>
          <w:rFonts w:hint="eastAsia" w:ascii="宋体" w:hAnsi="宋体" w:eastAsia="宋体" w:cs="宋体"/>
          <w:color w:val="000000"/>
          <w:kern w:val="2"/>
          <w:sz w:val="24"/>
          <w:szCs w:val="24"/>
          <w:lang w:val="en-US" w:eastAsia="zh-CN" w:bidi="ar-SA"/>
        </w:rPr>
        <w:t xml:space="preserve">采购人对竞争性谈判文件的修改，将以书面形式通知所有供应商，并对这些供应商具有约束力。  </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6.3</w:t>
      </w:r>
      <w:r>
        <w:rPr>
          <w:rStyle w:val="62"/>
          <w:rFonts w:hint="eastAsia" w:ascii="宋体" w:hAnsi="宋体" w:eastAsia="宋体" w:cs="宋体"/>
          <w:color w:val="000000"/>
          <w:kern w:val="2"/>
          <w:sz w:val="24"/>
          <w:szCs w:val="24"/>
          <w:lang w:val="en-US" w:eastAsia="zh-CN" w:bidi="ar-SA"/>
        </w:rPr>
        <w:t xml:space="preserve"> 为使供应商有充分时间对竞争性谈判文件的修改部分进行研究或由于其他原因，采购人可以决定延长谈判响应截止日期，并以前款方式将变更时间通知所有供应商。</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7、提交保证金</w:t>
      </w:r>
    </w:p>
    <w:p>
      <w:pPr>
        <w:pStyle w:val="22"/>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7.1投标保证金从单位基本账户转账、汇款或者以金融机构、担保机构出具的保函形式提交，不接受现金形式，保证金到账、保函递交截止时间为招标公告规定的时间。</w:t>
      </w:r>
    </w:p>
    <w:p>
      <w:pPr>
        <w:pStyle w:val="22"/>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7.2投标保证金以金融机构、担保机构出具的保函形式提交的，保函复印件或扫描件装入投标文件。</w:t>
      </w:r>
    </w:p>
    <w:p>
      <w:pPr>
        <w:pStyle w:val="22"/>
        <w:widowControl/>
        <w:spacing w:line="360" w:lineRule="auto"/>
        <w:textAlignment w:val="baseline"/>
        <w:rPr>
          <w:rStyle w:val="62"/>
          <w:rFonts w:hint="eastAsia" w:ascii="宋体" w:hAnsi="宋体" w:eastAsia="宋体" w:cs="宋体"/>
          <w:color w:val="000000"/>
          <w:kern w:val="2"/>
          <w:sz w:val="24"/>
          <w:szCs w:val="24"/>
          <w:lang w:val="en-US" w:eastAsia="zh-CN" w:bidi="ar-SA"/>
        </w:rPr>
      </w:pPr>
    </w:p>
    <w:p>
      <w:pPr>
        <w:spacing w:line="360" w:lineRule="auto"/>
        <w:ind w:firstLine="549"/>
        <w:jc w:val="center"/>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（三）供应商</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8、投标费用</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供应商必须自行承担所有与参加投标有关的一切费用。不论投标的结果如何，采购人和采购机构在任何情况下均无义务和责任承担这些费用。</w:t>
      </w:r>
    </w:p>
    <w:p>
      <w:pPr>
        <w:spacing w:line="360" w:lineRule="auto"/>
        <w:ind w:firstLine="549"/>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9、合格的供应商</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9.1合格的供应商应当满足本项目谈判文件所载明须满足的最低条件。</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9.2供应商之间如果存在下列情形之一的，且参加同一标段（包别）或者不分标段（包别）的同一项目投标，相关供应商均按无效标进行处理：</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9.2.1法定代表人为同一个人的两个及两个以上法人；</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9.2.2母公司、全资子公司及其控股公司；</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9.2.3参加投标的其他组织之间存在特殊的利害关系的；</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9.2.4法律和行政法规规定的其他情形。</w:t>
      </w:r>
    </w:p>
    <w:p>
      <w:pPr>
        <w:spacing w:line="360" w:lineRule="auto"/>
        <w:ind w:firstLine="549"/>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10、勘察现场</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10.1供应商应自行对供货现场和周围环境进行勘察，以获取编制谈判响应文件和签署合同所需的资料。勘察现场的方式、地址及联系方式见供应商须知前附表。</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10.3除非有特殊要求，谈判文件不单独提供供货使用地的自然环境、气候条件、公用设施等情况，供应商被视为熟悉上述与履行合同有关的一切情况。</w:t>
      </w:r>
    </w:p>
    <w:p>
      <w:pPr>
        <w:spacing w:line="360" w:lineRule="auto"/>
        <w:ind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11、知识产权</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11.1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11.2供应商如欲在项目实施过程中采用自有知识成果，须在谈判响应文件中声明，并提供相关知识产权证明文件。使用该知识成果后，供应商须提供开发接口和开发手册等技术文档。</w:t>
      </w:r>
    </w:p>
    <w:p>
      <w:pPr>
        <w:spacing w:line="360" w:lineRule="auto"/>
        <w:ind w:firstLine="549"/>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12、纪律与保密</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12.1供应商的投标行为应遵守中国的有关法律、法规和规章。</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12.2供应商不得相互串通投标报价，不得妨碍其他供应商的公平竞争，不得损害采购人或其他供应商的合法权益，供应商不得以向采购人、评委会成员行贿或者采取其他不正当手段谋取中标。</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12.2.1有下列情形之一的，属于供应商相互串通投标：</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12.2.1.1供应商之间协商投标报价等谈判响应文件的实质性内容；</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12.2.1.2供应商之间约定中标人；</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12.2.1.3供应商之间约定部分供应商放弃投标或者中标；</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12.2.1.4属于同一集团、协会、商会等组织成员的供应商按照该组织要求协同投标；</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12.2.1.5供应商之间为谋取中标或者排斥特定供应商而采取的其他联合行动。</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12.2.1.6法律法规规定的其它情形。</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 有下列情形之一的，视为供应商相互串通投标：</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12.2.2.1不同供应商的谈判响应文件由同一单位或者个人编制；</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12.2.2.2不同供应商委托同一单位或者个人办理投标事宜；</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12.2.2.3不同供应商的谈判响应文件载明的项目负责人（或技术负责人）为同一人；</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12.2.2.4不同供应商的谈判响应文件相互混装；</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12.2.2.5不同供应商的谈判响应文件异常一致或者最终投标报价是呈规律性差异；</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12.2.2.6不同供应商的谈判响应保证金从同一单位（或者同一个人）的账户转出；</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12.2.2.7 法律法规规定的其它情形。</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12.3在确定中标人之前，供应商试图在谈判响应文件审查、澄清、比较和评价时对评委会和采购人施加任何影响都可能导致其投标无效。</w:t>
      </w:r>
    </w:p>
    <w:p>
      <w:pPr>
        <w:spacing w:line="360" w:lineRule="auto"/>
        <w:ind w:firstLine="549"/>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13、联合体投标</w:t>
      </w:r>
    </w:p>
    <w:p>
      <w:pPr>
        <w:spacing w:line="360" w:lineRule="auto"/>
        <w:ind w:firstLine="55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13.1非本项目明确要求不接受联合体形式投标外，两个或两个以上</w:t>
      </w:r>
      <w:r>
        <w:rPr>
          <w:rStyle w:val="62"/>
          <w:rFonts w:hint="eastAsia" w:ascii="宋体" w:hAnsi="宋体" w:cs="宋体"/>
          <w:color w:val="000000"/>
          <w:kern w:val="2"/>
          <w:sz w:val="24"/>
          <w:szCs w:val="24"/>
          <w:lang w:val="en-US" w:eastAsia="zh-CN" w:bidi="ar-SA"/>
        </w:rPr>
        <w:t>投标供应商</w:t>
      </w:r>
      <w:r>
        <w:rPr>
          <w:rStyle w:val="62"/>
          <w:rFonts w:hint="eastAsia" w:ascii="宋体" w:hAnsi="宋体" w:eastAsia="宋体" w:cs="宋体"/>
          <w:color w:val="000000"/>
          <w:kern w:val="2"/>
          <w:sz w:val="24"/>
          <w:szCs w:val="24"/>
          <w:lang w:val="en-US" w:eastAsia="zh-CN" w:bidi="ar-SA"/>
        </w:rPr>
        <w:t>可以组成一个联合体投标，以一个</w:t>
      </w:r>
      <w:r>
        <w:rPr>
          <w:rStyle w:val="62"/>
          <w:rFonts w:hint="eastAsia" w:ascii="宋体" w:hAnsi="宋体" w:cs="宋体"/>
          <w:color w:val="000000"/>
          <w:kern w:val="2"/>
          <w:sz w:val="24"/>
          <w:szCs w:val="24"/>
          <w:lang w:val="en-US" w:eastAsia="zh-CN" w:bidi="ar-SA"/>
        </w:rPr>
        <w:t>投标供应商</w:t>
      </w:r>
      <w:r>
        <w:rPr>
          <w:rStyle w:val="62"/>
          <w:rFonts w:hint="eastAsia" w:ascii="宋体" w:hAnsi="宋体" w:eastAsia="宋体" w:cs="宋体"/>
          <w:color w:val="000000"/>
          <w:kern w:val="2"/>
          <w:sz w:val="24"/>
          <w:szCs w:val="24"/>
          <w:lang w:val="en-US" w:eastAsia="zh-CN" w:bidi="ar-SA"/>
        </w:rPr>
        <w:t xml:space="preserve">的身份投标，项目投标时由联合体牵头人的制作投标文件。               </w:t>
      </w:r>
    </w:p>
    <w:p>
      <w:pPr>
        <w:spacing w:line="360" w:lineRule="auto"/>
        <w:ind w:firstLine="55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13.2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pPr>
        <w:spacing w:line="360" w:lineRule="auto"/>
        <w:ind w:firstLine="55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13.3联合体各方签订联合体协议后，不得再以自己的名义单独在同一项目中投标，也不得组成新的联合体参加同一项目投标，否则</w:t>
      </w:r>
      <w:r>
        <w:rPr>
          <w:rStyle w:val="62"/>
          <w:rFonts w:hint="eastAsia" w:ascii="宋体" w:hAnsi="宋体" w:eastAsia="宋体" w:cs="宋体"/>
          <w:b/>
          <w:bCs/>
          <w:color w:val="000000"/>
          <w:kern w:val="2"/>
          <w:sz w:val="24"/>
          <w:szCs w:val="24"/>
          <w:lang w:val="en-US" w:eastAsia="zh-CN" w:bidi="ar-SA"/>
        </w:rPr>
        <w:t>相关供应商按无效标处理。</w:t>
      </w:r>
    </w:p>
    <w:p>
      <w:pPr>
        <w:spacing w:line="360" w:lineRule="auto"/>
        <w:ind w:firstLine="55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13.4联合体投标的，可以由联合体中的一方或者共同提交谈判响应保证金，以一方名义提交保证金的，对联合体各方均具有约束力。</w:t>
      </w:r>
    </w:p>
    <w:p>
      <w:pPr>
        <w:spacing w:line="360" w:lineRule="auto"/>
        <w:ind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14、投标品牌</w:t>
      </w:r>
    </w:p>
    <w:p>
      <w:pPr>
        <w:pStyle w:val="31"/>
        <w:widowControl/>
        <w:spacing w:line="360" w:lineRule="auto"/>
        <w:ind w:firstLine="480" w:firstLineChars="200"/>
        <w:jc w:val="both"/>
        <w:textAlignment w:val="baseline"/>
        <w:rPr>
          <w:rStyle w:val="62"/>
          <w:rFonts w:hint="eastAsia" w:ascii="宋体" w:hAnsi="宋体" w:eastAsia="宋体" w:cs="宋体"/>
          <w:b w:val="0"/>
          <w:bCs w:val="0"/>
          <w:color w:val="000000"/>
          <w:kern w:val="2"/>
          <w:sz w:val="24"/>
          <w:szCs w:val="24"/>
          <w:lang w:val="en-US" w:eastAsia="zh-CN" w:bidi="ar-SA"/>
        </w:rPr>
      </w:pPr>
      <w:r>
        <w:rPr>
          <w:rStyle w:val="62"/>
          <w:rFonts w:hint="eastAsia" w:ascii="宋体" w:hAnsi="宋体" w:eastAsia="宋体" w:cs="宋体"/>
          <w:b w:val="0"/>
          <w:bCs w:val="0"/>
          <w:color w:val="000000"/>
          <w:kern w:val="2"/>
          <w:sz w:val="24"/>
          <w:szCs w:val="24"/>
          <w:lang w:val="en-US" w:eastAsia="zh-CN" w:bidi="ar-SA"/>
        </w:rPr>
        <w:t>谈判文件中提供的参考商标、品牌，是采购人为了方便供应商更准确、更清楚说明拟采购货物的技术规格，并无限制性。供应商在投标中若选用替代商标、品牌，应优于或相当于参考商标、品牌的技术规格。</w:t>
      </w:r>
    </w:p>
    <w:p>
      <w:pPr>
        <w:spacing w:line="360" w:lineRule="auto"/>
        <w:ind w:firstLine="525"/>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15、签章的效力</w:t>
      </w:r>
    </w:p>
    <w:p>
      <w:pPr>
        <w:pStyle w:val="31"/>
        <w:widowControl/>
        <w:spacing w:line="360" w:lineRule="auto"/>
        <w:ind w:firstLine="480" w:firstLineChars="200"/>
        <w:jc w:val="both"/>
        <w:textAlignment w:val="baseline"/>
        <w:rPr>
          <w:rStyle w:val="62"/>
          <w:rFonts w:hint="eastAsia" w:ascii="宋体" w:hAnsi="宋体" w:eastAsia="宋体" w:cs="宋体"/>
          <w:b w:val="0"/>
          <w:bCs w:val="0"/>
          <w:color w:val="000000"/>
          <w:kern w:val="2"/>
          <w:sz w:val="24"/>
          <w:szCs w:val="24"/>
          <w:lang w:val="en-US" w:eastAsia="zh-CN" w:bidi="ar-SA"/>
        </w:rPr>
      </w:pPr>
      <w:r>
        <w:rPr>
          <w:rStyle w:val="62"/>
          <w:rFonts w:hint="eastAsia" w:ascii="宋体" w:hAnsi="宋体" w:eastAsia="宋体" w:cs="宋体"/>
          <w:b w:val="0"/>
          <w:bCs w:val="0"/>
          <w:color w:val="000000"/>
          <w:kern w:val="2"/>
          <w:sz w:val="24"/>
          <w:szCs w:val="24"/>
          <w:lang w:val="en-US" w:eastAsia="zh-CN" w:bidi="ar-SA"/>
        </w:rPr>
        <w:t>谈判文件中明确要求加盖公章的，供应商必须加盖供应商公章。</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（四）谈判响应书的编制</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16、谈判响应的语言及度量衡单位</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16.</w:t>
      </w:r>
      <w:r>
        <w:rPr>
          <w:rStyle w:val="62"/>
          <w:rFonts w:hint="eastAsia" w:ascii="宋体" w:hAnsi="宋体" w:eastAsia="宋体" w:cs="宋体"/>
          <w:b/>
          <w:bCs w:val="0"/>
          <w:color w:val="000000"/>
          <w:kern w:val="2"/>
          <w:sz w:val="24"/>
          <w:szCs w:val="24"/>
          <w:lang w:val="en-US" w:eastAsia="zh-CN" w:bidi="ar-SA"/>
        </w:rPr>
        <w:t>1</w:t>
      </w:r>
      <w:r>
        <w:rPr>
          <w:rStyle w:val="62"/>
          <w:rFonts w:hint="eastAsia" w:ascii="宋体" w:hAnsi="宋体" w:eastAsia="宋体" w:cs="宋体"/>
          <w:bCs/>
          <w:color w:val="000000"/>
          <w:kern w:val="2"/>
          <w:sz w:val="24"/>
          <w:szCs w:val="24"/>
          <w:lang w:val="en-US" w:eastAsia="zh-CN" w:bidi="ar-SA"/>
        </w:rPr>
        <w:t>供应商的谈判</w:t>
      </w:r>
      <w:r>
        <w:rPr>
          <w:rStyle w:val="62"/>
          <w:rFonts w:hint="eastAsia" w:ascii="宋体" w:hAnsi="宋体" w:eastAsia="宋体" w:cs="宋体"/>
          <w:color w:val="000000"/>
          <w:kern w:val="2"/>
          <w:sz w:val="24"/>
          <w:szCs w:val="24"/>
          <w:lang w:val="en-US" w:eastAsia="zh-CN" w:bidi="ar-SA"/>
        </w:rPr>
        <w:t>响应书、以及供应商与采购单位就谈判响应的所有往来函电，均须使用简体中文。</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16.2</w:t>
      </w:r>
      <w:r>
        <w:rPr>
          <w:rStyle w:val="62"/>
          <w:rFonts w:hint="eastAsia" w:ascii="宋体" w:hAnsi="宋体" w:eastAsia="宋体" w:cs="宋体"/>
          <w:color w:val="000000"/>
          <w:kern w:val="2"/>
          <w:sz w:val="24"/>
          <w:szCs w:val="24"/>
          <w:lang w:val="en-US" w:eastAsia="zh-CN" w:bidi="ar-SA"/>
        </w:rPr>
        <w:t>除竞争性谈判文件中另有规定外，谈判响应书所使用的度量衡均须采用法定计量单位。</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17、谈判响应书构成</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 xml:space="preserve">17.1 </w:t>
      </w:r>
      <w:r>
        <w:rPr>
          <w:rStyle w:val="62"/>
          <w:rFonts w:hint="eastAsia" w:ascii="宋体" w:hAnsi="宋体" w:eastAsia="宋体" w:cs="宋体"/>
          <w:color w:val="000000"/>
          <w:kern w:val="2"/>
          <w:sz w:val="24"/>
          <w:szCs w:val="24"/>
          <w:lang w:val="en-US" w:eastAsia="zh-CN" w:bidi="ar-SA"/>
        </w:rPr>
        <w:t>谈判响应书应包括本竞争性谈判文件第二章谈判响应书中所规定的全部内容。</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17.2</w:t>
      </w:r>
      <w:r>
        <w:rPr>
          <w:rStyle w:val="62"/>
          <w:rFonts w:hint="eastAsia" w:ascii="宋体" w:hAnsi="宋体" w:eastAsia="宋体" w:cs="宋体"/>
          <w:color w:val="000000"/>
          <w:kern w:val="2"/>
          <w:sz w:val="24"/>
          <w:szCs w:val="24"/>
          <w:lang w:val="en-US" w:eastAsia="zh-CN" w:bidi="ar-SA"/>
        </w:rPr>
        <w:t xml:space="preserve"> 供应商必须对其谈判响应书的真实性与准确性负责。供应商一旦成为成交供应商，其谈判响应书将作为合同的重要组成部分。</w:t>
      </w:r>
    </w:p>
    <w:p>
      <w:pPr>
        <w:snapToGrid w:val="0"/>
        <w:spacing w:line="360" w:lineRule="auto"/>
        <w:ind w:firstLine="482"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17.3</w:t>
      </w:r>
      <w:r>
        <w:rPr>
          <w:rStyle w:val="62"/>
          <w:rFonts w:hint="eastAsia" w:ascii="宋体" w:hAnsi="宋体" w:eastAsia="宋体" w:cs="宋体"/>
          <w:color w:val="000000"/>
          <w:kern w:val="2"/>
          <w:sz w:val="24"/>
          <w:szCs w:val="24"/>
          <w:lang w:val="en-US" w:eastAsia="zh-CN" w:bidi="ar-SA"/>
        </w:rPr>
        <w:t>供应商不得擅自对竞争性谈判文件的格式、条款和技术要求进行修改。否则，其谈判响应书在谈判时有可能被认为是未对竞争性谈判文件做出实质性的响应而中止对其作进一步的评审。</w:t>
      </w:r>
    </w:p>
    <w:p>
      <w:pPr>
        <w:snapToGrid w:val="0"/>
        <w:spacing w:line="360" w:lineRule="auto"/>
        <w:ind w:firstLine="482"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18、谈判响应报价</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18.1 谈判响应报价应清楚地标明供供应商拟提供货物的名称、单价和总价。只允许有一个方案、一个报价，多方案、多报价的谈判响应将不被接受。</w:t>
      </w:r>
      <w:r>
        <w:rPr>
          <w:rStyle w:val="62"/>
          <w:rFonts w:hint="eastAsia" w:ascii="宋体" w:hAnsi="宋体" w:eastAsia="宋体" w:cs="宋体"/>
          <w:color w:val="000000"/>
          <w:kern w:val="2"/>
          <w:sz w:val="24"/>
          <w:szCs w:val="24"/>
          <w:lang w:val="en-US" w:eastAsia="zh-CN" w:bidi="ar-SA"/>
        </w:rPr>
        <w:t>响应报价超过项目预算控制数或不按规定格式进行报价的属于无效响应。</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18.2谈判响应报价表上货物的价格是交货地的验收价格，其总价即为履行合同的固定价格。</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18.3供应商的报价应包含所投货物、保险、税费、包装、加工及加工损耗、运输、现场落地、安装及安装损耗、调试、检测验收和交付后约定期限内维保等工作所发生的一切应有费用。投标报价为签订合同的依据。</w:t>
      </w:r>
    </w:p>
    <w:p>
      <w:pPr>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18.4供应商</w:t>
      </w:r>
      <w:r>
        <w:rPr>
          <w:rStyle w:val="62"/>
          <w:rFonts w:hint="eastAsia" w:ascii="宋体" w:hAnsi="宋体" w:eastAsia="宋体" w:cs="宋体"/>
          <w:bCs/>
          <w:color w:val="000000"/>
          <w:kern w:val="2"/>
          <w:sz w:val="24"/>
          <w:szCs w:val="24"/>
          <w:lang w:val="en-US" w:eastAsia="zh-CN" w:bidi="ar-SA"/>
        </w:rPr>
        <w:t>应在谈判响应文件中注明拟提供货物的单价、服务内容明细和总价。除政策性文件规定以外，供应商所报价格在合同实施期间不因市场变化因素而变动。</w:t>
      </w:r>
    </w:p>
    <w:p>
      <w:pPr>
        <w:snapToGrid w:val="0"/>
        <w:spacing w:line="360" w:lineRule="auto"/>
        <w:ind w:firstLine="482"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19、</w:t>
      </w:r>
      <w:r>
        <w:rPr>
          <w:rStyle w:val="62"/>
          <w:rFonts w:hint="eastAsia" w:ascii="宋体" w:hAnsi="宋体" w:eastAsia="宋体" w:cs="宋体"/>
          <w:b/>
          <w:color w:val="000000"/>
          <w:kern w:val="2"/>
          <w:sz w:val="24"/>
          <w:szCs w:val="24"/>
          <w:lang w:val="en-US" w:eastAsia="zh-CN" w:bidi="ar-SA"/>
        </w:rPr>
        <w:t>谈判响应货币：</w:t>
      </w:r>
      <w:r>
        <w:rPr>
          <w:rStyle w:val="62"/>
          <w:rFonts w:hint="eastAsia" w:ascii="宋体" w:hAnsi="宋体" w:eastAsia="宋体" w:cs="宋体"/>
          <w:bCs/>
          <w:color w:val="000000"/>
          <w:kern w:val="2"/>
          <w:sz w:val="24"/>
          <w:szCs w:val="24"/>
          <w:lang w:val="en-US" w:eastAsia="zh-CN" w:bidi="ar-SA"/>
        </w:rPr>
        <w:t>须以人民币报价。</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20、证明供应商合格的资格文件</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20.1供应商在其谈判响应书中，应根据谈判文件要求提交证明其有资格参加谈判和成交后有能力履行合同的资质证明文件，作为其谈判文件的一部分。</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20.2供应商资质证书（或资格证明）处于年检、换证、升级、变更等期间，除非法律法规或发证机构有书面材料明确表明供应商资质（或资格)有效，否则一律不予认可</w:t>
      </w:r>
      <w:r>
        <w:rPr>
          <w:rStyle w:val="62"/>
          <w:rFonts w:hint="eastAsia" w:ascii="宋体" w:hAnsi="宋体" w:cs="宋体"/>
          <w:color w:val="000000"/>
          <w:kern w:val="2"/>
          <w:sz w:val="24"/>
          <w:szCs w:val="24"/>
          <w:lang w:val="en-US" w:eastAsia="zh-CN" w:bidi="ar-SA"/>
        </w:rPr>
        <w:t>。</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21、谈判响应保证金（详见招标公告）。</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22、谈判响应书的密封和标记</w:t>
      </w:r>
    </w:p>
    <w:p>
      <w:pPr>
        <w:pStyle w:val="31"/>
        <w:widowControl/>
        <w:spacing w:line="360" w:lineRule="auto"/>
        <w:ind w:firstLine="480" w:firstLineChars="200"/>
        <w:jc w:val="both"/>
        <w:textAlignment w:val="baseline"/>
        <w:rPr>
          <w:rStyle w:val="62"/>
          <w:rFonts w:hint="eastAsia" w:ascii="宋体" w:hAnsi="宋体" w:eastAsia="宋体" w:cs="宋体"/>
          <w:b w:val="0"/>
          <w:bCs w:val="0"/>
          <w:color w:val="000000"/>
          <w:kern w:val="2"/>
          <w:sz w:val="24"/>
          <w:szCs w:val="24"/>
          <w:lang w:val="en-US" w:eastAsia="zh-CN" w:bidi="ar-SA"/>
        </w:rPr>
      </w:pPr>
      <w:r>
        <w:rPr>
          <w:rStyle w:val="62"/>
          <w:rFonts w:hint="eastAsia" w:ascii="宋体" w:hAnsi="宋体" w:eastAsia="宋体" w:cs="宋体"/>
          <w:b w:val="0"/>
          <w:bCs w:val="0"/>
          <w:color w:val="000000"/>
          <w:kern w:val="2"/>
          <w:sz w:val="24"/>
          <w:szCs w:val="24"/>
          <w:lang w:val="en-US" w:eastAsia="zh-CN" w:bidi="ar-SA"/>
        </w:rPr>
        <w:t>22.1应在谈判响应文件中按照要求进行签章。</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b w:val="0"/>
          <w:bCs w:val="0"/>
          <w:color w:val="000000"/>
          <w:kern w:val="2"/>
          <w:sz w:val="24"/>
          <w:szCs w:val="24"/>
          <w:lang w:val="en-US" w:eastAsia="zh-CN" w:bidi="ar-SA"/>
        </w:rPr>
        <w:t>22.2</w:t>
      </w:r>
      <w:r>
        <w:rPr>
          <w:rStyle w:val="62"/>
          <w:rFonts w:hint="eastAsia" w:ascii="宋体" w:hAnsi="宋体" w:eastAsia="宋体" w:cs="宋体"/>
          <w:color w:val="000000"/>
          <w:kern w:val="2"/>
          <w:sz w:val="24"/>
          <w:szCs w:val="24"/>
          <w:lang w:val="en-US" w:eastAsia="zh-CN" w:bidi="ar-SA"/>
        </w:rPr>
        <w:t>投标截止时间前，供应商须到达公告指定的地点将密封的谈判响应文件递交，并在密封袋上标注项目名称、项目编号、供应商名称及包别。</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22.3如果未按规定封装或加写标记或递交，采购代理机构将不承担谈判响应文件错放或提前开封的责任，并导致该类别文件递交无效。</w:t>
      </w:r>
    </w:p>
    <w:p>
      <w:pPr>
        <w:pStyle w:val="33"/>
        <w:widowControl/>
        <w:snapToGrid w:val="0"/>
        <w:spacing w:line="360" w:lineRule="auto"/>
        <w:jc w:val="both"/>
        <w:textAlignment w:val="baseline"/>
        <w:rPr>
          <w:rStyle w:val="62"/>
          <w:rFonts w:hint="eastAsia" w:ascii="宋体" w:hAnsi="宋体" w:eastAsia="宋体" w:cs="宋体"/>
          <w:b/>
          <w:bCs/>
          <w:color w:val="000000"/>
          <w:kern w:val="2"/>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（五）谈判响应书的递交</w:t>
      </w:r>
    </w:p>
    <w:p>
      <w:pPr>
        <w:spacing w:line="360" w:lineRule="auto"/>
        <w:ind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 xml:space="preserve">23、谈判响应书的递交 </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23.1谈判响应文件的递交是指供应商在投标截止时间前密封送达指定开标地点。</w:t>
      </w:r>
    </w:p>
    <w:p>
      <w:pPr>
        <w:pStyle w:val="22"/>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23.2投标截止时间前，供应商可以修改或撤回已提交的谈判响应文件。</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23.3在谈判文件要求提交谈判响应文件的截止时间之后送达的谈判响应文件，为无效谈判响应文件，采购人将拒绝接收。</w:t>
      </w:r>
    </w:p>
    <w:p>
      <w:pPr>
        <w:spacing w:line="360" w:lineRule="auto"/>
        <w:ind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24、拒绝的谈判响应书：</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采购人将拒绝迟交的标书并原封退回</w:t>
      </w:r>
    </w:p>
    <w:p>
      <w:pPr>
        <w:spacing w:line="360" w:lineRule="auto"/>
        <w:ind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25、投标书的修改和撤回</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25.1纸质标书的修改和撤回，必须以书面形式通知采购单位。</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25.2供应商修改书或撤回通知书，应由法定代表人或其授权代表签署，使用纸质开评标的项目，修改书应当按谈判文件要求进行密封、标注，并在密封文件袋上标注“修改”字样。</w:t>
      </w:r>
    </w:p>
    <w:p>
      <w:pPr>
        <w:pStyle w:val="25"/>
        <w:widowControl/>
        <w:snapToGrid w:val="0"/>
        <w:spacing w:line="360" w:lineRule="auto"/>
        <w:ind w:firstLine="560"/>
        <w:jc w:val="both"/>
        <w:textAlignment w:val="baseline"/>
        <w:rPr>
          <w:rStyle w:val="62"/>
          <w:rFonts w:hint="eastAsia" w:ascii="宋体" w:hAnsi="宋体" w:eastAsia="宋体" w:cs="宋体"/>
          <w:color w:val="000000"/>
          <w:kern w:val="2"/>
          <w:sz w:val="24"/>
          <w:szCs w:val="24"/>
          <w:lang w:val="en-US" w:eastAsia="zh-CN" w:bidi="ar-SA"/>
        </w:rPr>
      </w:pPr>
    </w:p>
    <w:p>
      <w:pPr>
        <w:pStyle w:val="25"/>
        <w:widowControl/>
        <w:numPr>
          <w:ilvl w:val="0"/>
          <w:numId w:val="7"/>
        </w:numPr>
        <w:snapToGrid w:val="0"/>
        <w:spacing w:line="360" w:lineRule="auto"/>
        <w:ind w:firstLine="560"/>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开标现场</w:t>
      </w:r>
    </w:p>
    <w:p>
      <w:pPr>
        <w:pStyle w:val="25"/>
        <w:widowControl/>
        <w:snapToGrid w:val="0"/>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26、开标程序</w:t>
      </w:r>
    </w:p>
    <w:p>
      <w:pPr>
        <w:widowControl/>
        <w:spacing w:line="360" w:lineRule="auto"/>
        <w:jc w:val="left"/>
        <w:textAlignment w:val="baseline"/>
        <w:rPr>
          <w:rStyle w:val="62"/>
          <w:rFonts w:hint="eastAsia" w:ascii="宋体" w:hAnsi="宋体" w:eastAsia="宋体" w:cs="宋体"/>
          <w:color w:val="000000"/>
          <w:kern w:val="0"/>
          <w:sz w:val="24"/>
          <w:szCs w:val="24"/>
          <w:lang w:val="en-US" w:eastAsia="zh-CN"/>
        </w:rPr>
      </w:pPr>
      <w:r>
        <w:rPr>
          <w:rStyle w:val="62"/>
          <w:rFonts w:hint="eastAsia" w:ascii="宋体" w:hAnsi="宋体" w:eastAsia="宋体" w:cs="宋体"/>
          <w:color w:val="000000"/>
          <w:kern w:val="0"/>
          <w:sz w:val="24"/>
          <w:szCs w:val="24"/>
          <w:lang w:val="en-US" w:eastAsia="zh-CN"/>
        </w:rPr>
        <w:t>26.1主持人</w:t>
      </w:r>
      <w:r>
        <w:rPr>
          <w:rStyle w:val="62"/>
          <w:rFonts w:hint="eastAsia" w:ascii="宋体" w:hAnsi="宋体" w:cs="宋体"/>
          <w:color w:val="000000"/>
          <w:kern w:val="0"/>
          <w:sz w:val="24"/>
          <w:szCs w:val="24"/>
          <w:lang w:val="en-US" w:eastAsia="zh-CN"/>
        </w:rPr>
        <w:t>自行组织</w:t>
      </w:r>
      <w:r>
        <w:rPr>
          <w:rStyle w:val="62"/>
          <w:rFonts w:hint="eastAsia" w:ascii="宋体" w:hAnsi="宋体" w:eastAsia="宋体" w:cs="宋体"/>
          <w:color w:val="000000"/>
          <w:kern w:val="0"/>
          <w:sz w:val="24"/>
          <w:szCs w:val="24"/>
          <w:lang w:val="en-US" w:eastAsia="zh-CN"/>
        </w:rPr>
        <w:t>时间和地点开标，</w:t>
      </w:r>
      <w:r>
        <w:rPr>
          <w:rStyle w:val="62"/>
          <w:rFonts w:hint="eastAsia" w:ascii="宋体" w:hAnsi="宋体" w:cs="宋体"/>
          <w:color w:val="000000"/>
          <w:kern w:val="0"/>
          <w:sz w:val="24"/>
          <w:szCs w:val="24"/>
          <w:lang w:val="en-US" w:eastAsia="zh-CN"/>
        </w:rPr>
        <w:t>不</w:t>
      </w:r>
      <w:r>
        <w:rPr>
          <w:rStyle w:val="62"/>
          <w:rFonts w:hint="eastAsia" w:ascii="宋体" w:hAnsi="宋体" w:eastAsia="宋体" w:cs="宋体"/>
          <w:color w:val="000000"/>
          <w:kern w:val="0"/>
          <w:sz w:val="24"/>
          <w:szCs w:val="24"/>
          <w:lang w:val="en-US" w:eastAsia="zh-CN"/>
        </w:rPr>
        <w:t>邀请供应商代表参加。</w:t>
      </w:r>
      <w:r>
        <w:rPr>
          <w:rStyle w:val="62"/>
          <w:rFonts w:hint="eastAsia" w:ascii="宋体" w:hAnsi="宋体" w:eastAsia="宋体" w:cs="宋体"/>
          <w:color w:val="000000"/>
          <w:kern w:val="0"/>
          <w:sz w:val="24"/>
          <w:szCs w:val="24"/>
          <w:lang w:val="en-US" w:eastAsia="zh-CN"/>
        </w:rPr>
        <w:br w:type="textWrapping" w:clear="all"/>
      </w:r>
      <w:r>
        <w:rPr>
          <w:rStyle w:val="62"/>
          <w:rFonts w:hint="eastAsia" w:ascii="宋体" w:hAnsi="宋体" w:eastAsia="宋体" w:cs="宋体"/>
          <w:color w:val="000000"/>
          <w:kern w:val="0"/>
          <w:sz w:val="24"/>
          <w:szCs w:val="24"/>
          <w:lang w:val="en-US" w:eastAsia="zh-CN"/>
        </w:rPr>
        <w:t>26.2按规定提交合格的撤回通知的谈判响应文件不予开封，并退回给供应商。</w:t>
      </w:r>
      <w:r>
        <w:rPr>
          <w:rStyle w:val="62"/>
          <w:rFonts w:hint="eastAsia" w:ascii="宋体" w:hAnsi="宋体" w:eastAsia="宋体" w:cs="宋体"/>
          <w:color w:val="000000"/>
          <w:kern w:val="0"/>
          <w:sz w:val="24"/>
          <w:szCs w:val="24"/>
          <w:lang w:val="en-US" w:eastAsia="zh-CN"/>
        </w:rPr>
        <w:br w:type="textWrapping" w:clear="all"/>
      </w:r>
      <w:r>
        <w:rPr>
          <w:rStyle w:val="62"/>
          <w:rFonts w:hint="eastAsia" w:ascii="宋体" w:hAnsi="宋体" w:eastAsia="宋体" w:cs="宋体"/>
          <w:color w:val="000000"/>
          <w:kern w:val="0"/>
          <w:sz w:val="24"/>
          <w:szCs w:val="24"/>
          <w:lang w:val="en-US" w:eastAsia="zh-CN"/>
        </w:rPr>
        <w:t>26.3开标由</w:t>
      </w:r>
      <w:r>
        <w:rPr>
          <w:rStyle w:val="62"/>
          <w:rFonts w:hint="eastAsia" w:ascii="宋体" w:hAnsi="宋体" w:cs="宋体"/>
          <w:color w:val="000000"/>
          <w:kern w:val="0"/>
          <w:sz w:val="24"/>
          <w:szCs w:val="24"/>
          <w:lang w:val="en-US" w:eastAsia="zh-CN"/>
        </w:rPr>
        <w:t>采购部门、监督部门、专家评委等</w:t>
      </w:r>
      <w:r>
        <w:rPr>
          <w:rStyle w:val="62"/>
          <w:rFonts w:hint="eastAsia" w:ascii="宋体" w:hAnsi="宋体" w:eastAsia="宋体" w:cs="宋体"/>
          <w:color w:val="000000"/>
          <w:kern w:val="0"/>
          <w:sz w:val="24"/>
          <w:szCs w:val="24"/>
          <w:lang w:val="en-US" w:eastAsia="zh-CN"/>
        </w:rPr>
        <w:t>相关人员主持，主持人并按下列程序进行。</w:t>
      </w:r>
      <w:r>
        <w:rPr>
          <w:rStyle w:val="62"/>
          <w:rFonts w:hint="eastAsia" w:ascii="宋体" w:hAnsi="宋体" w:eastAsia="宋体" w:cs="宋体"/>
          <w:color w:val="000000"/>
          <w:kern w:val="0"/>
          <w:sz w:val="24"/>
          <w:szCs w:val="24"/>
          <w:lang w:val="en-US" w:eastAsia="zh-CN"/>
        </w:rPr>
        <w:br w:type="textWrapping" w:clear="all"/>
      </w:r>
      <w:r>
        <w:rPr>
          <w:rStyle w:val="62"/>
          <w:rFonts w:hint="eastAsia" w:ascii="宋体" w:hAnsi="宋体" w:eastAsia="宋体" w:cs="宋体"/>
          <w:color w:val="000000"/>
          <w:kern w:val="0"/>
          <w:sz w:val="24"/>
          <w:szCs w:val="24"/>
          <w:lang w:val="en-US" w:eastAsia="zh-CN"/>
        </w:rPr>
        <w:t>26.3.1主持人公布在投标截止时间前递交响应文件的供应商名称，并与供应商代表检查响应文件有效性和密封情况。有质疑的应当场提出。</w:t>
      </w:r>
      <w:r>
        <w:rPr>
          <w:rStyle w:val="62"/>
          <w:rFonts w:hint="eastAsia" w:ascii="宋体" w:hAnsi="宋体" w:eastAsia="宋体" w:cs="宋体"/>
          <w:color w:val="000000"/>
          <w:kern w:val="0"/>
          <w:sz w:val="24"/>
          <w:szCs w:val="24"/>
          <w:lang w:val="en-US" w:eastAsia="zh-CN"/>
        </w:rPr>
        <w:br w:type="textWrapping" w:clear="all"/>
      </w:r>
      <w:r>
        <w:rPr>
          <w:rStyle w:val="62"/>
          <w:rFonts w:hint="eastAsia" w:ascii="宋体" w:hAnsi="宋体" w:eastAsia="宋体" w:cs="宋体"/>
          <w:color w:val="000000"/>
          <w:kern w:val="0"/>
          <w:sz w:val="24"/>
          <w:szCs w:val="24"/>
          <w:lang w:val="en-US" w:eastAsia="zh-CN"/>
        </w:rPr>
        <w:t>26.3.2公布供应商名称等以及采购人认为合适的其它详细内容。各</w:t>
      </w:r>
      <w:r>
        <w:rPr>
          <w:rStyle w:val="62"/>
          <w:rFonts w:hint="eastAsia" w:ascii="宋体" w:hAnsi="宋体" w:cs="宋体"/>
          <w:color w:val="000000"/>
          <w:kern w:val="0"/>
          <w:sz w:val="24"/>
          <w:szCs w:val="24"/>
          <w:lang w:val="en-US" w:eastAsia="zh-CN"/>
        </w:rPr>
        <w:t>投标供应商</w:t>
      </w:r>
      <w:r>
        <w:rPr>
          <w:rStyle w:val="62"/>
          <w:rFonts w:hint="eastAsia" w:ascii="宋体" w:hAnsi="宋体" w:eastAsia="宋体" w:cs="宋体"/>
          <w:color w:val="000000"/>
          <w:kern w:val="0"/>
          <w:sz w:val="24"/>
          <w:szCs w:val="24"/>
          <w:lang w:val="en-US" w:eastAsia="zh-CN"/>
        </w:rPr>
        <w:t>对开标情况记录进行确认，如有异议应当场提出。</w:t>
      </w:r>
    </w:p>
    <w:p>
      <w:pPr>
        <w:snapToGrid w:val="0"/>
        <w:spacing w:line="360" w:lineRule="auto"/>
        <w:ind w:firstLine="482" w:firstLineChars="200"/>
        <w:jc w:val="both"/>
        <w:textAlignment w:val="baseline"/>
        <w:rPr>
          <w:rStyle w:val="62"/>
          <w:rFonts w:hint="eastAsia" w:ascii="宋体" w:hAnsi="宋体" w:eastAsia="宋体" w:cs="宋体"/>
          <w:b/>
          <w:bCs/>
          <w:color w:val="000000"/>
          <w:kern w:val="0"/>
          <w:sz w:val="24"/>
          <w:szCs w:val="24"/>
          <w:lang w:val="en-US" w:eastAsia="zh-CN" w:bidi="ar-SA"/>
        </w:rPr>
      </w:pPr>
    </w:p>
    <w:p>
      <w:pPr>
        <w:snapToGrid w:val="0"/>
        <w:spacing w:line="360" w:lineRule="auto"/>
        <w:ind w:firstLine="482" w:firstLineChars="200"/>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bCs/>
          <w:color w:val="000000"/>
          <w:kern w:val="0"/>
          <w:sz w:val="24"/>
          <w:szCs w:val="24"/>
          <w:lang w:val="en-US" w:eastAsia="zh-CN" w:bidi="ar-SA"/>
        </w:rPr>
        <w:t>（七）</w:t>
      </w:r>
      <w:r>
        <w:rPr>
          <w:rStyle w:val="62"/>
          <w:rFonts w:hint="eastAsia" w:ascii="宋体" w:hAnsi="宋体" w:eastAsia="宋体" w:cs="宋体"/>
          <w:b/>
          <w:color w:val="000000"/>
          <w:kern w:val="2"/>
          <w:sz w:val="24"/>
          <w:szCs w:val="24"/>
          <w:lang w:val="en-US" w:eastAsia="zh-CN" w:bidi="ar-SA"/>
        </w:rPr>
        <w:t>谈判与评审</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27、谈判与评审程序</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27.1、谈判小组由采购人依法组建，成员人数为3人以上单数。谈判小组成员名单在成交结果确定前应当保密。</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27.2、谈判小组首先对供应商的有效性进行审查，有效性审查不通过的，将不得进入谈判。</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27.3、谈判小组对供应商提交的谈判响应书及样品（如有）进行审查，为谈判做好准备工作。</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27.4、谈判小组所有成员集中与单一供应商进行逐一谈判。</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27.5、谈判小组要求所有继续参加谈判的供应商在规定时间内提交最后报价。</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27.6、谈判小组在满足谈判文件实质性要求的供应商中，从低到高的顺序推荐3名成交候选人。</w:t>
      </w:r>
    </w:p>
    <w:p>
      <w:pPr>
        <w:snapToGrid w:val="0"/>
        <w:spacing w:line="360" w:lineRule="auto"/>
        <w:ind w:firstLine="480" w:firstLineChars="200"/>
        <w:jc w:val="both"/>
        <w:textAlignment w:val="baseline"/>
        <w:rPr>
          <w:rStyle w:val="62"/>
          <w:rFonts w:hint="eastAsia" w:ascii="宋体" w:hAnsi="宋体" w:eastAsia="宋体" w:cs="宋体"/>
          <w:bCs/>
          <w:color w:val="000000"/>
          <w:kern w:val="0"/>
          <w:sz w:val="24"/>
          <w:szCs w:val="24"/>
          <w:lang w:val="en-US" w:eastAsia="zh-CN" w:bidi="ar-SA"/>
        </w:rPr>
      </w:pPr>
      <w:r>
        <w:rPr>
          <w:rStyle w:val="62"/>
          <w:rFonts w:hint="eastAsia" w:ascii="宋体" w:hAnsi="宋体" w:eastAsia="宋体" w:cs="宋体"/>
          <w:bCs/>
          <w:color w:val="000000"/>
          <w:kern w:val="0"/>
          <w:sz w:val="24"/>
          <w:szCs w:val="24"/>
          <w:lang w:val="en-US" w:eastAsia="zh-CN" w:bidi="ar-SA"/>
        </w:rPr>
        <w:t>对否定的供应商，谈判小组要提出充足的否定理由，并填写在评审记录上；对评审结果持有异议的，按照少数服从多数的原则由评委采取投票方式表决确定并记录入评审记录。</w:t>
      </w:r>
    </w:p>
    <w:p>
      <w:pPr>
        <w:snapToGrid w:val="0"/>
        <w:spacing w:line="360" w:lineRule="auto"/>
        <w:ind w:firstLine="482" w:firstLineChars="200"/>
        <w:jc w:val="both"/>
        <w:textAlignment w:val="baseline"/>
        <w:rPr>
          <w:rStyle w:val="62"/>
          <w:rFonts w:hint="eastAsia" w:ascii="宋体" w:hAnsi="宋体" w:eastAsia="宋体" w:cs="宋体"/>
          <w:b/>
          <w:color w:val="000000"/>
          <w:kern w:val="0"/>
          <w:sz w:val="24"/>
          <w:szCs w:val="24"/>
          <w:lang w:val="en-US" w:eastAsia="zh-CN" w:bidi="ar-SA"/>
        </w:rPr>
      </w:pPr>
      <w:r>
        <w:rPr>
          <w:rStyle w:val="62"/>
          <w:rFonts w:hint="eastAsia" w:ascii="宋体" w:hAnsi="宋体" w:eastAsia="宋体" w:cs="宋体"/>
          <w:b/>
          <w:color w:val="000000"/>
          <w:kern w:val="0"/>
          <w:sz w:val="24"/>
          <w:szCs w:val="24"/>
          <w:lang w:val="en-US" w:eastAsia="zh-CN" w:bidi="ar-SA"/>
        </w:rPr>
        <w:t>28、谈判细则</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28.1资格审查</w:t>
      </w:r>
    </w:p>
    <w:p>
      <w:pPr>
        <w:snapToGrid w:val="0"/>
        <w:spacing w:line="360" w:lineRule="auto"/>
        <w:ind w:firstLine="480" w:firstLineChars="200"/>
        <w:jc w:val="both"/>
        <w:textAlignment w:val="baseline"/>
        <w:rPr>
          <w:rStyle w:val="62"/>
          <w:rFonts w:hint="eastAsia" w:ascii="宋体" w:hAnsi="宋体" w:eastAsia="宋体" w:cs="宋体"/>
          <w:bCs/>
          <w:color w:val="000000"/>
          <w:kern w:val="2"/>
          <w:sz w:val="24"/>
          <w:szCs w:val="24"/>
          <w:lang w:val="en-US" w:eastAsia="zh-CN" w:bidi="ar-SA"/>
        </w:rPr>
      </w:pPr>
      <w:r>
        <w:rPr>
          <w:rStyle w:val="62"/>
          <w:rFonts w:hint="eastAsia" w:ascii="宋体" w:hAnsi="宋体" w:eastAsia="宋体" w:cs="宋体"/>
          <w:bCs/>
          <w:color w:val="000000"/>
          <w:kern w:val="2"/>
          <w:sz w:val="24"/>
          <w:szCs w:val="24"/>
          <w:lang w:val="en-US" w:eastAsia="zh-CN" w:bidi="ar-SA"/>
        </w:rPr>
        <w:t>由谈判小组对供应商资格进行审查</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28.1.1谈判响应书及样品</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谈判开始前，谈判小组将认真审查供应商提交的谈判响应书，了解其与谈判文件要求是否有偏离，并对照本谈判文件规定评判供应商是否合格。审查完谈判响应书后，对合格供应商提供的样品（如有）进行检验。</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28.2谈判</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28.2.1在掌握了供应商谈判响应书及样品的基本情况后，谈判小组将逐一与供应商分别进行谈判。谈判将采取N轮谈判、1轮报价（且为最后报价）的方式进行，</w:t>
      </w:r>
      <w:r>
        <w:rPr>
          <w:rStyle w:val="62"/>
          <w:rFonts w:hint="eastAsia" w:ascii="宋体" w:hAnsi="宋体" w:eastAsia="宋体" w:cs="宋体"/>
          <w:b/>
          <w:color w:val="000000"/>
          <w:kern w:val="2"/>
          <w:sz w:val="24"/>
          <w:szCs w:val="24"/>
          <w:lang w:val="en-US" w:eastAsia="zh-CN" w:bidi="ar-SA"/>
        </w:rPr>
        <w:t>谈判响应书中必须填写报价表，</w:t>
      </w:r>
      <w:r>
        <w:rPr>
          <w:rStyle w:val="62"/>
          <w:rFonts w:hint="eastAsia" w:ascii="宋体" w:hAnsi="宋体" w:eastAsia="宋体" w:cs="宋体"/>
          <w:color w:val="000000"/>
          <w:kern w:val="2"/>
          <w:sz w:val="24"/>
          <w:szCs w:val="24"/>
          <w:lang w:val="en-US" w:eastAsia="zh-CN" w:bidi="ar-SA"/>
        </w:rPr>
        <w:t xml:space="preserve">但并非最后报价。 </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28.2.2在谈判过程中，谈判小组可以根据谈判文件和谈判情况实质性变动采购需求中的技术、服务要求以及合同草案条款，实质性变动内容是谈判文件的有效组成部分。实质性变动的内容，经采购人代表确认。</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对谈判文件作出的实质性变动是谈判文件的有效组成部分，谈判小组应当及时以书面形式同时通知所有参加谈判的供应商。</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供应商应当按照谈判文件的变动情况和谈判小组的要求重新提交响应文件，并由供应商加盖公章。</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29、最后报价</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29.1谈判结束后，谈判小组要求所有继续参加谈判的供应商在规定的时间内提交最后报价（如谈判过程中没有增加货物、工程数量或服务要求的，则二次报价时不得高于谈判响应书中的报价），</w:t>
      </w:r>
      <w:r>
        <w:rPr>
          <w:rStyle w:val="62"/>
          <w:rFonts w:hint="eastAsia" w:ascii="宋体" w:hAnsi="宋体" w:eastAsia="宋体" w:cs="宋体"/>
          <w:color w:val="000000"/>
          <w:kern w:val="0"/>
          <w:sz w:val="24"/>
          <w:szCs w:val="24"/>
          <w:lang w:val="en-US" w:eastAsia="zh-CN" w:bidi="ar-SA"/>
        </w:rPr>
        <w:t>最后报价表由</w:t>
      </w:r>
      <w:r>
        <w:rPr>
          <w:rStyle w:val="62"/>
          <w:rFonts w:hint="eastAsia" w:ascii="宋体" w:hAnsi="宋体" w:cs="宋体"/>
          <w:color w:val="000000"/>
          <w:kern w:val="0"/>
          <w:sz w:val="24"/>
          <w:szCs w:val="24"/>
          <w:lang w:val="en-US" w:eastAsia="zh-CN" w:bidi="ar-SA"/>
        </w:rPr>
        <w:t>投标供应商</w:t>
      </w:r>
      <w:r>
        <w:rPr>
          <w:rStyle w:val="62"/>
          <w:rFonts w:hint="eastAsia" w:ascii="宋体" w:hAnsi="宋体" w:eastAsia="宋体" w:cs="宋体"/>
          <w:color w:val="000000"/>
          <w:kern w:val="0"/>
          <w:sz w:val="24"/>
          <w:szCs w:val="24"/>
          <w:lang w:val="en-US" w:eastAsia="zh-CN" w:bidi="ar-SA"/>
        </w:rPr>
        <w:t>自行携带，</w:t>
      </w:r>
      <w:r>
        <w:rPr>
          <w:rStyle w:val="62"/>
          <w:rFonts w:hint="eastAsia" w:ascii="宋体" w:hAnsi="宋体" w:cs="宋体"/>
          <w:color w:val="000000"/>
          <w:kern w:val="0"/>
          <w:sz w:val="24"/>
          <w:szCs w:val="24"/>
          <w:lang w:val="en-US" w:eastAsia="zh-CN" w:bidi="ar-SA"/>
        </w:rPr>
        <w:t>投标供应商</w:t>
      </w:r>
      <w:r>
        <w:rPr>
          <w:rStyle w:val="62"/>
          <w:rFonts w:hint="eastAsia" w:ascii="宋体" w:hAnsi="宋体" w:eastAsia="宋体" w:cs="宋体"/>
          <w:color w:val="000000"/>
          <w:kern w:val="0"/>
          <w:sz w:val="24"/>
          <w:szCs w:val="24"/>
          <w:lang w:val="en-US" w:eastAsia="zh-CN" w:bidi="ar-SA"/>
        </w:rPr>
        <w:t>现场填报。</w:t>
      </w:r>
      <w:r>
        <w:rPr>
          <w:rStyle w:val="62"/>
          <w:rFonts w:hint="eastAsia" w:ascii="宋体" w:hAnsi="宋体" w:eastAsia="宋体" w:cs="宋体"/>
          <w:color w:val="000000"/>
          <w:kern w:val="2"/>
          <w:sz w:val="24"/>
          <w:szCs w:val="24"/>
          <w:lang w:val="en-US" w:eastAsia="zh-CN" w:bidi="ar-SA"/>
        </w:rPr>
        <w:t>二次报价或者最后报价时仅报出总价，中标后，其单价部分按最后报价总价下降幅度同比例下降。</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29.2响应报价超过项目预算控制数或不按规定格式进行报价的属于无效响应。</w:t>
      </w:r>
    </w:p>
    <w:p>
      <w:pPr>
        <w:snapToGrid w:val="0"/>
        <w:spacing w:line="360" w:lineRule="auto"/>
        <w:ind w:firstLine="480" w:firstLineChars="200"/>
        <w:jc w:val="both"/>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29.3成交候选人</w:t>
      </w:r>
    </w:p>
    <w:p>
      <w:pPr>
        <w:snapToGrid w:val="0"/>
        <w:spacing w:line="360" w:lineRule="auto"/>
        <w:ind w:firstLine="480"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谈判小组从质量和服务均能满足谈判文件实质性响应要求的供应商中，按照最后报价由低到高的顺序提出成交候选人，并编写评审报告。</w:t>
      </w:r>
      <w:r>
        <w:rPr>
          <w:rStyle w:val="62"/>
          <w:rFonts w:hint="eastAsia" w:ascii="宋体" w:hAnsi="宋体" w:eastAsia="宋体" w:cs="宋体"/>
          <w:b/>
          <w:color w:val="000000"/>
          <w:kern w:val="2"/>
          <w:sz w:val="24"/>
          <w:szCs w:val="24"/>
          <w:lang w:val="en-US" w:eastAsia="zh-CN" w:bidi="ar-SA"/>
        </w:rPr>
        <w:t>如最后报价相同，则由投标供应商在相关部门的监督下现场抽签决定排序。</w:t>
      </w:r>
    </w:p>
    <w:p>
      <w:pPr>
        <w:snapToGrid w:val="0"/>
        <w:spacing w:line="360" w:lineRule="auto"/>
        <w:ind w:firstLine="482" w:firstLineChars="20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30、异常情况处理</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谈判时出现以下情况之一的，将重新组织谈判：</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30.1经过谈判，供应商所提供的货物服务仍无法满足谈判文件实质性要求、影响工作的；</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30.2提交最后报价的供应商不足三家的。</w:t>
      </w:r>
    </w:p>
    <w:p>
      <w:pPr>
        <w:snapToGrid w:val="0"/>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30.3出现影响采购公正的违法、违规行为的。</w:t>
      </w:r>
    </w:p>
    <w:p>
      <w:pPr>
        <w:spacing w:line="360" w:lineRule="auto"/>
        <w:ind w:firstLine="482" w:firstLineChars="200"/>
        <w:jc w:val="both"/>
        <w:textAlignment w:val="baseline"/>
        <w:rPr>
          <w:rStyle w:val="62"/>
          <w:rFonts w:hint="eastAsia" w:ascii="宋体" w:hAnsi="宋体" w:eastAsia="宋体" w:cs="宋体"/>
          <w:b/>
          <w:bCs/>
          <w:color w:val="000000"/>
          <w:kern w:val="0"/>
          <w:sz w:val="24"/>
          <w:szCs w:val="24"/>
          <w:lang w:val="en-US" w:eastAsia="zh-CN" w:bidi="ar-SA"/>
        </w:rPr>
      </w:pPr>
      <w:r>
        <w:rPr>
          <w:rStyle w:val="62"/>
          <w:rFonts w:hint="eastAsia" w:ascii="宋体" w:hAnsi="宋体" w:eastAsia="宋体" w:cs="宋体"/>
          <w:b/>
          <w:bCs/>
          <w:color w:val="000000"/>
          <w:kern w:val="2"/>
          <w:sz w:val="24"/>
          <w:szCs w:val="24"/>
          <w:lang w:val="en-US" w:eastAsia="zh-CN" w:bidi="ar-SA"/>
        </w:rPr>
        <w:t>31、</w:t>
      </w:r>
      <w:r>
        <w:rPr>
          <w:rStyle w:val="62"/>
          <w:rFonts w:hint="eastAsia" w:ascii="宋体" w:hAnsi="宋体" w:eastAsia="宋体" w:cs="宋体"/>
          <w:b/>
          <w:bCs/>
          <w:color w:val="000000"/>
          <w:kern w:val="0"/>
          <w:sz w:val="24"/>
          <w:szCs w:val="24"/>
          <w:lang w:val="en-US" w:eastAsia="zh-CN" w:bidi="ar-SA"/>
        </w:rPr>
        <w:t>中标通知书</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中标人确定后,由采购人向中标人发出中标通知书。中标通知书对采购人和中标人具有同等法律效力。</w:t>
      </w:r>
    </w:p>
    <w:p>
      <w:pPr>
        <w:pStyle w:val="21"/>
        <w:keepNext/>
        <w:keepLines/>
        <w:widowControl/>
        <w:spacing w:before="260" w:after="260" w:line="360" w:lineRule="auto"/>
        <w:jc w:val="center"/>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（八）废标</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32、在招标采购中，出现下列情形之一的，本项目废标：</w:t>
      </w:r>
    </w:p>
    <w:p>
      <w:pPr>
        <w:spacing w:line="360" w:lineRule="auto"/>
        <w:ind w:firstLine="523" w:firstLineChars="218"/>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32.1合格供应商不足规定家数的；</w:t>
      </w:r>
    </w:p>
    <w:p>
      <w:pPr>
        <w:spacing w:line="360" w:lineRule="auto"/>
        <w:ind w:firstLine="523" w:firstLineChars="218"/>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 xml:space="preserve">32.2出现影响采购公正的违法、违规行为的； </w:t>
      </w:r>
    </w:p>
    <w:p>
      <w:pPr>
        <w:spacing w:line="360" w:lineRule="auto"/>
        <w:ind w:firstLine="523" w:firstLineChars="218"/>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32.3采购需求出现重大问题，导致评标委员会认为无法继续评审的；</w:t>
      </w:r>
    </w:p>
    <w:p>
      <w:pPr>
        <w:spacing w:line="360" w:lineRule="auto"/>
        <w:ind w:firstLine="523" w:firstLineChars="218"/>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32.4因重大变故，采购任务取消的。</w:t>
      </w:r>
    </w:p>
    <w:p>
      <w:pPr>
        <w:spacing w:line="360" w:lineRule="auto"/>
        <w:ind w:firstLine="523" w:firstLineChars="218"/>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32.5法律法规规定的其他应该废标的情形。</w:t>
      </w:r>
    </w:p>
    <w:p>
      <w:pPr>
        <w:pStyle w:val="21"/>
        <w:keepNext/>
        <w:keepLines/>
        <w:widowControl/>
        <w:spacing w:before="260" w:after="260" w:line="360" w:lineRule="auto"/>
        <w:jc w:val="center"/>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（九）评标办法</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最低评标价法，以价格为主要因素确定中标候选供应商的评标方法。报价相同时，则由投标供应商在相关部门的监督下现场抽签决定排序，若有投标供应商不能及时参加现场抽签的，则由采购人或采购代理机构在现场监督下代为抽取，不论何种理由不能参加现场抽签的</w:t>
      </w:r>
      <w:r>
        <w:rPr>
          <w:rStyle w:val="62"/>
          <w:rFonts w:hint="eastAsia" w:cs="宋体"/>
          <w:color w:val="000000"/>
          <w:sz w:val="24"/>
          <w:szCs w:val="24"/>
          <w:lang w:val="en-US" w:eastAsia="zh-CN" w:bidi="ar-SA"/>
        </w:rPr>
        <w:t>投标供应商</w:t>
      </w:r>
      <w:r>
        <w:rPr>
          <w:rStyle w:val="62"/>
          <w:rFonts w:hint="eastAsia" w:ascii="宋体" w:hAnsi="宋体" w:eastAsia="宋体" w:cs="宋体"/>
          <w:color w:val="000000"/>
          <w:sz w:val="24"/>
          <w:szCs w:val="24"/>
          <w:lang w:val="en-US" w:eastAsia="zh-CN" w:bidi="ar-SA"/>
        </w:rPr>
        <w:t>应无条件认可抽签结果。</w:t>
      </w:r>
    </w:p>
    <w:p>
      <w:pPr>
        <w:snapToGrid w:val="0"/>
        <w:spacing w:line="360" w:lineRule="auto"/>
        <w:ind w:right="-10" w:firstLine="480"/>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33、评标程序</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评委会应认真研究谈判文件及采购需求，应了解和熟悉招标项目的范围、性质、特征主要技术服务要求及标准、评审标准等相关内容：</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33.1</w:t>
      </w:r>
      <w:r>
        <w:rPr>
          <w:rStyle w:val="62"/>
          <w:rFonts w:hint="eastAsia" w:ascii="宋体" w:hAnsi="宋体" w:eastAsia="宋体" w:cs="宋体"/>
          <w:color w:val="000000"/>
          <w:sz w:val="24"/>
          <w:szCs w:val="24"/>
          <w:lang w:val="en-US" w:eastAsia="zh-CN" w:bidi="ar-SA"/>
        </w:rPr>
        <w:t>评标委员会成员对响应文件有效性进行评审。</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 xml:space="preserve">33.2 </w:t>
      </w:r>
      <w:r>
        <w:rPr>
          <w:rStyle w:val="62"/>
          <w:rFonts w:hint="eastAsia" w:ascii="宋体" w:hAnsi="宋体" w:eastAsia="宋体" w:cs="宋体"/>
          <w:color w:val="000000"/>
          <w:sz w:val="24"/>
          <w:szCs w:val="24"/>
          <w:lang w:val="en-US" w:eastAsia="zh-CN" w:bidi="ar-SA"/>
        </w:rPr>
        <w:t>先进行有效性评审，评标委员会根据响应文件，推荐有排序的预中标候选人，并形成评标报告。</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33.2.1评委会发现供应商的谈判响应文件中对同类问题表述不一致、前后矛盾、有明显文字和计算错误的内容、有可能不符合谈判文件规定等情况需要澄清时，评委会将以询标的方式告知并要求供应商现场书面方式进行必要的澄清、说明或补正。对否定的竞争性谈判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询标函格式如下：</w:t>
      </w:r>
    </w:p>
    <w:tbl>
      <w:tblPr>
        <w:tblStyle w:val="12"/>
        <w:tblW w:w="84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4"/>
        <w:gridCol w:w="5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984"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项目名称</w:t>
            </w:r>
          </w:p>
        </w:tc>
        <w:tc>
          <w:tcPr>
            <w:tcW w:w="5475"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2984"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项目编号</w:t>
            </w:r>
          </w:p>
        </w:tc>
        <w:tc>
          <w:tcPr>
            <w:tcW w:w="5475"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2984"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评标委员会询标内容</w:t>
            </w:r>
          </w:p>
        </w:tc>
        <w:tc>
          <w:tcPr>
            <w:tcW w:w="5475"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1" w:hRule="atLeast"/>
        </w:trPr>
        <w:tc>
          <w:tcPr>
            <w:tcW w:w="2984"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投标供应商澄清说明</w:t>
            </w:r>
          </w:p>
        </w:tc>
        <w:tc>
          <w:tcPr>
            <w:tcW w:w="5475"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textAlignment w:val="baseline"/>
              <w:rPr>
                <w:rStyle w:val="62"/>
                <w:rFonts w:hint="eastAsia" w:ascii="宋体" w:hAnsi="宋体" w:eastAsia="宋体" w:cs="宋体"/>
                <w:color w:val="000000"/>
                <w:sz w:val="24"/>
                <w:szCs w:val="24"/>
                <w:lang w:val="en-US" w:eastAsia="zh-CN" w:bidi="ar-SA"/>
              </w:rPr>
            </w:pPr>
          </w:p>
          <w:p>
            <w:pPr>
              <w:pStyle w:val="47"/>
              <w:spacing w:line="360" w:lineRule="auto"/>
              <w:textAlignment w:val="baseline"/>
              <w:rPr>
                <w:rStyle w:val="62"/>
                <w:rFonts w:hint="eastAsia" w:ascii="宋体" w:hAnsi="宋体" w:eastAsia="宋体" w:cs="宋体"/>
                <w:color w:val="000000"/>
                <w:sz w:val="24"/>
                <w:szCs w:val="24"/>
                <w:lang w:val="en-US" w:eastAsia="zh-CN" w:bidi="ar-SA"/>
              </w:rPr>
            </w:pPr>
          </w:p>
          <w:p>
            <w:pPr>
              <w:widowControl/>
              <w:spacing w:line="360" w:lineRule="auto"/>
              <w:jc w:val="left"/>
              <w:textAlignment w:val="baseline"/>
              <w:rPr>
                <w:rStyle w:val="62"/>
                <w:rFonts w:hint="eastAsia" w:ascii="宋体" w:hAnsi="宋体" w:eastAsia="宋体" w:cs="宋体"/>
                <w:color w:val="000000"/>
                <w:kern w:val="0"/>
                <w:sz w:val="24"/>
                <w:szCs w:val="24"/>
                <w:lang w:val="en-US" w:eastAsia="zh-CN"/>
              </w:rPr>
            </w:pPr>
          </w:p>
          <w:p>
            <w:pPr>
              <w:widowControl/>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cs="宋体"/>
                <w:color w:val="000000"/>
                <w:kern w:val="0"/>
                <w:sz w:val="24"/>
                <w:szCs w:val="24"/>
                <w:lang w:val="en-US" w:eastAsia="zh-CN"/>
              </w:rPr>
              <w:t>投标供应商</w:t>
            </w:r>
            <w:r>
              <w:rPr>
                <w:rStyle w:val="62"/>
                <w:rFonts w:hint="eastAsia" w:ascii="宋体" w:hAnsi="宋体" w:eastAsia="宋体" w:cs="宋体"/>
                <w:color w:val="000000"/>
                <w:kern w:val="0"/>
                <w:sz w:val="24"/>
                <w:szCs w:val="24"/>
                <w:lang w:val="en-US" w:eastAsia="zh-CN"/>
              </w:rPr>
              <w:t xml:space="preserve">签章： </w:t>
            </w:r>
          </w:p>
          <w:p>
            <w:pPr>
              <w:pStyle w:val="47"/>
              <w:spacing w:line="360" w:lineRule="auto"/>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 xml:space="preserve">                        </w:t>
            </w:r>
            <w:r>
              <w:rPr>
                <w:rStyle w:val="62"/>
                <w:rFonts w:hint="eastAsia" w:ascii="宋体" w:hAnsi="宋体" w:eastAsia="宋体" w:cs="宋体"/>
                <w:color w:val="000000"/>
                <w:sz w:val="24"/>
                <w:szCs w:val="24"/>
                <w:lang w:val="en-US" w:eastAsia="zh-CN"/>
              </w:rPr>
              <w:t xml:space="preserve">   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2984" w:type="dxa"/>
            <w:tcBorders>
              <w:top w:val="single" w:color="000000" w:sz="4" w:space="0"/>
              <w:left w:val="single" w:color="000000" w:sz="4" w:space="0"/>
              <w:bottom w:val="single" w:color="000000" w:sz="4" w:space="0"/>
              <w:right w:val="single" w:color="000000" w:sz="4" w:space="0"/>
            </w:tcBorders>
            <w:vAlign w:val="center"/>
          </w:tcPr>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审查结论</w:t>
            </w:r>
          </w:p>
          <w:p>
            <w:pPr>
              <w:pStyle w:val="47"/>
              <w:spacing w:line="360" w:lineRule="auto"/>
              <w:jc w:val="center"/>
              <w:textAlignment w:val="baseline"/>
              <w:rPr>
                <w:rStyle w:val="62"/>
                <w:rFonts w:hint="eastAsia" w:ascii="宋体" w:hAnsi="宋体" w:eastAsia="宋体" w:cs="宋体"/>
                <w:color w:val="000000"/>
                <w:sz w:val="24"/>
                <w:szCs w:val="24"/>
                <w:lang w:val="en-US" w:eastAsia="zh-CN" w:bidi="ar-SA"/>
              </w:rPr>
            </w:pPr>
          </w:p>
        </w:tc>
        <w:tc>
          <w:tcPr>
            <w:tcW w:w="547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0"/>
                <w:sz w:val="24"/>
                <w:szCs w:val="24"/>
                <w:lang w:val="en-US" w:eastAsia="zh-CN"/>
              </w:rPr>
              <w:t xml:space="preserve">□通过。 </w:t>
            </w:r>
          </w:p>
          <w:p>
            <w:pPr>
              <w:widowControl/>
              <w:spacing w:line="360" w:lineRule="auto"/>
              <w:jc w:val="left"/>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0"/>
                <w:sz w:val="24"/>
                <w:szCs w:val="24"/>
                <w:lang w:val="en-US" w:eastAsia="zh-CN"/>
              </w:rPr>
              <w:t>□不通过。</w:t>
            </w:r>
          </w:p>
          <w:p>
            <w:pPr>
              <w:pStyle w:val="47"/>
              <w:spacing w:line="360" w:lineRule="auto"/>
              <w:jc w:val="both"/>
              <w:textAlignment w:val="baseline"/>
              <w:rPr>
                <w:rStyle w:val="62"/>
                <w:rFonts w:hint="eastAsia" w:ascii="宋体" w:hAnsi="宋体" w:eastAsia="宋体" w:cs="宋体"/>
                <w:color w:val="000000"/>
                <w:sz w:val="24"/>
                <w:szCs w:val="24"/>
                <w:lang w:val="en-US" w:eastAsia="zh-CN"/>
              </w:rPr>
            </w:pPr>
            <w:r>
              <w:rPr>
                <w:rStyle w:val="62"/>
                <w:rFonts w:hint="eastAsia" w:ascii="宋体" w:hAnsi="宋体" w:eastAsia="宋体" w:cs="宋体"/>
                <w:color w:val="000000"/>
                <w:sz w:val="24"/>
                <w:szCs w:val="24"/>
                <w:lang w:val="en-US" w:eastAsia="zh-CN"/>
              </w:rPr>
              <w:t>原因：</w:t>
            </w:r>
          </w:p>
          <w:p>
            <w:pPr>
              <w:pStyle w:val="47"/>
              <w:spacing w:line="360" w:lineRule="auto"/>
              <w:jc w:val="both"/>
              <w:textAlignment w:val="baseline"/>
              <w:rPr>
                <w:rStyle w:val="62"/>
                <w:rFonts w:hint="eastAsia" w:ascii="宋体" w:hAnsi="宋体" w:eastAsia="宋体" w:cs="宋体"/>
                <w:color w:val="000000"/>
                <w:sz w:val="24"/>
                <w:szCs w:val="24"/>
                <w:lang w:val="en-US" w:eastAsia="zh-CN"/>
              </w:rPr>
            </w:pPr>
          </w:p>
          <w:p>
            <w:pPr>
              <w:pStyle w:val="47"/>
              <w:spacing w:line="360" w:lineRule="auto"/>
              <w:jc w:val="both"/>
              <w:textAlignment w:val="baseline"/>
              <w:rPr>
                <w:rStyle w:val="62"/>
                <w:rFonts w:hint="eastAsia" w:ascii="宋体" w:hAnsi="宋体" w:eastAsia="宋体" w:cs="宋体"/>
                <w:color w:val="000000"/>
                <w:sz w:val="24"/>
                <w:szCs w:val="24"/>
                <w:lang w:val="en-US" w:eastAsia="zh-CN"/>
              </w:rPr>
            </w:pPr>
          </w:p>
        </w:tc>
      </w:tr>
    </w:tbl>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33.2.2评审报告是评标委员会根据全体评标成员签字的原始评标记录和评标结果编写的报告，评标委员会全体成员、监督人员、公证人员均须在评审报告上签字。评审报告应如实记录本次评标的主要过程，全面反映评标过程中的各种不同的意见，以及其他澄清、说明、补正事项。</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33.2.3评标委员会在评标过程中发现的问题，应当区别情形及时作出处理。</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33.2.4评标委员会认为供应商的报价明显低于其他通过符合性审查供应商的报价，有可能影响产品质量或者不能诚信履约的，</w:t>
      </w:r>
      <w:r>
        <w:rPr>
          <w:rStyle w:val="62"/>
          <w:rFonts w:hint="eastAsia" w:ascii="宋体" w:hAnsi="宋体" w:eastAsia="宋体" w:cs="宋体"/>
          <w:bCs/>
          <w:color w:val="000000"/>
          <w:sz w:val="24"/>
          <w:szCs w:val="24"/>
          <w:lang w:val="en-US" w:eastAsia="zh-CN" w:bidi="ar-SA"/>
        </w:rPr>
        <w:t>应当要求其在合理的时间内书面提供说明</w:t>
      </w:r>
      <w:r>
        <w:rPr>
          <w:rStyle w:val="62"/>
          <w:rFonts w:hint="eastAsia" w:ascii="宋体" w:hAnsi="宋体" w:eastAsia="宋体" w:cs="宋体"/>
          <w:color w:val="000000"/>
          <w:sz w:val="24"/>
          <w:szCs w:val="24"/>
          <w:lang w:val="en-US" w:eastAsia="zh-CN" w:bidi="ar-SA"/>
        </w:rPr>
        <w:t>，必要时提交相关证明材料；供应商不能证明其报价合理性的，评标委员会应当将其作为无效投标处理。</w:t>
      </w:r>
    </w:p>
    <w:p>
      <w:pPr>
        <w:pStyle w:val="47"/>
        <w:spacing w:line="360" w:lineRule="auto"/>
        <w:ind w:firstLine="482" w:firstLineChars="200"/>
        <w:jc w:val="both"/>
        <w:textAlignment w:val="baseline"/>
        <w:rPr>
          <w:rStyle w:val="62"/>
          <w:rFonts w:hint="eastAsia" w:ascii="宋体" w:hAnsi="宋体" w:eastAsia="宋体" w:cs="宋体"/>
          <w:b/>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33.2.5如谈判文件中要求提供原件进行审查的，各供应商应按谈判文件要求将相关原件材料等带到采购代理机构（开标现场）在开标截止时间前一并递交，迟交将不接收。相关原件的复印件或影印件应当加盖公章装订入谈判响应文件，由评标专家进行评审。</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2"/>
          <w:sz w:val="24"/>
          <w:szCs w:val="24"/>
          <w:lang w:val="en-US" w:eastAsia="zh-CN" w:bidi="ar-SA"/>
        </w:rPr>
        <w:t>33.2.</w:t>
      </w:r>
      <w:r>
        <w:rPr>
          <w:rStyle w:val="62"/>
          <w:rFonts w:hint="eastAsia" w:ascii="宋体" w:hAnsi="宋体" w:eastAsia="宋体" w:cs="宋体"/>
          <w:color w:val="000000"/>
          <w:kern w:val="0"/>
          <w:sz w:val="24"/>
          <w:szCs w:val="24"/>
          <w:lang w:val="en-US" w:eastAsia="zh-CN" w:bidi="ar-SA"/>
        </w:rPr>
        <w:t>6</w:t>
      </w:r>
      <w:r>
        <w:rPr>
          <w:rStyle w:val="62"/>
          <w:rFonts w:hint="eastAsia" w:ascii="宋体" w:hAnsi="宋体" w:eastAsia="宋体" w:cs="宋体"/>
          <w:color w:val="000000"/>
          <w:kern w:val="2"/>
          <w:sz w:val="24"/>
          <w:szCs w:val="24"/>
          <w:lang w:val="en-US" w:eastAsia="zh-CN" w:bidi="ar-SA"/>
        </w:rPr>
        <w:t>评标委员会</w:t>
      </w:r>
      <w:r>
        <w:rPr>
          <w:rStyle w:val="62"/>
          <w:rFonts w:hint="eastAsia" w:ascii="宋体" w:hAnsi="宋体" w:eastAsia="宋体" w:cs="宋体"/>
          <w:color w:val="000000"/>
          <w:kern w:val="0"/>
          <w:sz w:val="24"/>
          <w:szCs w:val="24"/>
          <w:lang w:val="en-US" w:eastAsia="zh-CN" w:bidi="ar-SA"/>
        </w:rPr>
        <w:t>评审谈判响应文件依据为谈判响应文件以及按谈判文件要求递交的其它资料。</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33.2.7评标委员会和评标工作人员应严格遵守国家的法律、法规和规章制度；严格按照本次谈判文件进行评标；公正廉洁、不徇私情，不得损害国家利益；保护采购人、供应商的合法权益。</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33.3评标委员会发现谈判文件内容违反国家有关强制性规定的，应当停止评审并向采购人及集中采购代理机构说明情况。</w:t>
      </w:r>
    </w:p>
    <w:p>
      <w:pPr>
        <w:pStyle w:val="47"/>
        <w:spacing w:line="360" w:lineRule="auto"/>
        <w:ind w:firstLine="480" w:firstLineChars="200"/>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33.4</w:t>
      </w:r>
      <w:r>
        <w:rPr>
          <w:rStyle w:val="62"/>
          <w:rFonts w:hint="eastAsia" w:cs="宋体"/>
          <w:color w:val="000000"/>
          <w:kern w:val="0"/>
          <w:sz w:val="24"/>
          <w:szCs w:val="24"/>
          <w:lang w:val="en-US" w:eastAsia="zh-CN" w:bidi="ar-SA"/>
        </w:rPr>
        <w:t>投标供应商</w:t>
      </w:r>
      <w:r>
        <w:rPr>
          <w:rStyle w:val="62"/>
          <w:rFonts w:hint="eastAsia" w:ascii="宋体" w:hAnsi="宋体" w:eastAsia="宋体" w:cs="宋体"/>
          <w:color w:val="000000"/>
          <w:kern w:val="0"/>
          <w:sz w:val="24"/>
          <w:szCs w:val="24"/>
          <w:lang w:val="en-US" w:eastAsia="zh-CN" w:bidi="ar-SA"/>
        </w:rPr>
        <w:t xml:space="preserve">存在以下不良信用记录情形之一,不得推荐为中标候选人: </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(1)</w:t>
      </w:r>
      <w:r>
        <w:rPr>
          <w:rStyle w:val="62"/>
          <w:rFonts w:hint="eastAsia" w:ascii="宋体" w:hAnsi="宋体" w:cs="宋体"/>
          <w:color w:val="000000"/>
          <w:kern w:val="0"/>
          <w:sz w:val="24"/>
          <w:szCs w:val="24"/>
          <w:lang w:eastAsia="zh-CN"/>
        </w:rPr>
        <w:t>投标供应商</w:t>
      </w:r>
      <w:r>
        <w:rPr>
          <w:rStyle w:val="62"/>
          <w:rFonts w:hint="eastAsia" w:ascii="宋体" w:hAnsi="宋体" w:eastAsia="宋体" w:cs="宋体"/>
          <w:color w:val="000000"/>
          <w:kern w:val="0"/>
          <w:sz w:val="24"/>
          <w:szCs w:val="24"/>
        </w:rPr>
        <w:t>被人民法院列入失信被执行人的；</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(2)供应商或其法定代表人</w:t>
      </w:r>
      <w:r>
        <w:rPr>
          <w:rStyle w:val="62"/>
          <w:rFonts w:hint="eastAsia" w:ascii="宋体" w:hAnsi="宋体" w:eastAsia="宋体" w:cs="宋体"/>
          <w:color w:val="000000"/>
          <w:kern w:val="0"/>
          <w:sz w:val="24"/>
          <w:szCs w:val="24"/>
          <w:lang w:val="en-US" w:eastAsia="zh-CN"/>
        </w:rPr>
        <w:t>近三年内</w:t>
      </w:r>
      <w:r>
        <w:rPr>
          <w:rStyle w:val="62"/>
          <w:rFonts w:hint="eastAsia" w:ascii="宋体" w:hAnsi="宋体" w:eastAsia="宋体" w:cs="宋体"/>
          <w:color w:val="000000"/>
          <w:kern w:val="0"/>
          <w:sz w:val="24"/>
          <w:szCs w:val="24"/>
        </w:rPr>
        <w:t xml:space="preserve">被人民检察院列入行贿犯罪档案的； </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(3)</w:t>
      </w:r>
      <w:r>
        <w:rPr>
          <w:rStyle w:val="62"/>
          <w:rFonts w:hint="eastAsia" w:ascii="宋体" w:hAnsi="宋体" w:cs="宋体"/>
          <w:color w:val="000000"/>
          <w:kern w:val="0"/>
          <w:sz w:val="24"/>
          <w:szCs w:val="24"/>
          <w:lang w:eastAsia="zh-CN"/>
        </w:rPr>
        <w:t>投标供应商</w:t>
      </w:r>
      <w:r>
        <w:rPr>
          <w:rStyle w:val="62"/>
          <w:rFonts w:hint="eastAsia" w:ascii="宋体" w:hAnsi="宋体" w:eastAsia="宋体" w:cs="宋体"/>
          <w:color w:val="000000"/>
          <w:kern w:val="0"/>
          <w:sz w:val="24"/>
          <w:szCs w:val="24"/>
        </w:rPr>
        <w:t>被工商行政管理部门列入企业经营异常名录的；</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(4)</w:t>
      </w:r>
      <w:r>
        <w:rPr>
          <w:rStyle w:val="62"/>
          <w:rFonts w:hint="eastAsia" w:ascii="宋体" w:hAnsi="宋体" w:cs="宋体"/>
          <w:color w:val="000000"/>
          <w:kern w:val="0"/>
          <w:sz w:val="24"/>
          <w:szCs w:val="24"/>
          <w:lang w:eastAsia="zh-CN"/>
        </w:rPr>
        <w:t>投标供应商</w:t>
      </w:r>
      <w:r>
        <w:rPr>
          <w:rStyle w:val="62"/>
          <w:rFonts w:hint="eastAsia" w:ascii="宋体" w:hAnsi="宋体" w:eastAsia="宋体" w:cs="宋体"/>
          <w:color w:val="000000"/>
          <w:kern w:val="0"/>
          <w:sz w:val="24"/>
          <w:szCs w:val="24"/>
        </w:rPr>
        <w:t>被税务部门列入重大税收违法案件当事人名单的；</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(5)</w:t>
      </w:r>
      <w:r>
        <w:rPr>
          <w:rStyle w:val="62"/>
          <w:rFonts w:hint="eastAsia" w:ascii="宋体" w:hAnsi="宋体" w:cs="宋体"/>
          <w:color w:val="000000"/>
          <w:kern w:val="0"/>
          <w:sz w:val="24"/>
          <w:szCs w:val="24"/>
          <w:lang w:eastAsia="zh-CN"/>
        </w:rPr>
        <w:t>投标供应商</w:t>
      </w:r>
      <w:r>
        <w:rPr>
          <w:rStyle w:val="62"/>
          <w:rFonts w:hint="eastAsia" w:ascii="宋体" w:hAnsi="宋体" w:eastAsia="宋体" w:cs="宋体"/>
          <w:color w:val="000000"/>
          <w:kern w:val="0"/>
          <w:sz w:val="24"/>
          <w:szCs w:val="24"/>
        </w:rPr>
        <w:t>被政府采购监管部门列入政府采购严重违法失信行为记录名单的。</w:t>
      </w:r>
    </w:p>
    <w:p>
      <w:pPr>
        <w:pStyle w:val="28"/>
        <w:widowControl/>
        <w:spacing w:line="360" w:lineRule="auto"/>
        <w:ind w:firstLine="480" w:firstLineChars="200"/>
        <w:contextualSpacing/>
        <w:textAlignment w:val="baseline"/>
        <w:rPr>
          <w:rStyle w:val="62"/>
          <w:rFonts w:hint="eastAsia" w:ascii="宋体" w:hAnsi="宋体" w:eastAsia="宋体" w:cs="宋体"/>
          <w:color w:val="000000"/>
          <w:kern w:val="0"/>
          <w:sz w:val="24"/>
          <w:szCs w:val="24"/>
        </w:rPr>
      </w:pPr>
      <w:r>
        <w:rPr>
          <w:rStyle w:val="62"/>
          <w:rFonts w:hint="eastAsia" w:ascii="宋体" w:hAnsi="宋体" w:eastAsia="宋体" w:cs="宋体"/>
          <w:color w:val="000000"/>
          <w:kern w:val="0"/>
          <w:sz w:val="24"/>
          <w:szCs w:val="24"/>
        </w:rPr>
        <w:t>以上情形第（1）（3）（4）（5）条以“信用中国”（http://www.creditchina.gov.cn）或其他指定媒介[国家税务总局网站（www.chinatax.gov.cn）、中国政府采购网（www.ccgp.gov.cn）、最高人民法院网站（www.court.gov.cn）、国家企业信用信息公示系统网站（www.gsxt.gov.cn）</w:t>
      </w:r>
      <w:r>
        <w:rPr>
          <w:rStyle w:val="62"/>
          <w:rFonts w:hint="eastAsia" w:ascii="宋体" w:hAnsi="宋体" w:eastAsia="宋体" w:cs="宋体"/>
          <w:color w:val="000000"/>
          <w:kern w:val="0"/>
          <w:sz w:val="24"/>
          <w:szCs w:val="24"/>
          <w:lang w:eastAsia="zh-CN"/>
        </w:rPr>
        <w:t>、</w:t>
      </w:r>
      <w:r>
        <w:rPr>
          <w:rStyle w:val="62"/>
          <w:rFonts w:hint="eastAsia" w:ascii="宋体" w:hAnsi="宋体" w:eastAsia="宋体" w:cs="宋体"/>
          <w:color w:val="000000"/>
          <w:kern w:val="0"/>
          <w:sz w:val="24"/>
          <w:szCs w:val="24"/>
        </w:rPr>
        <w:t>中国裁判文书网（wenshu.court.gov.cn）</w:t>
      </w:r>
      <w:r>
        <w:rPr>
          <w:rStyle w:val="62"/>
          <w:rFonts w:hint="eastAsia" w:ascii="宋体" w:hAnsi="宋体" w:eastAsia="宋体" w:cs="宋体"/>
          <w:color w:val="000000"/>
          <w:kern w:val="0"/>
          <w:sz w:val="24"/>
          <w:szCs w:val="24"/>
          <w:lang w:eastAsia="zh-CN"/>
        </w:rPr>
        <w:t>。</w:t>
      </w:r>
      <w:r>
        <w:rPr>
          <w:rStyle w:val="62"/>
          <w:rFonts w:hint="eastAsia" w:ascii="宋体" w:hAnsi="宋体" w:eastAsia="宋体" w:cs="宋体"/>
          <w:color w:val="000000"/>
          <w:kern w:val="0"/>
          <w:sz w:val="24"/>
          <w:szCs w:val="24"/>
        </w:rPr>
        <w:t>]发布的为准。由采购人代表或委托评标委员会在推荐中标候选人前对拟推荐的中标候选人进行查询并将</w:t>
      </w:r>
      <w:r>
        <w:rPr>
          <w:rStyle w:val="62"/>
          <w:rFonts w:hint="eastAsia" w:ascii="宋体" w:hAnsi="宋体" w:eastAsia="宋体" w:cs="宋体"/>
          <w:color w:val="000000"/>
          <w:kern w:val="0"/>
          <w:sz w:val="24"/>
          <w:szCs w:val="24"/>
          <w:lang w:val="en-US" w:eastAsia="zh-CN"/>
        </w:rPr>
        <w:t>查询</w:t>
      </w:r>
      <w:r>
        <w:rPr>
          <w:rStyle w:val="62"/>
          <w:rFonts w:hint="eastAsia" w:ascii="宋体" w:hAnsi="宋体" w:eastAsia="宋体" w:cs="宋体"/>
          <w:color w:val="000000"/>
          <w:kern w:val="0"/>
          <w:sz w:val="24"/>
          <w:szCs w:val="24"/>
        </w:rPr>
        <w:t>结果</w:t>
      </w:r>
      <w:r>
        <w:rPr>
          <w:rStyle w:val="62"/>
          <w:rFonts w:hint="eastAsia" w:ascii="宋体" w:hAnsi="宋体" w:eastAsia="宋体" w:cs="宋体"/>
          <w:color w:val="000000"/>
          <w:kern w:val="0"/>
          <w:sz w:val="24"/>
          <w:szCs w:val="24"/>
          <w:lang w:val="en-US" w:eastAsia="zh-CN"/>
        </w:rPr>
        <w:t>截图</w:t>
      </w:r>
      <w:r>
        <w:rPr>
          <w:rStyle w:val="62"/>
          <w:rFonts w:hint="eastAsia" w:ascii="宋体" w:hAnsi="宋体" w:eastAsia="宋体" w:cs="宋体"/>
          <w:color w:val="000000"/>
          <w:kern w:val="0"/>
          <w:sz w:val="24"/>
          <w:szCs w:val="24"/>
        </w:rPr>
        <w:t>反馈至评标委员会</w:t>
      </w:r>
      <w:r>
        <w:rPr>
          <w:rStyle w:val="62"/>
          <w:rFonts w:hint="eastAsia" w:ascii="宋体" w:hAnsi="宋体" w:eastAsia="宋体" w:cs="宋体"/>
          <w:color w:val="000000"/>
          <w:kern w:val="0"/>
          <w:sz w:val="24"/>
          <w:szCs w:val="24"/>
          <w:lang w:eastAsia="zh-CN"/>
        </w:rPr>
        <w:t>，</w:t>
      </w:r>
      <w:r>
        <w:rPr>
          <w:rStyle w:val="62"/>
          <w:rFonts w:hint="eastAsia" w:ascii="宋体" w:hAnsi="宋体" w:eastAsia="宋体" w:cs="宋体"/>
          <w:b/>
          <w:bCs/>
          <w:color w:val="000000"/>
          <w:kern w:val="0"/>
          <w:sz w:val="24"/>
          <w:szCs w:val="24"/>
          <w:lang w:val="en-US" w:eastAsia="zh-CN"/>
        </w:rPr>
        <w:t>由评标委员会记录在评标报告中</w:t>
      </w:r>
      <w:r>
        <w:rPr>
          <w:rStyle w:val="62"/>
          <w:rFonts w:hint="eastAsia" w:ascii="宋体" w:hAnsi="宋体" w:eastAsia="宋体" w:cs="宋体"/>
          <w:color w:val="000000"/>
          <w:kern w:val="0"/>
          <w:sz w:val="24"/>
          <w:szCs w:val="24"/>
        </w:rPr>
        <w:t>。</w:t>
      </w:r>
      <w:r>
        <w:rPr>
          <w:rStyle w:val="62"/>
          <w:rFonts w:hint="eastAsia" w:ascii="宋体" w:hAnsi="宋体" w:eastAsia="宋体" w:cs="宋体"/>
          <w:color w:val="000000"/>
          <w:kern w:val="0"/>
          <w:sz w:val="24"/>
          <w:szCs w:val="24"/>
          <w:lang w:val="en-US" w:eastAsia="zh-CN"/>
        </w:rPr>
        <w:t>如在上述网站查询结果均显示没有相关记录，视为没有上述不良信用记录。</w:t>
      </w:r>
      <w:r>
        <w:rPr>
          <w:rStyle w:val="62"/>
          <w:rFonts w:hint="eastAsia" w:ascii="宋体" w:hAnsi="宋体" w:eastAsia="宋体" w:cs="宋体"/>
          <w:color w:val="000000"/>
          <w:kern w:val="0"/>
          <w:sz w:val="24"/>
          <w:szCs w:val="24"/>
        </w:rPr>
        <w:t>如评标过程中因网络、网站的问题无法查询时，在中标公告期间由采购人代表查询并直接采用。</w:t>
      </w:r>
    </w:p>
    <w:p>
      <w:pPr>
        <w:pStyle w:val="28"/>
        <w:widowControl/>
        <w:spacing w:line="360" w:lineRule="auto"/>
        <w:ind w:firstLine="482" w:firstLineChars="200"/>
        <w:contextualSpacing/>
        <w:textAlignment w:val="baseline"/>
        <w:rPr>
          <w:rStyle w:val="62"/>
          <w:rFonts w:hint="eastAsia" w:ascii="宋体" w:hAnsi="宋体" w:eastAsia="宋体" w:cs="宋体"/>
          <w:b/>
          <w:bCs/>
          <w:color w:val="000000"/>
          <w:kern w:val="0"/>
          <w:sz w:val="24"/>
          <w:szCs w:val="24"/>
          <w:lang w:eastAsia="zh-CN"/>
        </w:rPr>
      </w:pPr>
      <w:r>
        <w:rPr>
          <w:rStyle w:val="62"/>
          <w:rFonts w:hint="eastAsia" w:ascii="宋体" w:hAnsi="宋体" w:eastAsia="宋体" w:cs="宋体"/>
          <w:b/>
          <w:bCs/>
          <w:color w:val="000000"/>
          <w:sz w:val="24"/>
          <w:szCs w:val="24"/>
        </w:rPr>
        <w:t>以上情形第（2）条由</w:t>
      </w:r>
      <w:r>
        <w:rPr>
          <w:rStyle w:val="62"/>
          <w:rFonts w:hint="eastAsia" w:ascii="宋体" w:hAnsi="宋体" w:cs="宋体"/>
          <w:b/>
          <w:bCs/>
          <w:color w:val="000000"/>
          <w:sz w:val="24"/>
          <w:szCs w:val="24"/>
          <w:lang w:eastAsia="zh-CN"/>
        </w:rPr>
        <w:t>投标供应商</w:t>
      </w:r>
      <w:r>
        <w:rPr>
          <w:rStyle w:val="62"/>
          <w:rFonts w:hint="eastAsia" w:ascii="宋体" w:hAnsi="宋体" w:eastAsia="宋体" w:cs="宋体"/>
          <w:b/>
          <w:bCs/>
          <w:color w:val="000000"/>
          <w:kern w:val="0"/>
          <w:sz w:val="24"/>
          <w:szCs w:val="24"/>
        </w:rPr>
        <w:t>按投标函格式填写相关承诺</w:t>
      </w:r>
      <w:r>
        <w:rPr>
          <w:rStyle w:val="62"/>
          <w:rFonts w:hint="eastAsia" w:ascii="宋体" w:hAnsi="宋体" w:eastAsia="宋体" w:cs="宋体"/>
          <w:b/>
          <w:bCs/>
          <w:color w:val="000000"/>
          <w:kern w:val="0"/>
          <w:sz w:val="24"/>
          <w:szCs w:val="24"/>
          <w:lang w:eastAsia="zh-CN"/>
        </w:rPr>
        <w:t>。</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33.5提供相同品牌相同型号产品的不同</w:t>
      </w:r>
      <w:r>
        <w:rPr>
          <w:rStyle w:val="62"/>
          <w:rFonts w:hint="eastAsia" w:cs="宋体"/>
          <w:color w:val="000000"/>
          <w:sz w:val="24"/>
          <w:szCs w:val="24"/>
          <w:lang w:val="en-US" w:eastAsia="zh-CN" w:bidi="ar-SA"/>
        </w:rPr>
        <w:t>投标供应商</w:t>
      </w:r>
      <w:r>
        <w:rPr>
          <w:rStyle w:val="62"/>
          <w:rFonts w:hint="eastAsia" w:ascii="宋体" w:hAnsi="宋体" w:eastAsia="宋体" w:cs="宋体"/>
          <w:color w:val="000000"/>
          <w:sz w:val="24"/>
          <w:szCs w:val="24"/>
          <w:lang w:val="en-US" w:eastAsia="zh-CN" w:bidi="ar-SA"/>
        </w:rPr>
        <w:t>参加同一合同项下投标的，以其中通过资格审查、符合审查且报价最低的参加评标；报价相同的，由采购人或者采购人委托评标委员会按照谈判文件规定的方式确定一个参加评标的</w:t>
      </w:r>
      <w:r>
        <w:rPr>
          <w:rStyle w:val="62"/>
          <w:rFonts w:hint="eastAsia" w:cs="宋体"/>
          <w:color w:val="000000"/>
          <w:sz w:val="24"/>
          <w:szCs w:val="24"/>
          <w:lang w:val="en-US" w:eastAsia="zh-CN" w:bidi="ar-SA"/>
        </w:rPr>
        <w:t>投标供应商</w:t>
      </w:r>
      <w:r>
        <w:rPr>
          <w:rStyle w:val="62"/>
          <w:rFonts w:hint="eastAsia" w:ascii="宋体" w:hAnsi="宋体" w:eastAsia="宋体" w:cs="宋体"/>
          <w:color w:val="000000"/>
          <w:sz w:val="24"/>
          <w:szCs w:val="24"/>
          <w:lang w:val="en-US" w:eastAsia="zh-CN" w:bidi="ar-SA"/>
        </w:rPr>
        <w:t>，谈判文件未规定的采取随机抽取方式确定，其他响应无效。</w:t>
      </w:r>
    </w:p>
    <w:p>
      <w:pPr>
        <w:pStyle w:val="47"/>
        <w:spacing w:line="360" w:lineRule="auto"/>
        <w:ind w:firstLine="482" w:firstLineChars="200"/>
        <w:jc w:val="both"/>
        <w:textAlignment w:val="baseline"/>
        <w:rPr>
          <w:rStyle w:val="62"/>
          <w:rFonts w:hint="eastAsia" w:ascii="宋体" w:hAnsi="宋体" w:eastAsia="宋体" w:cs="宋体"/>
          <w:b/>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34、有效性审查</w:t>
      </w:r>
    </w:p>
    <w:p>
      <w:pPr>
        <w:widowControl/>
        <w:spacing w:line="360" w:lineRule="auto"/>
        <w:jc w:val="left"/>
        <w:textAlignment w:val="baseline"/>
        <w:rPr>
          <w:rStyle w:val="62"/>
          <w:rFonts w:hint="eastAsia" w:ascii="宋体" w:hAnsi="宋体" w:eastAsia="宋体" w:cs="宋体"/>
          <w:b w:val="0"/>
          <w:bCs w:val="0"/>
          <w:color w:val="000000"/>
          <w:kern w:val="2"/>
          <w:sz w:val="24"/>
          <w:szCs w:val="24"/>
          <w:lang w:val="en-US" w:eastAsia="zh-CN" w:bidi="ar-SA"/>
        </w:rPr>
      </w:pPr>
      <w:r>
        <w:rPr>
          <w:rStyle w:val="62"/>
          <w:rFonts w:hint="eastAsia" w:ascii="宋体" w:hAnsi="宋体" w:eastAsia="宋体" w:cs="宋体"/>
          <w:b/>
          <w:bCs/>
          <w:color w:val="000000"/>
          <w:kern w:val="0"/>
          <w:sz w:val="24"/>
          <w:szCs w:val="24"/>
          <w:lang w:val="en-US" w:eastAsia="zh-CN" w:bidi="ar-SA"/>
        </w:rPr>
        <w:t>开标后，采购人委托评标委员会</w:t>
      </w:r>
      <w:r>
        <w:rPr>
          <w:rStyle w:val="62"/>
          <w:rFonts w:hint="eastAsia" w:ascii="宋体" w:hAnsi="宋体" w:eastAsia="宋体" w:cs="宋体"/>
          <w:b/>
          <w:bCs/>
          <w:color w:val="000000"/>
          <w:kern w:val="2"/>
          <w:sz w:val="24"/>
          <w:szCs w:val="24"/>
          <w:lang w:val="en-US" w:eastAsia="zh-CN" w:bidi="ar-SA"/>
        </w:rPr>
        <w:t>对供应商进行资</w:t>
      </w:r>
      <w:r>
        <w:rPr>
          <w:rStyle w:val="62"/>
          <w:rFonts w:hint="eastAsia" w:ascii="宋体" w:hAnsi="宋体" w:eastAsia="宋体" w:cs="宋体"/>
          <w:b/>
          <w:bCs/>
          <w:color w:val="000000"/>
          <w:kern w:val="0"/>
          <w:sz w:val="24"/>
          <w:szCs w:val="24"/>
          <w:lang w:val="en-US" w:eastAsia="zh-CN" w:bidi="ar-SA"/>
        </w:rPr>
        <w:t>格审查。</w:t>
      </w:r>
      <w:r>
        <w:rPr>
          <w:rStyle w:val="62"/>
          <w:rFonts w:hint="eastAsia" w:ascii="宋体" w:hAnsi="宋体" w:eastAsia="宋体" w:cs="宋体"/>
          <w:b w:val="0"/>
          <w:bCs w:val="0"/>
          <w:color w:val="000000"/>
          <w:kern w:val="0"/>
          <w:sz w:val="24"/>
          <w:szCs w:val="24"/>
          <w:lang w:val="en-US" w:eastAsia="zh-CN"/>
        </w:rPr>
        <w:t>若有一项不通过，作无效标处理。</w:t>
      </w:r>
    </w:p>
    <w:tbl>
      <w:tblPr>
        <w:tblStyle w:val="12"/>
        <w:tblW w:w="96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3"/>
        <w:gridCol w:w="1164"/>
        <w:gridCol w:w="4572"/>
        <w:gridCol w:w="3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序号</w:t>
            </w:r>
          </w:p>
        </w:tc>
        <w:tc>
          <w:tcPr>
            <w:tcW w:w="1164"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项目内容</w:t>
            </w:r>
          </w:p>
        </w:tc>
        <w:tc>
          <w:tcPr>
            <w:tcW w:w="4572"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合格条件</w:t>
            </w:r>
          </w:p>
        </w:tc>
        <w:tc>
          <w:tcPr>
            <w:tcW w:w="3276"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审核材料要求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8" w:hRule="atLeast"/>
          <w:jc w:val="center"/>
        </w:trPr>
        <w:tc>
          <w:tcPr>
            <w:tcW w:w="673"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1</w:t>
            </w:r>
          </w:p>
        </w:tc>
        <w:tc>
          <w:tcPr>
            <w:tcW w:w="1164"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授权委托书</w:t>
            </w:r>
          </w:p>
        </w:tc>
        <w:tc>
          <w:tcPr>
            <w:tcW w:w="4572"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供应商授权的委托代理人有合法、有效的委托书，委托书按相应要求签字或盖章。同时委托人符合文件相关要求。</w:t>
            </w:r>
          </w:p>
        </w:tc>
        <w:tc>
          <w:tcPr>
            <w:tcW w:w="3276" w:type="dxa"/>
            <w:tcBorders>
              <w:top w:val="single" w:color="000000" w:sz="6" w:space="0"/>
              <w:left w:val="single" w:color="000000" w:sz="6" w:space="0"/>
              <w:bottom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提供授权委托书装订入谈判响应文件。（法定代表人参加投标的提供身份证明复印件或影印件，无需投标授权书）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673" w:type="dxa"/>
            <w:vMerge w:val="restart"/>
            <w:tcBorders>
              <w:top w:val="single" w:color="000000" w:sz="4" w:space="0"/>
              <w:left w:val="single" w:color="000000" w:sz="6" w:space="0"/>
              <w:right w:val="single" w:color="000000" w:sz="6" w:space="0"/>
            </w:tcBorders>
            <w:vAlign w:val="center"/>
          </w:tcPr>
          <w:p>
            <w:pPr>
              <w:pStyle w:val="47"/>
              <w:spacing w:line="240" w:lineRule="auto"/>
              <w:jc w:val="center"/>
              <w:textAlignment w:val="baseline"/>
              <w:rPr>
                <w:rStyle w:val="62"/>
                <w:rFonts w:hint="default"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2</w:t>
            </w:r>
          </w:p>
        </w:tc>
        <w:tc>
          <w:tcPr>
            <w:tcW w:w="1164" w:type="dxa"/>
            <w:vMerge w:val="restart"/>
            <w:tcBorders>
              <w:top w:val="single" w:color="000000" w:sz="4" w:space="0"/>
              <w:left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需要提供的投标资格证明资料</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满足《中华人民共和国政府采购法》第二十二条的全部要求</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按谈判响应函格式填写相关承诺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vMerge w:val="continue"/>
            <w:tcBorders>
              <w:left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p>
        </w:tc>
        <w:tc>
          <w:tcPr>
            <w:tcW w:w="1164" w:type="dxa"/>
            <w:vMerge w:val="continue"/>
            <w:tcBorders>
              <w:left w:val="single" w:color="000000" w:sz="6"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供应商、法定代表人近三年内均未被人民检察院列入行贿犯罪档案</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按谈判响应函格式填写相关承诺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vMerge w:val="continue"/>
            <w:tcBorders>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p>
        </w:tc>
        <w:tc>
          <w:tcPr>
            <w:tcW w:w="1164" w:type="dxa"/>
            <w:vMerge w:val="continue"/>
            <w:tcBorders>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按谈判响应函格式填写相关承诺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3" w:hRule="atLeast"/>
          <w:jc w:val="center"/>
        </w:trPr>
        <w:tc>
          <w:tcPr>
            <w:tcW w:w="673"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default"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3</w:t>
            </w:r>
          </w:p>
        </w:tc>
        <w:tc>
          <w:tcPr>
            <w:tcW w:w="1164"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标书规范性</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1、在谈判文件规定的投标时间截止前有效提交谈判响应文件的。</w:t>
            </w:r>
          </w:p>
          <w:p>
            <w:pPr>
              <w:pStyle w:val="47"/>
              <w:spacing w:line="24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2、谈判响应文件符合谈判文件加密、标记、递交等的相应要求。</w:t>
            </w:r>
          </w:p>
          <w:p>
            <w:pPr>
              <w:pStyle w:val="47"/>
              <w:spacing w:line="240" w:lineRule="auto"/>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3、应当随成交公告一并向社会公布的表单内容（如主要业绩一览表等）与谈判响应文件中其它内容一致。</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4</w:t>
            </w:r>
          </w:p>
        </w:tc>
        <w:tc>
          <w:tcPr>
            <w:tcW w:w="1164"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标书盖章</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谈判响应文件盖章符合谈判文件的要求。</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default"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5</w:t>
            </w:r>
          </w:p>
        </w:tc>
        <w:tc>
          <w:tcPr>
            <w:tcW w:w="1164"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标书响应情况</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质量标准要求、交货期响应、质保期响应、供货安装、售后服务体系与维保、等内容满足谈判文件的实质性要求。</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6</w:t>
            </w:r>
          </w:p>
        </w:tc>
        <w:tc>
          <w:tcPr>
            <w:tcW w:w="1164"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其他要求</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left"/>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1、无论谈判文件是否列明，</w:t>
            </w:r>
            <w:r>
              <w:rPr>
                <w:rStyle w:val="62"/>
                <w:rFonts w:hint="eastAsia" w:cs="宋体"/>
                <w:color w:val="000000"/>
                <w:sz w:val="24"/>
                <w:szCs w:val="24"/>
                <w:lang w:val="en-US" w:eastAsia="zh-CN" w:bidi="ar-SA"/>
              </w:rPr>
              <w:t>投标供应商</w:t>
            </w:r>
            <w:r>
              <w:rPr>
                <w:rStyle w:val="62"/>
                <w:rFonts w:hint="eastAsia" w:ascii="宋体" w:hAnsi="宋体" w:eastAsia="宋体" w:cs="宋体"/>
                <w:color w:val="000000"/>
                <w:sz w:val="24"/>
                <w:szCs w:val="24"/>
                <w:lang w:val="en-US" w:eastAsia="zh-CN" w:bidi="ar-SA"/>
              </w:rPr>
              <w:t>所提供的货物、产品、配件均须符合国家产品质量、安全、卫生、环保、检疫检验、生产经营许可等现行法律法规的规定，否则投标无效。</w:t>
            </w:r>
          </w:p>
          <w:p>
            <w:pPr>
              <w:pStyle w:val="47"/>
              <w:spacing w:line="240" w:lineRule="auto"/>
              <w:jc w:val="left"/>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2、须满足谈判文件第9.2、12.3、13.3、23.3条以及其它谈判公告、谈判文件列明的必须满足的要求的。</w:t>
            </w:r>
          </w:p>
          <w:p>
            <w:pPr>
              <w:pStyle w:val="47"/>
              <w:spacing w:line="240" w:lineRule="auto"/>
              <w:jc w:val="left"/>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3、须符合法律、行政法规规定的其他条件。</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 w:hRule="atLeast"/>
          <w:jc w:val="center"/>
        </w:trPr>
        <w:tc>
          <w:tcPr>
            <w:tcW w:w="673"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default" w:cs="宋体"/>
                <w:color w:val="000000"/>
                <w:sz w:val="24"/>
                <w:szCs w:val="24"/>
                <w:lang w:val="en-US" w:eastAsia="zh-CN" w:bidi="ar-SA"/>
              </w:rPr>
            </w:pPr>
            <w:r>
              <w:rPr>
                <w:rStyle w:val="62"/>
                <w:rFonts w:hint="eastAsia" w:cs="宋体"/>
                <w:color w:val="000000"/>
                <w:sz w:val="24"/>
                <w:szCs w:val="24"/>
                <w:lang w:val="en-US" w:eastAsia="zh-CN" w:bidi="ar-SA"/>
              </w:rPr>
              <w:t>7</w:t>
            </w:r>
          </w:p>
        </w:tc>
        <w:tc>
          <w:tcPr>
            <w:tcW w:w="1164"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center"/>
              <w:textAlignment w:val="baseline"/>
              <w:rPr>
                <w:rStyle w:val="62"/>
                <w:rFonts w:hint="eastAsia" w:ascii="宋体" w:hAnsi="宋体" w:eastAsia="宋体" w:cs="宋体"/>
                <w:color w:val="000000"/>
                <w:sz w:val="24"/>
                <w:szCs w:val="24"/>
                <w:lang w:val="en-US" w:eastAsia="zh-CN" w:bidi="ar-SA"/>
              </w:rPr>
            </w:pPr>
            <w:r>
              <w:rPr>
                <w:rStyle w:val="62"/>
                <w:rFonts w:hint="eastAsia" w:cs="宋体"/>
                <w:color w:val="000000"/>
                <w:sz w:val="24"/>
                <w:szCs w:val="24"/>
                <w:lang w:val="en-US" w:eastAsia="zh-CN" w:bidi="ar-SA"/>
              </w:rPr>
              <w:t>业绩</w:t>
            </w:r>
          </w:p>
        </w:tc>
        <w:tc>
          <w:tcPr>
            <w:tcW w:w="4572"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jc w:val="left"/>
              <w:textAlignment w:val="baseline"/>
              <w:rPr>
                <w:rStyle w:val="62"/>
                <w:rFonts w:hint="eastAsia" w:ascii="宋体" w:hAnsi="宋体" w:eastAsia="宋体" w:cs="宋体"/>
                <w:color w:val="000000"/>
                <w:sz w:val="24"/>
                <w:szCs w:val="24"/>
                <w:lang w:val="en-US" w:eastAsia="zh-CN" w:bidi="ar-SA"/>
              </w:rPr>
            </w:pPr>
            <w:r>
              <w:rPr>
                <w:rFonts w:ascii="宋体" w:hAnsi="宋体" w:eastAsia="宋体" w:cs="宋体"/>
                <w:b w:val="0"/>
                <w:bCs w:val="0"/>
                <w:sz w:val="24"/>
              </w:rPr>
              <w:t>投标人自2020年 1 月 1 日以来（以合同签订时间为准）至少具有一项智能电控系统</w:t>
            </w:r>
            <w:r>
              <w:rPr>
                <w:rFonts w:hint="eastAsia" w:ascii="宋体" w:hAnsi="宋体" w:eastAsia="宋体" w:cs="宋体"/>
                <w:b w:val="0"/>
                <w:bCs w:val="0"/>
                <w:sz w:val="24"/>
              </w:rPr>
              <w:t>建设或</w:t>
            </w:r>
            <w:r>
              <w:rPr>
                <w:rFonts w:ascii="宋体" w:hAnsi="宋体" w:eastAsia="宋体" w:cs="宋体"/>
                <w:b w:val="0"/>
                <w:bCs w:val="0"/>
                <w:sz w:val="24"/>
              </w:rPr>
              <w:t>维保类项目业绩</w:t>
            </w:r>
            <w:r>
              <w:rPr>
                <w:rFonts w:hint="eastAsia" w:cs="宋体"/>
                <w:b w:val="0"/>
                <w:bCs w:val="0"/>
                <w:sz w:val="24"/>
                <w:lang w:eastAsia="zh-CN"/>
              </w:rPr>
              <w:t>。</w:t>
            </w:r>
          </w:p>
        </w:tc>
        <w:tc>
          <w:tcPr>
            <w:tcW w:w="3276" w:type="dxa"/>
            <w:tcBorders>
              <w:top w:val="single" w:color="000000" w:sz="4" w:space="0"/>
              <w:left w:val="single" w:color="000000" w:sz="6" w:space="0"/>
              <w:bottom w:val="single" w:color="000000" w:sz="4" w:space="0"/>
              <w:right w:val="single" w:color="000000" w:sz="6" w:space="0"/>
            </w:tcBorders>
            <w:vAlign w:val="center"/>
          </w:tcPr>
          <w:p>
            <w:pPr>
              <w:pStyle w:val="47"/>
              <w:spacing w:line="240" w:lineRule="auto"/>
              <w:ind w:firstLine="480" w:firstLineChars="200"/>
              <w:jc w:val="center"/>
              <w:textAlignment w:val="baseline"/>
              <w:rPr>
                <w:rStyle w:val="62"/>
                <w:rFonts w:hint="eastAsia" w:ascii="宋体" w:hAnsi="宋体" w:eastAsia="宋体" w:cs="宋体"/>
                <w:color w:val="000000"/>
                <w:sz w:val="24"/>
                <w:szCs w:val="24"/>
                <w:lang w:val="en-US" w:eastAsia="zh-CN" w:bidi="ar-SA"/>
              </w:rPr>
            </w:pPr>
            <w:r>
              <w:rPr>
                <w:rFonts w:ascii="宋体" w:hAnsi="宋体" w:eastAsia="宋体" w:cs="宋体"/>
                <w:b w:val="0"/>
                <w:bCs w:val="0"/>
                <w:sz w:val="24"/>
              </w:rPr>
              <w:t>提供完整的合同复印件并加盖公章。</w:t>
            </w:r>
          </w:p>
        </w:tc>
      </w:tr>
    </w:tbl>
    <w:p>
      <w:pPr>
        <w:pStyle w:val="47"/>
        <w:spacing w:line="360" w:lineRule="auto"/>
        <w:ind w:firstLine="482" w:firstLineChars="200"/>
        <w:jc w:val="both"/>
        <w:textAlignment w:val="baseline"/>
        <w:rPr>
          <w:rStyle w:val="62"/>
          <w:rFonts w:hint="eastAsia" w:ascii="宋体" w:hAnsi="宋体" w:eastAsia="宋体" w:cs="宋体"/>
          <w:b/>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35、报价部分评审</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Cs/>
          <w:color w:val="000000"/>
          <w:sz w:val="24"/>
          <w:szCs w:val="24"/>
          <w:lang w:val="en-US" w:eastAsia="zh-CN" w:bidi="ar-SA"/>
        </w:rPr>
        <w:t>35.1</w:t>
      </w:r>
      <w:r>
        <w:rPr>
          <w:rStyle w:val="62"/>
          <w:rFonts w:hint="eastAsia" w:ascii="宋体" w:hAnsi="宋体" w:eastAsia="宋体" w:cs="宋体"/>
          <w:color w:val="000000"/>
          <w:sz w:val="24"/>
          <w:szCs w:val="24"/>
          <w:lang w:val="en-US" w:eastAsia="zh-CN" w:bidi="ar-SA"/>
        </w:rPr>
        <w:t>供应商资格审查和符合性审查合格的，开启其报价部分。</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35.2评审委员会将对进入报价部分评审的各供应商的报价部分有效性进行审查，经评审有效后，评审委员会将对报价部分进行校核，看其是否有计算或表达上的错误，修正错误的原则如下：</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35.2.1如果数字表示的金额和用文字表示的金额不一致时，应以文字表示的金额为准；</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35.2.2如果单价与数量的乘积和总价不一致，以单价为准；当单位小数点有明显的错误时，评委会将以总价为准，并修正其单价。</w:t>
      </w:r>
    </w:p>
    <w:p>
      <w:pPr>
        <w:widowControl/>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0"/>
          <w:sz w:val="24"/>
          <w:szCs w:val="24"/>
          <w:lang w:val="en-US" w:eastAsia="zh-CN"/>
        </w:rPr>
        <w:t xml:space="preserve">    35.2.3如果投标报价同时出现上述1、2两种情况，按第2种修正原则调整或修正谈判响应文件的投标报价。</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按上述修正错误的原则及方法调整或修正竞争性谈判响应文件的投标报价，供应商同意后，调整后的投标报价对供应商起约束作用。如果供应商不接受修正后的报价，则其投标将被拒绝并且其谈判响应保证金也将被没收，并不影响评标工作。</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35.3报价无效的几种情形</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35.3.1、投标报价高于预算控制；</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35.3.2、经评标委员会认定低于成本的；</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35.3.3、经评标委员会认定报价出现异常导致不能保证政府采购资金的使用效益的。</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35.3.4、不符合法律法规及谈判文件中其它合格性评审要求。</w:t>
      </w:r>
    </w:p>
    <w:p>
      <w:pPr>
        <w:pStyle w:val="47"/>
        <w:spacing w:line="360" w:lineRule="auto"/>
        <w:jc w:val="both"/>
        <w:textAlignment w:val="baseline"/>
        <w:rPr>
          <w:rStyle w:val="62"/>
          <w:rFonts w:hint="eastAsia" w:ascii="宋体" w:hAnsi="宋体" w:eastAsia="宋体" w:cs="宋体"/>
          <w:color w:val="000000"/>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（十）合同的签订、履行及验收</w:t>
      </w: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p>
      <w:pPr>
        <w:pStyle w:val="47"/>
        <w:spacing w:line="360" w:lineRule="auto"/>
        <w:ind w:firstLine="482" w:firstLineChars="200"/>
        <w:jc w:val="both"/>
        <w:textAlignment w:val="baseline"/>
        <w:rPr>
          <w:rStyle w:val="62"/>
          <w:rFonts w:hint="eastAsia" w:ascii="宋体" w:hAnsi="宋体" w:eastAsia="宋体" w:cs="宋体"/>
          <w:b/>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36、合同授予标准：</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本项目合同将授予中标人。</w:t>
      </w:r>
    </w:p>
    <w:p>
      <w:pPr>
        <w:pStyle w:val="47"/>
        <w:spacing w:line="360" w:lineRule="auto"/>
        <w:ind w:firstLine="482" w:firstLineChars="200"/>
        <w:jc w:val="both"/>
        <w:textAlignment w:val="baseline"/>
        <w:rPr>
          <w:rStyle w:val="62"/>
          <w:rFonts w:hint="eastAsia" w:ascii="宋体" w:hAnsi="宋体" w:eastAsia="宋体" w:cs="宋体"/>
          <w:b/>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37、采购人拒绝投标的权力</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采购人不承诺将合同授予报价最低的供应商。采购人在发出中标通知书前，有权依据评标委员会的评标报告拒绝不合格的投标。</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38、合同协议书的签订</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38.1</w:t>
      </w:r>
      <w:r>
        <w:rPr>
          <w:rStyle w:val="62"/>
          <w:rFonts w:hint="eastAsia" w:ascii="宋体" w:hAnsi="宋体" w:eastAsia="宋体" w:cs="宋体"/>
          <w:color w:val="000000"/>
          <w:sz w:val="24"/>
          <w:szCs w:val="24"/>
          <w:lang w:val="en-US" w:eastAsia="zh-CN" w:bidi="ar-SA"/>
        </w:rPr>
        <w:t>中标人应在中标通知书发出之日起三十日内（具体时间、地点见中标通知书）与采购人签订合同。采购人应按照竞争性谈判文件和中标人的竞争性谈判响应文件与中标人签订采购合同，采购人不得向中标人提出任何不合理的要求，作为签订合同的条件，不得与中标人私下订立背离合同实质性内容的任何协议，所签订的合同不得对竞争性谈判文件和中标人竞争性谈判响应文件作实质性修改。</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38.2</w:t>
      </w:r>
      <w:r>
        <w:rPr>
          <w:rStyle w:val="62"/>
          <w:rFonts w:hint="eastAsia" w:ascii="宋体" w:hAnsi="宋体" w:eastAsia="宋体" w:cs="宋体"/>
          <w:color w:val="000000"/>
          <w:sz w:val="24"/>
          <w:szCs w:val="24"/>
          <w:lang w:val="en-US" w:eastAsia="zh-CN" w:bidi="ar-SA"/>
        </w:rPr>
        <w:t>中标人如不按本竞争性谈判文件规定与采购人订立合同，则采购人将废除授标，有投标担保的将不予退还，给采购人造成的损失超过投标担保数额的，还应当对超过部分予以赔偿，同时依法承担相应法律责任。</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38.3</w:t>
      </w:r>
      <w:r>
        <w:rPr>
          <w:rStyle w:val="62"/>
          <w:rFonts w:hint="eastAsia" w:ascii="宋体" w:hAnsi="宋体" w:eastAsia="宋体" w:cs="宋体"/>
          <w:color w:val="000000"/>
          <w:sz w:val="24"/>
          <w:szCs w:val="24"/>
          <w:lang w:val="en-US" w:eastAsia="zh-CN" w:bidi="ar-SA"/>
        </w:rPr>
        <w:t>中标人应当按照合同约定履行义务，完成中标项目，不得将中标项目转让（转包）给他人。</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38.4 采购双方必须严格按照竞争性谈判文件、竞争性谈判响应文件及有关承诺签订采购合同，不得擅自变更。合同的标的、价款、质量、履行期限等主要条款应当与竞争性谈判文件和中标人的竞争性谈判响应文件的内容一致，采购人和中标人不得再行订立背离合同实质性内容的其他协议。对任何因双方擅自变更合同引起的问题采购代理机构概不负责，合同风险由双方自行承担。</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38.5采购人保留以书面形式要求合同的卖方对其所投货物的装运方式、交货地点及服务细则等作适当调整的权利。</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卖方提供和交付的货物技术规格、工程施工应与竞争性谈判文件规定的技术要求以及所附的技术规格响应表相一致。</w:t>
      </w:r>
    </w:p>
    <w:p>
      <w:pPr>
        <w:pStyle w:val="47"/>
        <w:spacing w:line="360" w:lineRule="auto"/>
        <w:ind w:firstLine="482" w:firstLineChars="200"/>
        <w:jc w:val="both"/>
        <w:textAlignment w:val="baseline"/>
        <w:rPr>
          <w:rStyle w:val="62"/>
          <w:rFonts w:hint="eastAsia" w:ascii="宋体" w:hAnsi="宋体" w:eastAsia="宋体" w:cs="宋体"/>
          <w:b/>
          <w:bCs/>
          <w:color w:val="000000"/>
          <w:sz w:val="24"/>
          <w:szCs w:val="24"/>
          <w:lang w:val="en-US" w:eastAsia="zh-CN" w:bidi="ar-SA"/>
        </w:rPr>
      </w:pPr>
      <w:r>
        <w:rPr>
          <w:rStyle w:val="62"/>
          <w:rFonts w:hint="eastAsia" w:ascii="宋体" w:hAnsi="宋体" w:eastAsia="宋体" w:cs="宋体"/>
          <w:b/>
          <w:bCs/>
          <w:color w:val="000000"/>
          <w:sz w:val="24"/>
          <w:szCs w:val="24"/>
          <w:lang w:val="en-US" w:eastAsia="zh-CN" w:bidi="ar-SA"/>
        </w:rPr>
        <w:t>39、履行合同</w:t>
      </w:r>
    </w:p>
    <w:p>
      <w:pPr>
        <w:pStyle w:val="47"/>
        <w:spacing w:line="360" w:lineRule="auto"/>
        <w:ind w:firstLine="480"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color w:val="000000"/>
          <w:sz w:val="24"/>
          <w:szCs w:val="24"/>
          <w:lang w:val="en-US" w:eastAsia="zh-CN" w:bidi="ar-SA"/>
        </w:rPr>
        <w:t>39.1中标人与采购人签订合同后，合同双方应严格执行合同条款，履行合同规定的义务，保证合同的顺利完成。</w:t>
      </w:r>
    </w:p>
    <w:p>
      <w:pPr>
        <w:pStyle w:val="47"/>
        <w:spacing w:line="360" w:lineRule="auto"/>
        <w:ind w:firstLine="482" w:firstLineChars="200"/>
        <w:jc w:val="both"/>
        <w:textAlignment w:val="baseline"/>
        <w:rPr>
          <w:rStyle w:val="62"/>
          <w:rFonts w:hint="eastAsia" w:ascii="宋体" w:hAnsi="宋体" w:eastAsia="宋体" w:cs="宋体"/>
          <w:color w:val="000000"/>
          <w:sz w:val="24"/>
          <w:szCs w:val="24"/>
          <w:lang w:val="en-US" w:eastAsia="zh-CN" w:bidi="ar-SA"/>
        </w:rPr>
      </w:pPr>
      <w:r>
        <w:rPr>
          <w:rStyle w:val="62"/>
          <w:rFonts w:hint="eastAsia" w:ascii="宋体" w:hAnsi="宋体" w:eastAsia="宋体" w:cs="宋体"/>
          <w:b/>
          <w:color w:val="000000"/>
          <w:sz w:val="24"/>
          <w:szCs w:val="24"/>
          <w:lang w:val="en-US" w:eastAsia="zh-CN" w:bidi="ar-SA"/>
        </w:rPr>
        <w:t>39.2</w:t>
      </w:r>
      <w:r>
        <w:rPr>
          <w:rStyle w:val="62"/>
          <w:rFonts w:hint="eastAsia" w:ascii="宋体" w:hAnsi="宋体" w:eastAsia="宋体" w:cs="宋体"/>
          <w:color w:val="000000"/>
          <w:sz w:val="24"/>
          <w:szCs w:val="24"/>
          <w:lang w:val="en-US" w:eastAsia="zh-CN" w:bidi="ar-SA"/>
        </w:rPr>
        <w:t>在合同履行过程中，如发生合同纠纷，合同双方应按照《合同法》的有关规定进行处理。</w:t>
      </w:r>
    </w:p>
    <w:p>
      <w:pPr>
        <w:spacing w:line="360" w:lineRule="auto"/>
        <w:ind w:firstLine="549"/>
        <w:jc w:val="both"/>
        <w:textAlignment w:val="baseline"/>
        <w:rPr>
          <w:rStyle w:val="62"/>
          <w:rFonts w:hint="eastAsia" w:ascii="宋体" w:hAnsi="宋体" w:eastAsia="宋体" w:cs="宋体"/>
          <w:b/>
          <w:bCs/>
          <w:color w:val="000000"/>
          <w:kern w:val="0"/>
          <w:sz w:val="24"/>
          <w:szCs w:val="24"/>
          <w:lang w:val="en-US" w:eastAsia="zh-CN" w:bidi="ar-SA"/>
        </w:rPr>
      </w:pPr>
      <w:r>
        <w:rPr>
          <w:rStyle w:val="62"/>
          <w:rFonts w:hint="eastAsia" w:ascii="宋体" w:hAnsi="宋体" w:eastAsia="宋体" w:cs="宋体"/>
          <w:b/>
          <w:bCs/>
          <w:color w:val="000000"/>
          <w:kern w:val="0"/>
          <w:sz w:val="24"/>
          <w:szCs w:val="24"/>
          <w:lang w:val="en-US" w:eastAsia="zh-CN" w:bidi="ar-SA"/>
        </w:rPr>
        <w:t>40、验收</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40．1采购人验收时，应成立三人以上（由合同双方、资产管理人、技术人员等相关人员组成）验收小组，明确责任，严格依照谈判文件、中标通知书、政府采购合同及相关验收规范进行核对、验收，形成验收结论，并出具书面验收报告。</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40.2涉及安全、消防、环保等其他需要由质检或行业主管部门进行验收的项目，必须邀请相关部门参与验收。</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40.3检测、验收费用均由合同乙方（中标人）承担，采购文件中另有约定的除外。</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40.4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 xml:space="preserve">40.5甲方因使用、保管、保养不善等造成产品质量下降的，不得提出异议。 </w:t>
      </w:r>
    </w:p>
    <w:p>
      <w:pPr>
        <w:rPr>
          <w:rStyle w:val="62"/>
          <w:rFonts w:hint="eastAsia" w:ascii="宋体" w:hAnsi="宋体" w:eastAsia="宋体" w:cs="宋体"/>
          <w:color w:val="000000"/>
          <w:kern w:val="0"/>
          <w:sz w:val="24"/>
          <w:szCs w:val="24"/>
          <w:lang w:val="en-US" w:eastAsia="zh-CN" w:bidi="ar-SA"/>
        </w:rPr>
      </w:pPr>
    </w:p>
    <w:p>
      <w:pPr>
        <w:rPr>
          <w:rStyle w:val="62"/>
          <w:rFonts w:hint="eastAsia" w:ascii="宋体" w:hAnsi="宋体" w:eastAsia="宋体" w:cs="宋体"/>
          <w:color w:val="000000"/>
          <w:kern w:val="0"/>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（十一）质疑和投诉</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供应商应在法定质疑期内一次性提出针对同一采购程序环节的质疑。提出质疑的供应商应当是参与所质疑项目采购活动的供应商。</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投标</w:t>
      </w:r>
      <w:r>
        <w:rPr>
          <w:rStyle w:val="62"/>
          <w:rFonts w:hint="eastAsia" w:ascii="宋体" w:hAnsi="宋体" w:cs="宋体"/>
          <w:color w:val="000000"/>
          <w:kern w:val="0"/>
          <w:sz w:val="24"/>
          <w:szCs w:val="24"/>
          <w:lang w:val="en-US" w:eastAsia="zh-CN" w:bidi="ar-SA"/>
        </w:rPr>
        <w:t>供应商</w:t>
      </w:r>
      <w:r>
        <w:rPr>
          <w:rStyle w:val="62"/>
          <w:rFonts w:hint="eastAsia" w:ascii="宋体" w:hAnsi="宋体" w:eastAsia="宋体" w:cs="宋体"/>
          <w:color w:val="000000"/>
          <w:kern w:val="0"/>
          <w:sz w:val="24"/>
          <w:szCs w:val="24"/>
          <w:lang w:val="en-US" w:eastAsia="zh-CN" w:bidi="ar-SA"/>
        </w:rPr>
        <w:t>如对本谈判文件有任何疑问或澄清要求，应在知其权益受到损害之日起七个工作日内提出。否则视同投标</w:t>
      </w:r>
      <w:r>
        <w:rPr>
          <w:rStyle w:val="62"/>
          <w:rFonts w:hint="eastAsia" w:ascii="宋体" w:hAnsi="宋体" w:cs="宋体"/>
          <w:color w:val="000000"/>
          <w:kern w:val="0"/>
          <w:sz w:val="24"/>
          <w:szCs w:val="24"/>
          <w:lang w:val="en-US" w:eastAsia="zh-CN" w:bidi="ar-SA"/>
        </w:rPr>
        <w:t>供应商</w:t>
      </w:r>
      <w:r>
        <w:rPr>
          <w:rStyle w:val="62"/>
          <w:rFonts w:hint="eastAsia" w:ascii="宋体" w:hAnsi="宋体" w:eastAsia="宋体" w:cs="宋体"/>
          <w:color w:val="000000"/>
          <w:kern w:val="0"/>
          <w:sz w:val="24"/>
          <w:szCs w:val="24"/>
          <w:lang w:val="en-US" w:eastAsia="zh-CN" w:bidi="ar-SA"/>
        </w:rPr>
        <w:t>对文件理解和接受。</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投标</w:t>
      </w:r>
      <w:r>
        <w:rPr>
          <w:rStyle w:val="62"/>
          <w:rFonts w:hint="eastAsia" w:ascii="宋体" w:hAnsi="宋体" w:cs="宋体"/>
          <w:color w:val="000000"/>
          <w:kern w:val="0"/>
          <w:sz w:val="24"/>
          <w:szCs w:val="24"/>
          <w:lang w:val="en-US" w:eastAsia="zh-CN" w:bidi="ar-SA"/>
        </w:rPr>
        <w:t>供应商</w:t>
      </w:r>
      <w:r>
        <w:rPr>
          <w:rStyle w:val="62"/>
          <w:rFonts w:hint="eastAsia" w:ascii="宋体" w:hAnsi="宋体" w:eastAsia="宋体" w:cs="宋体"/>
          <w:color w:val="000000"/>
          <w:kern w:val="0"/>
          <w:sz w:val="24"/>
          <w:szCs w:val="24"/>
          <w:lang w:val="en-US" w:eastAsia="zh-CN" w:bidi="ar-SA"/>
        </w:rPr>
        <w:t>对成交公告有异议的，应在成交公告期限届满之日起七个工作日前提出。</w:t>
      </w:r>
    </w:p>
    <w:p>
      <w:pPr>
        <w:spacing w:line="360" w:lineRule="auto"/>
        <w:ind w:firstLine="549"/>
        <w:jc w:val="both"/>
        <w:textAlignment w:val="baseline"/>
        <w:rPr>
          <w:rStyle w:val="62"/>
          <w:rFonts w:hint="eastAsia" w:ascii="宋体" w:hAnsi="宋体" w:eastAsia="宋体" w:cs="宋体"/>
          <w:color w:val="000000"/>
          <w:kern w:val="0"/>
          <w:sz w:val="24"/>
          <w:szCs w:val="24"/>
          <w:lang w:val="en-US" w:eastAsia="zh-CN" w:bidi="ar-SA"/>
        </w:rPr>
      </w:pPr>
      <w:r>
        <w:rPr>
          <w:rStyle w:val="62"/>
          <w:rFonts w:hint="eastAsia" w:ascii="宋体" w:hAnsi="宋体" w:eastAsia="宋体" w:cs="宋体"/>
          <w:color w:val="000000"/>
          <w:kern w:val="0"/>
          <w:sz w:val="24"/>
          <w:szCs w:val="24"/>
          <w:lang w:val="en-US" w:eastAsia="zh-CN" w:bidi="ar-SA"/>
        </w:rPr>
        <w:t>关于谈判文件中非通用条款部分方面及评标结果的质疑向采购人提出，采购人在七个工作日内作出答复。关于谈判文件通用条款部分以及采购程序方面的质疑向采购代理机构提出，由采购代理机构作出答复。质疑人对答复内容不满意的或受理单位未在规定时间内作出答复的，可在答复期满后十五个工作日内向监督管理部门提出投诉。相关联系人及联系方式根据质疑提出阶段的不同分别见招标公告和成交公告。</w:t>
      </w:r>
    </w:p>
    <w:p>
      <w:pPr>
        <w:rPr>
          <w:rStyle w:val="62"/>
          <w:rFonts w:hint="eastAsia" w:ascii="宋体" w:hAnsi="宋体" w:eastAsia="宋体" w:cs="宋体"/>
          <w:bCs/>
          <w:color w:val="000000"/>
          <w:kern w:val="2"/>
          <w:sz w:val="24"/>
          <w:szCs w:val="24"/>
          <w:lang w:val="en-US" w:eastAsia="zh-CN" w:bidi="ar-SA"/>
        </w:rPr>
      </w:pPr>
    </w:p>
    <w:p>
      <w:pPr>
        <w:rPr>
          <w:rStyle w:val="62"/>
          <w:rFonts w:hint="eastAsia" w:ascii="宋体" w:hAnsi="宋体" w:eastAsia="宋体" w:cs="宋体"/>
          <w:bCs/>
          <w:color w:val="000000"/>
          <w:kern w:val="2"/>
          <w:sz w:val="24"/>
          <w:szCs w:val="24"/>
          <w:lang w:val="en-US" w:eastAsia="zh-CN" w:bidi="ar-SA"/>
        </w:rPr>
      </w:pPr>
    </w:p>
    <w:p>
      <w:pPr>
        <w:pStyle w:val="25"/>
        <w:widowControl/>
        <w:snapToGrid w:val="0"/>
        <w:spacing w:line="360" w:lineRule="auto"/>
        <w:jc w:val="center"/>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8"/>
          <w:szCs w:val="28"/>
          <w:lang w:val="en-US" w:eastAsia="zh-CN" w:bidi="ar-SA"/>
        </w:rPr>
        <w:t>第四章、项目需求</w:t>
      </w:r>
    </w:p>
    <w:p>
      <w:pPr>
        <w:pStyle w:val="6"/>
        <w:spacing w:line="360" w:lineRule="auto"/>
        <w:ind w:firstLine="480"/>
        <w:rPr>
          <w:rFonts w:ascii="宋体" w:hAnsi="宋体" w:eastAsia="宋体" w:cs="宋体"/>
          <w:sz w:val="24"/>
        </w:rPr>
      </w:pPr>
      <w:r>
        <w:rPr>
          <w:rFonts w:hint="eastAsia" w:ascii="宋体" w:hAnsi="宋体" w:eastAsia="宋体" w:cs="宋体"/>
          <w:sz w:val="24"/>
        </w:rPr>
        <w:t>一、项目基本情况</w:t>
      </w:r>
    </w:p>
    <w:p>
      <w:pPr>
        <w:pStyle w:val="6"/>
        <w:spacing w:line="360" w:lineRule="auto"/>
        <w:ind w:firstLine="480"/>
        <w:rPr>
          <w:rFonts w:ascii="宋体" w:hAnsi="宋体" w:eastAsia="宋体" w:cs="宋体"/>
          <w:sz w:val="24"/>
        </w:rPr>
      </w:pPr>
      <w:r>
        <w:rPr>
          <w:rFonts w:hint="eastAsia" w:ascii="宋体" w:hAnsi="宋体" w:eastAsia="宋体" w:cs="宋体"/>
          <w:sz w:val="24"/>
        </w:rPr>
        <w:t>项目名称：铜陵学院公寓智能控电系统维修维保项目</w:t>
      </w:r>
    </w:p>
    <w:p>
      <w:pPr>
        <w:pStyle w:val="6"/>
        <w:spacing w:line="360" w:lineRule="auto"/>
        <w:ind w:firstLine="480"/>
        <w:rPr>
          <w:rFonts w:ascii="宋体" w:hAnsi="宋体" w:eastAsia="宋体" w:cs="宋体"/>
          <w:sz w:val="24"/>
        </w:rPr>
      </w:pPr>
      <w:r>
        <w:rPr>
          <w:rFonts w:hint="eastAsia" w:ascii="宋体" w:hAnsi="宋体" w:eastAsia="宋体" w:cs="宋体"/>
          <w:sz w:val="24"/>
        </w:rPr>
        <w:t>二、采购内容和技术要求</w:t>
      </w:r>
    </w:p>
    <w:p>
      <w:pPr>
        <w:pStyle w:val="6"/>
        <w:spacing w:line="360" w:lineRule="auto"/>
        <w:ind w:firstLine="480"/>
        <w:rPr>
          <w:rFonts w:ascii="宋体" w:hAnsi="宋体" w:eastAsia="宋体" w:cs="宋体"/>
          <w:sz w:val="24"/>
        </w:rPr>
      </w:pPr>
      <w:r>
        <w:rPr>
          <w:rFonts w:hint="eastAsia" w:ascii="宋体" w:hAnsi="宋体" w:eastAsia="宋体" w:cs="宋体"/>
          <w:sz w:val="24"/>
        </w:rPr>
        <w:t>（一）项目需求一览表</w:t>
      </w:r>
    </w:p>
    <w:p>
      <w:pPr>
        <w:pStyle w:val="6"/>
        <w:spacing w:line="360" w:lineRule="auto"/>
        <w:ind w:firstLine="480"/>
        <w:rPr>
          <w:rFonts w:ascii="宋体" w:hAnsi="宋体" w:eastAsia="宋体" w:cs="宋体"/>
          <w:sz w:val="24"/>
        </w:rPr>
      </w:pPr>
      <w:r>
        <w:rPr>
          <w:rFonts w:hint="eastAsia" w:ascii="宋体" w:hAnsi="宋体" w:eastAsia="宋体" w:cs="宋体"/>
          <w:sz w:val="24"/>
        </w:rPr>
        <w:t>1、项目概况</w:t>
      </w:r>
    </w:p>
    <w:p>
      <w:pPr>
        <w:pStyle w:val="6"/>
        <w:spacing w:line="360" w:lineRule="auto"/>
        <w:ind w:firstLine="480"/>
        <w:rPr>
          <w:rFonts w:ascii="宋体" w:hAnsi="宋体" w:eastAsia="宋体" w:cs="宋体"/>
          <w:sz w:val="24"/>
        </w:rPr>
      </w:pPr>
      <w:r>
        <w:rPr>
          <w:rFonts w:hint="eastAsia" w:ascii="宋体" w:hAnsi="宋体" w:eastAsia="宋体" w:cs="宋体"/>
          <w:sz w:val="24"/>
        </w:rPr>
        <w:t>铜陵学院翠湖校区一号生活区控制宿舍内插座及照明的控制计量模块共1</w:t>
      </w:r>
      <w:r>
        <w:rPr>
          <w:rFonts w:ascii="宋体" w:hAnsi="宋体" w:eastAsia="宋体" w:cs="宋体"/>
          <w:sz w:val="24"/>
        </w:rPr>
        <w:t>481</w:t>
      </w:r>
      <w:r>
        <w:rPr>
          <w:rFonts w:hint="eastAsia" w:ascii="宋体" w:hAnsi="宋体" w:eastAsia="宋体" w:cs="宋体"/>
          <w:sz w:val="24"/>
        </w:rPr>
        <w:t>块，掌上客户端1套、数据网关8台、配电箱9</w:t>
      </w:r>
      <w:r>
        <w:rPr>
          <w:rFonts w:ascii="宋体" w:hAnsi="宋体" w:eastAsia="宋体" w:cs="宋体"/>
          <w:sz w:val="24"/>
        </w:rPr>
        <w:t>6</w:t>
      </w:r>
      <w:r>
        <w:rPr>
          <w:rFonts w:hint="eastAsia" w:ascii="宋体" w:hAnsi="宋体" w:eastAsia="宋体" w:cs="宋体"/>
          <w:sz w:val="24"/>
        </w:rPr>
        <w:t>台，现须对外委托维修维保。</w:t>
      </w:r>
    </w:p>
    <w:p>
      <w:pPr>
        <w:pStyle w:val="6"/>
        <w:spacing w:line="360" w:lineRule="auto"/>
        <w:ind w:firstLine="480"/>
        <w:rPr>
          <w:rFonts w:ascii="宋体" w:hAnsi="宋体" w:eastAsia="宋体" w:cs="宋体"/>
          <w:sz w:val="24"/>
        </w:rPr>
      </w:pPr>
      <w:r>
        <w:rPr>
          <w:rFonts w:hint="eastAsia" w:ascii="宋体" w:hAnsi="宋体" w:eastAsia="宋体" w:cs="宋体"/>
          <w:sz w:val="24"/>
        </w:rPr>
        <w:t>2、服务需求</w:t>
      </w:r>
    </w:p>
    <w:p>
      <w:pPr>
        <w:pStyle w:val="6"/>
        <w:spacing w:line="360" w:lineRule="auto"/>
        <w:ind w:firstLine="480"/>
        <w:rPr>
          <w:rFonts w:ascii="宋体" w:hAnsi="宋体" w:eastAsia="宋体" w:cs="宋体"/>
          <w:sz w:val="24"/>
        </w:rPr>
      </w:pPr>
      <w:r>
        <w:rPr>
          <w:rFonts w:hint="eastAsia" w:ascii="宋体" w:hAnsi="宋体" w:eastAsia="宋体" w:cs="宋体"/>
          <w:sz w:val="24"/>
        </w:rPr>
        <w:t>（1）确保智能水电管理系统各项控制管理功能及设备正常运行；</w:t>
      </w:r>
    </w:p>
    <w:p>
      <w:pPr>
        <w:pStyle w:val="6"/>
        <w:spacing w:line="360" w:lineRule="auto"/>
        <w:ind w:firstLine="480"/>
        <w:rPr>
          <w:rFonts w:ascii="宋体" w:hAnsi="宋体" w:eastAsia="宋体" w:cs="宋体"/>
          <w:sz w:val="24"/>
        </w:rPr>
      </w:pPr>
      <w:r>
        <w:rPr>
          <w:rFonts w:hint="eastAsia" w:ascii="宋体" w:hAnsi="宋体" w:eastAsia="宋体" w:cs="宋体"/>
          <w:sz w:val="24"/>
        </w:rPr>
        <w:t>（2）确保单元用电计量计费：当用户在宿舍里面用电时，电表会通过采集其脉冲来进行计量（自动累减）；</w:t>
      </w:r>
    </w:p>
    <w:p>
      <w:pPr>
        <w:pStyle w:val="6"/>
        <w:spacing w:line="360" w:lineRule="auto"/>
        <w:ind w:firstLine="480"/>
        <w:rPr>
          <w:rFonts w:ascii="宋体" w:hAnsi="宋体" w:eastAsia="宋体" w:cs="宋体"/>
          <w:sz w:val="24"/>
        </w:rPr>
      </w:pPr>
      <w:r>
        <w:rPr>
          <w:rFonts w:hint="eastAsia" w:ascii="宋体" w:hAnsi="宋体" w:eastAsia="宋体" w:cs="宋体"/>
          <w:sz w:val="24"/>
        </w:rPr>
        <w:t>（3）确保单元预存电量低限提示报警：当用户单元所预存（拥有）的电量已减到设定低限值时（一般设为5度）；</w:t>
      </w:r>
    </w:p>
    <w:p>
      <w:pPr>
        <w:pStyle w:val="6"/>
        <w:spacing w:line="360" w:lineRule="auto"/>
        <w:ind w:firstLine="480"/>
        <w:rPr>
          <w:rFonts w:ascii="宋体" w:hAnsi="宋体" w:eastAsia="宋体" w:cs="宋体"/>
          <w:sz w:val="24"/>
        </w:rPr>
      </w:pPr>
      <w:r>
        <w:rPr>
          <w:rFonts w:hint="eastAsia" w:ascii="宋体" w:hAnsi="宋体" w:eastAsia="宋体" w:cs="宋体"/>
          <w:sz w:val="24"/>
        </w:rPr>
        <w:t>（4）确保预购电量、无费关断：用户应首先到指定购电处购电，售电计算机将在十秒内自动将数据发送到电表，然后系统将给用户供电，当用户剩余电量为零时，系统将自动切断该单元供电，只有用户重新购电后，系统才会自动恢复对该单元供电；</w:t>
      </w:r>
    </w:p>
    <w:p>
      <w:pPr>
        <w:pStyle w:val="6"/>
        <w:spacing w:line="360" w:lineRule="auto"/>
        <w:ind w:firstLine="480"/>
        <w:rPr>
          <w:rFonts w:ascii="宋体" w:hAnsi="宋体" w:eastAsia="宋体" w:cs="宋体"/>
          <w:sz w:val="24"/>
        </w:rPr>
      </w:pPr>
      <w:r>
        <w:rPr>
          <w:rFonts w:hint="eastAsia" w:ascii="宋体" w:hAnsi="宋体" w:eastAsia="宋体" w:cs="宋体"/>
          <w:sz w:val="24"/>
        </w:rPr>
        <w:t>（5）确保定时控电：可根据自身管理需求，对用电时间进行定时控制，系统共有20个定时器，定时类型多样，可按不同日期和不同的用户组别分别进行控制其开、关，还可在不同的定时段内选用不同的单路限流值；</w:t>
      </w:r>
    </w:p>
    <w:p>
      <w:pPr>
        <w:pStyle w:val="6"/>
        <w:spacing w:line="360" w:lineRule="auto"/>
        <w:ind w:firstLine="480"/>
        <w:rPr>
          <w:rFonts w:ascii="宋体" w:hAnsi="宋体" w:eastAsia="宋体" w:cs="宋体"/>
          <w:sz w:val="24"/>
        </w:rPr>
      </w:pPr>
      <w:r>
        <w:rPr>
          <w:rFonts w:hint="eastAsia" w:ascii="宋体" w:hAnsi="宋体" w:eastAsia="宋体" w:cs="宋体"/>
          <w:sz w:val="24"/>
        </w:rPr>
        <w:t>（6）确保负载限制：使用单位根据自身管理上的要求，可对用户单元的最大负荷进行统一、分组。单独设置不同的限流值。当某单元实际用电负荷超过设定用电负荷时，系统将自动切断该单元供电，只有当管理人员对该单元进行过流复位时，用户单元才可继续用电；</w:t>
      </w:r>
    </w:p>
    <w:p>
      <w:pPr>
        <w:pStyle w:val="6"/>
        <w:spacing w:line="360" w:lineRule="auto"/>
        <w:ind w:firstLine="480"/>
        <w:rPr>
          <w:rFonts w:hint="eastAsia" w:ascii="宋体" w:hAnsi="宋体" w:eastAsia="宋体" w:cs="宋体"/>
          <w:sz w:val="24"/>
        </w:rPr>
      </w:pPr>
      <w:r>
        <w:rPr>
          <w:rFonts w:hint="eastAsia" w:ascii="宋体" w:hAnsi="宋体" w:eastAsia="宋体" w:cs="宋体"/>
          <w:sz w:val="24"/>
        </w:rPr>
        <w:t>（7）确保单元用电情况查询：在系统软件和数据管理器上，用户可随时查询用户房间当时用电情况，也可在系统软件上查询用电单元前十年的所有用电情况，基础用电和交费情况；</w:t>
      </w:r>
    </w:p>
    <w:p>
      <w:pPr>
        <w:pStyle w:val="6"/>
        <w:spacing w:line="360" w:lineRule="auto"/>
        <w:ind w:firstLine="480"/>
        <w:rPr>
          <w:rFonts w:ascii="宋体" w:hAnsi="宋体" w:eastAsia="宋体" w:cs="宋体"/>
          <w:sz w:val="24"/>
        </w:rPr>
      </w:pPr>
      <w:r>
        <w:rPr>
          <w:rFonts w:hint="eastAsia" w:ascii="宋体" w:hAnsi="宋体" w:eastAsia="宋体" w:cs="宋体"/>
          <w:sz w:val="24"/>
        </w:rPr>
        <w:t>（8）确保故障自动报警：当系统监测到系统中有中位机不通讯，或计量模块控制错误时，系统会采用蜂鸣器报警；</w:t>
      </w:r>
    </w:p>
    <w:p>
      <w:pPr>
        <w:pStyle w:val="6"/>
        <w:spacing w:line="360" w:lineRule="auto"/>
        <w:ind w:firstLine="480"/>
        <w:rPr>
          <w:rFonts w:ascii="宋体" w:hAnsi="宋体" w:eastAsia="宋体" w:cs="宋体"/>
          <w:sz w:val="24"/>
        </w:rPr>
      </w:pPr>
      <w:r>
        <w:rPr>
          <w:rFonts w:hint="eastAsia" w:ascii="宋体" w:hAnsi="宋体" w:eastAsia="宋体" w:cs="宋体"/>
          <w:sz w:val="24"/>
        </w:rPr>
        <w:t>（9）确保免费基础电量设置：免费基础电量设置方式灵活，可按每月/季度/年对各组别的用户设定不同的免费基础用电量；</w:t>
      </w:r>
    </w:p>
    <w:p>
      <w:pPr>
        <w:pStyle w:val="6"/>
        <w:spacing w:line="360" w:lineRule="auto"/>
        <w:ind w:firstLine="480"/>
        <w:rPr>
          <w:rFonts w:ascii="宋体" w:hAnsi="宋体" w:eastAsia="宋体" w:cs="宋体"/>
          <w:sz w:val="24"/>
        </w:rPr>
      </w:pPr>
      <w:r>
        <w:rPr>
          <w:rFonts w:hint="eastAsia" w:ascii="宋体" w:hAnsi="宋体" w:eastAsia="宋体" w:cs="宋体"/>
          <w:sz w:val="24"/>
        </w:rPr>
        <w:t>（10）确保退费管理：系统管理员可以对用户单元进行退费处理，并打印出所有退费用电单元的退费明细表；</w:t>
      </w:r>
    </w:p>
    <w:p>
      <w:pPr>
        <w:pStyle w:val="6"/>
        <w:spacing w:line="360" w:lineRule="auto"/>
        <w:ind w:firstLine="480"/>
        <w:rPr>
          <w:rFonts w:ascii="宋体" w:hAnsi="宋体" w:eastAsia="宋体" w:cs="宋体"/>
          <w:sz w:val="24"/>
        </w:rPr>
      </w:pPr>
      <w:r>
        <w:rPr>
          <w:rFonts w:hint="eastAsia" w:ascii="宋体" w:hAnsi="宋体" w:eastAsia="宋体" w:cs="宋体"/>
          <w:sz w:val="24"/>
        </w:rPr>
        <w:t>（11）确保非法操作、误操作阻挡提示：当操作员对系统进行误操作时，系统会自动对其进行阻挡，当操作员试图做一些对系统有较大影响操作时，系统也将有所提示，保障用户操作安全；</w:t>
      </w:r>
    </w:p>
    <w:p>
      <w:pPr>
        <w:pStyle w:val="6"/>
        <w:spacing w:line="360" w:lineRule="auto"/>
        <w:ind w:firstLine="480"/>
        <w:rPr>
          <w:rFonts w:ascii="宋体" w:hAnsi="宋体" w:eastAsia="宋体" w:cs="宋体"/>
          <w:sz w:val="24"/>
        </w:rPr>
      </w:pPr>
      <w:r>
        <w:rPr>
          <w:rFonts w:hint="eastAsia" w:ascii="宋体" w:hAnsi="宋体" w:eastAsia="宋体" w:cs="宋体"/>
          <w:sz w:val="24"/>
        </w:rPr>
        <w:t>（12）支持中途更换操作员：软件系统可有多个操作员或管理员并能对其进行权限分配，只有操作员用正确的用户名和口令登录时才能得到自己相应的权限；</w:t>
      </w:r>
    </w:p>
    <w:p>
      <w:pPr>
        <w:pStyle w:val="6"/>
        <w:spacing w:line="360" w:lineRule="auto"/>
        <w:ind w:firstLine="480"/>
        <w:rPr>
          <w:rFonts w:ascii="宋体" w:hAnsi="宋体" w:eastAsia="宋体" w:cs="宋体"/>
          <w:sz w:val="24"/>
        </w:rPr>
      </w:pPr>
      <w:r>
        <w:rPr>
          <w:rFonts w:hint="eastAsia" w:ascii="宋体" w:hAnsi="宋体" w:eastAsia="宋体" w:cs="宋体"/>
          <w:sz w:val="24"/>
        </w:rPr>
        <w:t>（13）系统操作日志、帐户操作日志和追踪审计：系统将把每个操作员所做的每一步操作都记录在数据库中，对其所有的操作都有可追溯性；</w:t>
      </w:r>
    </w:p>
    <w:p>
      <w:pPr>
        <w:pStyle w:val="6"/>
        <w:spacing w:line="360" w:lineRule="auto"/>
        <w:ind w:firstLine="480"/>
        <w:rPr>
          <w:rFonts w:ascii="宋体" w:hAnsi="宋体" w:eastAsia="宋体" w:cs="宋体"/>
          <w:sz w:val="24"/>
        </w:rPr>
      </w:pPr>
      <w:r>
        <w:rPr>
          <w:rFonts w:hint="eastAsia" w:ascii="宋体" w:hAnsi="宋体" w:eastAsia="宋体" w:cs="宋体"/>
          <w:sz w:val="24"/>
        </w:rPr>
        <w:t>（14）对帐户的各项操作可批量和个别进行：系统允许对用户进行分组，默认为4组，最大可扩展到9组，当对用户进行各项操作时，均可按组进行操作；</w:t>
      </w:r>
    </w:p>
    <w:p>
      <w:pPr>
        <w:pStyle w:val="6"/>
        <w:spacing w:line="360" w:lineRule="auto"/>
        <w:ind w:firstLine="480"/>
        <w:rPr>
          <w:rFonts w:ascii="宋体" w:hAnsi="宋体" w:eastAsia="宋体" w:cs="宋体"/>
          <w:sz w:val="24"/>
        </w:rPr>
      </w:pPr>
      <w:r>
        <w:rPr>
          <w:rFonts w:hint="eastAsia" w:ascii="宋体" w:hAnsi="宋体" w:eastAsia="宋体" w:cs="宋体"/>
          <w:sz w:val="24"/>
        </w:rPr>
        <w:t>（15）断电数据保护、断电恢复功能：当电脑因非正常关机而引起数据库损坏时，SIMS系统软件会自动对数据库进行修复，绝对保证数据库的安全；</w:t>
      </w:r>
    </w:p>
    <w:p>
      <w:pPr>
        <w:pStyle w:val="6"/>
        <w:spacing w:line="360" w:lineRule="auto"/>
        <w:ind w:firstLine="480"/>
        <w:rPr>
          <w:rFonts w:ascii="宋体" w:hAnsi="宋体" w:eastAsia="宋体" w:cs="宋体"/>
          <w:sz w:val="24"/>
        </w:rPr>
      </w:pPr>
      <w:r>
        <w:rPr>
          <w:rFonts w:hint="eastAsia" w:ascii="宋体" w:hAnsi="宋体" w:eastAsia="宋体" w:cs="宋体"/>
          <w:sz w:val="24"/>
        </w:rPr>
        <w:t>（16）用电数据统计分析功能：系统软件中含有报表打印功能，报表形式多样灵活，统计准确快速；</w:t>
      </w:r>
    </w:p>
    <w:p>
      <w:pPr>
        <w:pStyle w:val="6"/>
        <w:spacing w:line="360" w:lineRule="auto"/>
        <w:ind w:firstLine="480"/>
        <w:rPr>
          <w:rFonts w:ascii="宋体" w:hAnsi="宋体" w:eastAsia="宋体" w:cs="宋体"/>
          <w:sz w:val="24"/>
        </w:rPr>
      </w:pPr>
      <w:r>
        <w:rPr>
          <w:rFonts w:hint="eastAsia" w:ascii="宋体" w:hAnsi="宋体" w:eastAsia="宋体" w:cs="宋体"/>
          <w:sz w:val="24"/>
        </w:rPr>
        <w:t>（17）欠压运行模块：计量模块在欠压的情况下也能正常运行，电压范围在170-240V；</w:t>
      </w:r>
    </w:p>
    <w:p>
      <w:pPr>
        <w:pStyle w:val="6"/>
        <w:spacing w:line="360" w:lineRule="auto"/>
        <w:ind w:firstLine="480"/>
        <w:rPr>
          <w:rFonts w:ascii="宋体" w:hAnsi="宋体" w:eastAsia="宋体" w:cs="宋体"/>
          <w:sz w:val="24"/>
        </w:rPr>
      </w:pPr>
      <w:r>
        <w:rPr>
          <w:rFonts w:hint="eastAsia" w:ascii="宋体" w:hAnsi="宋体" w:eastAsia="宋体" w:cs="宋体"/>
          <w:sz w:val="24"/>
        </w:rPr>
        <w:t>（18）实时监控：对每个房间的用电情况进行实时监控，实时监控的刷新速度为6秒一次，只要在6秒钟内就可以直观显示学生房间当前的用电数据（当前用电、剩余电量、已用电量、用电情况等）；</w:t>
      </w:r>
    </w:p>
    <w:p>
      <w:pPr>
        <w:pStyle w:val="6"/>
        <w:spacing w:line="360" w:lineRule="auto"/>
        <w:ind w:firstLine="480"/>
        <w:rPr>
          <w:rFonts w:ascii="宋体" w:hAnsi="宋体" w:eastAsia="宋体" w:cs="宋体"/>
          <w:sz w:val="24"/>
        </w:rPr>
      </w:pPr>
      <w:r>
        <w:rPr>
          <w:rFonts w:hint="eastAsia" w:ascii="宋体" w:hAnsi="宋体" w:eastAsia="宋体" w:cs="宋体"/>
          <w:sz w:val="24"/>
        </w:rPr>
        <w:t>（19）数据多重备份：用电数据采用电脑。数据管理器、中位机三重备份，当电脑关机或不正常时，电表会在数据管理器的控制下正常运行；</w:t>
      </w:r>
    </w:p>
    <w:p>
      <w:pPr>
        <w:pStyle w:val="6"/>
        <w:spacing w:line="360" w:lineRule="auto"/>
        <w:ind w:firstLine="480"/>
        <w:rPr>
          <w:rFonts w:ascii="宋体" w:hAnsi="宋体" w:eastAsia="宋体" w:cs="宋体"/>
          <w:sz w:val="24"/>
        </w:rPr>
      </w:pPr>
      <w:r>
        <w:rPr>
          <w:rFonts w:hint="eastAsia" w:ascii="宋体" w:hAnsi="宋体" w:eastAsia="宋体" w:cs="宋体"/>
          <w:sz w:val="24"/>
        </w:rPr>
        <w:t>（20）可拓展性：该系统具有收缴电费打印功能；</w:t>
      </w:r>
    </w:p>
    <w:p>
      <w:pPr>
        <w:pStyle w:val="6"/>
        <w:spacing w:line="360" w:lineRule="auto"/>
        <w:ind w:firstLine="480"/>
        <w:rPr>
          <w:rFonts w:ascii="宋体" w:hAnsi="宋体" w:eastAsia="宋体" w:cs="宋体"/>
          <w:sz w:val="24"/>
        </w:rPr>
      </w:pPr>
      <w:r>
        <w:rPr>
          <w:rFonts w:hint="eastAsia" w:ascii="宋体" w:hAnsi="宋体" w:eastAsia="宋体" w:cs="宋体"/>
          <w:sz w:val="24"/>
        </w:rPr>
        <w:t>（21）乙方对甲方系统软件免费升级（同一版本）；</w:t>
      </w:r>
    </w:p>
    <w:p>
      <w:pPr>
        <w:pStyle w:val="6"/>
        <w:spacing w:line="360" w:lineRule="auto"/>
        <w:ind w:firstLine="480"/>
        <w:rPr>
          <w:rFonts w:ascii="宋体" w:hAnsi="宋体" w:eastAsia="宋体" w:cs="宋体"/>
          <w:sz w:val="24"/>
        </w:rPr>
      </w:pPr>
      <w:r>
        <w:rPr>
          <w:rFonts w:hint="eastAsia" w:ascii="宋体" w:hAnsi="宋体" w:eastAsia="宋体" w:cs="宋体"/>
          <w:sz w:val="24"/>
        </w:rPr>
        <w:t>（22）乙方负责对甲方人员进行的技术培训1天、并提供陪班操作7个工作日，培训内容包括系统结构原理、模块控制原理、日常维护等。</w:t>
      </w:r>
    </w:p>
    <w:p>
      <w:pPr>
        <w:pStyle w:val="6"/>
        <w:spacing w:line="360" w:lineRule="auto"/>
        <w:ind w:firstLine="480"/>
        <w:rPr>
          <w:rFonts w:ascii="宋体" w:hAnsi="宋体" w:eastAsia="宋体" w:cs="宋体"/>
          <w:sz w:val="24"/>
        </w:rPr>
      </w:pPr>
      <w:r>
        <w:rPr>
          <w:rFonts w:hint="eastAsia" w:ascii="宋体" w:hAnsi="宋体" w:eastAsia="宋体" w:cs="宋体"/>
          <w:sz w:val="24"/>
        </w:rPr>
        <w:t>(23) 提供专业技术人员进行服务技术支持。能在接到故障或咨询电话半个小时之内做出有效的回应，并能确保24个小时内到现场解决问题。</w:t>
      </w:r>
    </w:p>
    <w:p>
      <w:pPr>
        <w:pStyle w:val="6"/>
        <w:spacing w:line="360" w:lineRule="auto"/>
        <w:ind w:firstLine="480"/>
        <w:rPr>
          <w:rFonts w:ascii="宋体" w:hAnsi="宋体" w:eastAsia="宋体" w:cs="宋体"/>
          <w:sz w:val="24"/>
        </w:rPr>
      </w:pPr>
      <w:r>
        <w:rPr>
          <w:rFonts w:hint="eastAsia" w:ascii="宋体" w:hAnsi="宋体" w:eastAsia="宋体" w:cs="宋体"/>
          <w:sz w:val="24"/>
        </w:rPr>
        <w:t>3、维保设备清单</w:t>
      </w:r>
    </w:p>
    <w:tbl>
      <w:tblPr>
        <w:tblStyle w:val="12"/>
        <w:tblW w:w="5128" w:type="pct"/>
        <w:tblInd w:w="0" w:type="dxa"/>
        <w:tblLayout w:type="fixed"/>
        <w:tblCellMar>
          <w:top w:w="0" w:type="dxa"/>
          <w:left w:w="0" w:type="dxa"/>
          <w:bottom w:w="0" w:type="dxa"/>
          <w:right w:w="0" w:type="dxa"/>
        </w:tblCellMar>
      </w:tblPr>
      <w:tblGrid>
        <w:gridCol w:w="826"/>
        <w:gridCol w:w="1672"/>
        <w:gridCol w:w="2573"/>
        <w:gridCol w:w="1037"/>
        <w:gridCol w:w="1237"/>
        <w:gridCol w:w="1212"/>
      </w:tblGrid>
      <w:tr>
        <w:tblPrEx>
          <w:tblCellMar>
            <w:top w:w="0" w:type="dxa"/>
            <w:left w:w="0" w:type="dxa"/>
            <w:bottom w:w="0" w:type="dxa"/>
            <w:right w:w="0" w:type="dxa"/>
          </w:tblCellMar>
        </w:tblPrEx>
        <w:trPr>
          <w:trHeight w:val="48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210" w:firstLineChars="100"/>
              <w:jc w:val="both"/>
              <w:rPr>
                <w:rFonts w:ascii="宋体" w:hAnsi="宋体" w:eastAsia="宋体" w:cs="宋体"/>
                <w:b w:val="0"/>
                <w:bCs w:val="0"/>
                <w:sz w:val="21"/>
                <w:szCs w:val="21"/>
              </w:rPr>
            </w:pPr>
            <w:r>
              <w:rPr>
                <w:rFonts w:hint="eastAsia" w:ascii="宋体" w:hAnsi="宋体" w:eastAsia="宋体" w:cs="宋体"/>
                <w:b w:val="0"/>
                <w:bCs w:val="0"/>
                <w:sz w:val="21"/>
                <w:szCs w:val="21"/>
              </w:rPr>
              <w:t>序号</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设备名称</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设备型号</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品牌</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单位</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数量</w:t>
            </w:r>
          </w:p>
        </w:tc>
      </w:tr>
      <w:tr>
        <w:tblPrEx>
          <w:tblCellMar>
            <w:top w:w="0" w:type="dxa"/>
            <w:left w:w="0" w:type="dxa"/>
            <w:bottom w:w="0" w:type="dxa"/>
            <w:right w:w="0" w:type="dxa"/>
          </w:tblCellMar>
        </w:tblPrEx>
        <w:trPr>
          <w:trHeight w:val="62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1</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控制计量模块</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DDS1351</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块（2路）</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1481</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2</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掌上客户端</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完美校园业务平台</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套</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1</w:t>
            </w:r>
          </w:p>
        </w:tc>
      </w:tr>
      <w:tr>
        <w:tblPrEx>
          <w:tblCellMar>
            <w:top w:w="0" w:type="dxa"/>
            <w:left w:w="0" w:type="dxa"/>
            <w:bottom w:w="0" w:type="dxa"/>
            <w:right w:w="0" w:type="dxa"/>
          </w:tblCellMar>
        </w:tblPrEx>
        <w:trPr>
          <w:trHeight w:val="56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3</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数据网关</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N100</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台</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8</w:t>
            </w:r>
          </w:p>
        </w:tc>
      </w:tr>
      <w:tr>
        <w:tblPrEx>
          <w:tblCellMar>
            <w:top w:w="0" w:type="dxa"/>
            <w:left w:w="0" w:type="dxa"/>
            <w:bottom w:w="0" w:type="dxa"/>
            <w:right w:w="0" w:type="dxa"/>
          </w:tblCellMar>
        </w:tblPrEx>
        <w:trPr>
          <w:trHeight w:val="56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4</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配电箱</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RF01</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台</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96</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5</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控制主板</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N200</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只</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96</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6</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工作站1</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HP 288 P</w:t>
            </w:r>
            <w:r>
              <w:rPr>
                <w:rFonts w:hint="eastAsia" w:ascii="宋体" w:hAnsi="宋体" w:eastAsia="宋体" w:cs="宋体"/>
                <w:b w:val="0"/>
                <w:bCs w:val="0"/>
                <w:sz w:val="21"/>
                <w:szCs w:val="21"/>
              </w:rPr>
              <w:t>ro</w:t>
            </w:r>
            <w:r>
              <w:rPr>
                <w:rFonts w:ascii="宋体" w:hAnsi="宋体" w:eastAsia="宋体" w:cs="宋体"/>
                <w:b w:val="0"/>
                <w:bCs w:val="0"/>
                <w:sz w:val="21"/>
                <w:szCs w:val="21"/>
              </w:rPr>
              <w:t xml:space="preserve"> G3</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H</w:t>
            </w:r>
            <w:r>
              <w:rPr>
                <w:rFonts w:ascii="宋体" w:hAnsi="宋体" w:eastAsia="宋体" w:cs="宋体"/>
                <w:b w:val="0"/>
                <w:bCs w:val="0"/>
                <w:sz w:val="21"/>
                <w:szCs w:val="21"/>
              </w:rPr>
              <w:t>P</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台</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1</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7</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工作站</w:t>
            </w:r>
            <w:r>
              <w:rPr>
                <w:rFonts w:ascii="宋体" w:hAnsi="宋体" w:eastAsia="宋体" w:cs="宋体"/>
                <w:b w:val="0"/>
                <w:bCs w:val="0"/>
                <w:sz w:val="21"/>
                <w:szCs w:val="21"/>
              </w:rPr>
              <w:t>2</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hint="eastAsia" w:ascii="宋体" w:hAnsi="宋体" w:eastAsia="宋体" w:cs="宋体"/>
                <w:b w:val="0"/>
                <w:bCs w:val="0"/>
                <w:sz w:val="21"/>
                <w:szCs w:val="21"/>
              </w:rPr>
            </w:pPr>
            <w:r>
              <w:rPr>
                <w:rFonts w:ascii="宋体" w:hAnsi="宋体" w:eastAsia="宋体" w:cs="宋体"/>
                <w:b w:val="0"/>
                <w:bCs w:val="0"/>
                <w:sz w:val="21"/>
                <w:szCs w:val="21"/>
              </w:rPr>
              <w:t xml:space="preserve">HP 340 </w:t>
            </w:r>
            <w:r>
              <w:rPr>
                <w:rFonts w:hint="eastAsia" w:ascii="宋体" w:hAnsi="宋体" w:eastAsia="宋体" w:cs="宋体"/>
                <w:b w:val="0"/>
                <w:bCs w:val="0"/>
                <w:sz w:val="21"/>
                <w:szCs w:val="21"/>
              </w:rPr>
              <w:t>G</w:t>
            </w:r>
            <w:r>
              <w:rPr>
                <w:rFonts w:ascii="宋体" w:hAnsi="宋体" w:eastAsia="宋体" w:cs="宋体"/>
                <w:b w:val="0"/>
                <w:bCs w:val="0"/>
                <w:sz w:val="21"/>
                <w:szCs w:val="21"/>
              </w:rPr>
              <w:t>4</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H</w:t>
            </w:r>
            <w:r>
              <w:rPr>
                <w:rFonts w:ascii="宋体" w:hAnsi="宋体" w:eastAsia="宋体" w:cs="宋体"/>
                <w:b w:val="0"/>
                <w:bCs w:val="0"/>
                <w:sz w:val="21"/>
                <w:szCs w:val="21"/>
              </w:rPr>
              <w:t>P</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台</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1</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8</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控制软件</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智能水电管理系统V</w:t>
            </w:r>
            <w:r>
              <w:rPr>
                <w:rFonts w:ascii="宋体" w:hAnsi="宋体" w:eastAsia="宋体" w:cs="宋体"/>
                <w:b w:val="0"/>
                <w:bCs w:val="0"/>
                <w:sz w:val="21"/>
                <w:szCs w:val="21"/>
              </w:rPr>
              <w:t>1.0</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套</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1</w:t>
            </w:r>
          </w:p>
        </w:tc>
      </w:tr>
      <w:tr>
        <w:tblPrEx>
          <w:tblCellMar>
            <w:top w:w="0" w:type="dxa"/>
            <w:left w:w="0" w:type="dxa"/>
            <w:bottom w:w="0" w:type="dxa"/>
            <w:right w:w="0" w:type="dxa"/>
          </w:tblCellMar>
        </w:tblPrEx>
        <w:trPr>
          <w:trHeight w:val="540" w:hRule="atLeast"/>
        </w:trPr>
        <w:tc>
          <w:tcPr>
            <w:tcW w:w="4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9</w:t>
            </w:r>
          </w:p>
        </w:tc>
        <w:tc>
          <w:tcPr>
            <w:tcW w:w="97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智慧显示终端</w:t>
            </w:r>
          </w:p>
        </w:tc>
        <w:tc>
          <w:tcPr>
            <w:tcW w:w="1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N600</w:t>
            </w:r>
          </w:p>
        </w:tc>
        <w:tc>
          <w:tcPr>
            <w:tcW w:w="6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ind w:left="0" w:leftChars="0" w:firstLine="0" w:firstLineChars="0"/>
              <w:jc w:val="both"/>
              <w:rPr>
                <w:rFonts w:ascii="宋体" w:hAnsi="宋体" w:eastAsia="宋体" w:cs="宋体"/>
                <w:b w:val="0"/>
                <w:bCs w:val="0"/>
                <w:sz w:val="21"/>
                <w:szCs w:val="21"/>
              </w:rPr>
            </w:pPr>
            <w:r>
              <w:rPr>
                <w:rFonts w:hint="eastAsia" w:ascii="宋体" w:hAnsi="宋体" w:eastAsia="宋体" w:cs="宋体"/>
                <w:b w:val="0"/>
                <w:bCs w:val="0"/>
                <w:sz w:val="21"/>
                <w:szCs w:val="21"/>
              </w:rPr>
              <w:t>新开普</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hint="eastAsia" w:ascii="宋体" w:hAnsi="宋体" w:eastAsia="宋体" w:cs="宋体"/>
                <w:b w:val="0"/>
                <w:bCs w:val="0"/>
                <w:sz w:val="21"/>
                <w:szCs w:val="21"/>
              </w:rPr>
              <w:t>台</w:t>
            </w:r>
          </w:p>
        </w:tc>
        <w:tc>
          <w:tcPr>
            <w:tcW w:w="70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6"/>
              <w:spacing w:line="360" w:lineRule="auto"/>
              <w:jc w:val="both"/>
              <w:rPr>
                <w:rFonts w:ascii="宋体" w:hAnsi="宋体" w:eastAsia="宋体" w:cs="宋体"/>
                <w:b w:val="0"/>
                <w:bCs w:val="0"/>
                <w:sz w:val="21"/>
                <w:szCs w:val="21"/>
              </w:rPr>
            </w:pPr>
            <w:r>
              <w:rPr>
                <w:rFonts w:ascii="宋体" w:hAnsi="宋体" w:eastAsia="宋体" w:cs="宋体"/>
                <w:b w:val="0"/>
                <w:bCs w:val="0"/>
                <w:sz w:val="21"/>
                <w:szCs w:val="21"/>
              </w:rPr>
              <w:t>8</w:t>
            </w:r>
          </w:p>
        </w:tc>
      </w:tr>
    </w:tbl>
    <w:p>
      <w:pPr>
        <w:pStyle w:val="6"/>
        <w:spacing w:line="360" w:lineRule="auto"/>
        <w:ind w:firstLine="480"/>
        <w:rPr>
          <w:rFonts w:ascii="宋体" w:hAnsi="宋体" w:eastAsia="宋体" w:cs="宋体"/>
          <w:sz w:val="24"/>
        </w:rPr>
      </w:pPr>
      <w:r>
        <w:rPr>
          <w:rFonts w:hint="eastAsia" w:ascii="宋体" w:hAnsi="宋体" w:eastAsia="宋体" w:cs="宋体"/>
          <w:sz w:val="24"/>
        </w:rPr>
        <w:t>（二）技术等要求：</w:t>
      </w:r>
    </w:p>
    <w:p>
      <w:pPr>
        <w:pStyle w:val="6"/>
        <w:spacing w:line="360" w:lineRule="auto"/>
        <w:ind w:firstLine="480"/>
        <w:rPr>
          <w:rFonts w:ascii="宋体" w:hAnsi="宋体" w:eastAsia="宋体" w:cs="宋体"/>
          <w:sz w:val="24"/>
        </w:rPr>
      </w:pPr>
      <w:r>
        <w:rPr>
          <w:rFonts w:hint="eastAsia" w:ascii="宋体" w:hAnsi="宋体" w:eastAsia="宋体" w:cs="宋体"/>
          <w:sz w:val="24"/>
        </w:rPr>
        <w:t>1、中标单位要严格按照“（一）项目需求一览表”中的技术参数和要求进行项目实施；</w:t>
      </w:r>
    </w:p>
    <w:p>
      <w:pPr>
        <w:pStyle w:val="6"/>
        <w:spacing w:line="360" w:lineRule="auto"/>
        <w:ind w:firstLine="480"/>
        <w:rPr>
          <w:rFonts w:ascii="宋体" w:hAnsi="宋体" w:eastAsia="宋体" w:cs="宋体"/>
          <w:sz w:val="24"/>
        </w:rPr>
      </w:pPr>
      <w:r>
        <w:rPr>
          <w:rFonts w:hint="eastAsia" w:ascii="宋体" w:hAnsi="宋体" w:eastAsia="宋体" w:cs="宋体"/>
          <w:sz w:val="24"/>
        </w:rPr>
        <w:t>2、中标单位所供货的商品要符合我院提出的规格型号品牌，质量、技术要求等要符合相关行业标准，否则引起的安全等问题，由中标单位负责；</w:t>
      </w:r>
    </w:p>
    <w:p>
      <w:pPr>
        <w:pStyle w:val="6"/>
        <w:spacing w:line="360" w:lineRule="auto"/>
        <w:ind w:firstLine="480"/>
        <w:rPr>
          <w:rFonts w:ascii="宋体" w:hAnsi="宋体" w:eastAsia="宋体" w:cs="宋体"/>
          <w:sz w:val="24"/>
        </w:rPr>
      </w:pPr>
      <w:r>
        <w:rPr>
          <w:rFonts w:hint="eastAsia" w:ascii="宋体" w:hAnsi="宋体" w:eastAsia="宋体" w:cs="宋体"/>
          <w:sz w:val="24"/>
        </w:rPr>
        <w:t>3、中标单位要对施工工作人员进行技术、安全等培训教育，经考核合格后，方可上岗。若工作人员因操作不当出现的人身安全等问题造成的损失，中标单位负一切责任，与学校无关；</w:t>
      </w:r>
    </w:p>
    <w:p>
      <w:pPr>
        <w:pStyle w:val="6"/>
        <w:spacing w:line="360" w:lineRule="auto"/>
        <w:ind w:firstLine="480"/>
        <w:rPr>
          <w:rFonts w:ascii="宋体" w:hAnsi="宋体" w:eastAsia="宋体" w:cs="宋体"/>
          <w:sz w:val="24"/>
        </w:rPr>
      </w:pPr>
      <w:r>
        <w:rPr>
          <w:rFonts w:hint="eastAsia" w:ascii="宋体" w:hAnsi="宋体" w:eastAsia="宋体" w:cs="宋体"/>
          <w:sz w:val="24"/>
        </w:rPr>
        <w:t>4、项目完成后，要确保设备正常运行。</w:t>
      </w:r>
    </w:p>
    <w:p>
      <w:pPr>
        <w:pStyle w:val="6"/>
        <w:spacing w:line="360" w:lineRule="auto"/>
        <w:ind w:firstLine="480"/>
        <w:rPr>
          <w:rFonts w:ascii="宋体" w:hAnsi="宋体" w:eastAsia="宋体" w:cs="宋体"/>
          <w:sz w:val="24"/>
        </w:rPr>
      </w:pPr>
      <w:r>
        <w:rPr>
          <w:rFonts w:hint="eastAsia" w:ascii="宋体" w:hAnsi="宋体" w:eastAsia="宋体" w:cs="宋体"/>
          <w:sz w:val="24"/>
        </w:rPr>
        <w:t>四、服务期要求、付款方式、交货地点</w:t>
      </w:r>
    </w:p>
    <w:p>
      <w:pPr>
        <w:pStyle w:val="6"/>
        <w:spacing w:line="360" w:lineRule="auto"/>
        <w:ind w:firstLine="480"/>
        <w:rPr>
          <w:rFonts w:ascii="宋体" w:hAnsi="宋体" w:eastAsia="宋体" w:cs="宋体"/>
          <w:sz w:val="24"/>
        </w:rPr>
      </w:pPr>
      <w:r>
        <w:rPr>
          <w:rFonts w:hint="eastAsia" w:ascii="宋体" w:hAnsi="宋体" w:eastAsia="宋体" w:cs="宋体"/>
          <w:sz w:val="24"/>
        </w:rPr>
        <w:t>1、服务期：</w:t>
      </w:r>
      <w:r>
        <w:rPr>
          <w:rFonts w:ascii="宋体" w:hAnsi="宋体" w:eastAsia="宋体" w:cs="宋体"/>
          <w:sz w:val="24"/>
        </w:rPr>
        <w:t>1</w:t>
      </w:r>
      <w:r>
        <w:rPr>
          <w:rFonts w:hint="eastAsia" w:ascii="宋体" w:hAnsi="宋体" w:eastAsia="宋体" w:cs="宋体"/>
          <w:sz w:val="24"/>
        </w:rPr>
        <w:t>年。自合同签订之日起执行。合同按照1+1+1方式签订,即每年考核合格后签订下一年合同。</w:t>
      </w:r>
    </w:p>
    <w:p>
      <w:pPr>
        <w:pStyle w:val="6"/>
        <w:spacing w:line="360" w:lineRule="auto"/>
        <w:ind w:firstLine="480"/>
        <w:rPr>
          <w:rFonts w:ascii="宋体" w:hAnsi="宋体" w:eastAsia="宋体" w:cs="宋体"/>
          <w:sz w:val="24"/>
        </w:rPr>
      </w:pPr>
      <w:r>
        <w:rPr>
          <w:rFonts w:hint="eastAsia" w:ascii="宋体" w:hAnsi="宋体" w:eastAsia="宋体" w:cs="宋体"/>
          <w:sz w:val="24"/>
        </w:rPr>
        <w:t>2、付款方式：每年合同期满经验收考核合格后一次付100%年度维修保养费用。</w:t>
      </w:r>
    </w:p>
    <w:p>
      <w:pPr>
        <w:pStyle w:val="6"/>
        <w:spacing w:line="360" w:lineRule="auto"/>
        <w:ind w:firstLine="480"/>
        <w:rPr>
          <w:rFonts w:ascii="宋体" w:hAnsi="宋体" w:eastAsia="宋体" w:cs="宋体"/>
          <w:sz w:val="24"/>
        </w:rPr>
      </w:pPr>
      <w:r>
        <w:rPr>
          <w:rFonts w:hint="eastAsia" w:ascii="宋体" w:hAnsi="宋体" w:eastAsia="宋体" w:cs="宋体"/>
          <w:sz w:val="24"/>
        </w:rPr>
        <w:t>3、服务地点：铜陵学院翠湖校区一号生活区。</w:t>
      </w:r>
    </w:p>
    <w:p>
      <w:pPr>
        <w:pStyle w:val="6"/>
        <w:spacing w:line="360" w:lineRule="auto"/>
        <w:ind w:firstLine="482"/>
        <w:rPr>
          <w:rFonts w:ascii="宋体" w:hAnsi="宋体" w:eastAsia="宋体" w:cs="宋体"/>
          <w:b/>
          <w:bCs/>
          <w:sz w:val="24"/>
        </w:rPr>
      </w:pPr>
      <w:r>
        <w:rPr>
          <w:rFonts w:hint="eastAsia" w:ascii="宋体" w:hAnsi="宋体" w:eastAsia="宋体" w:cs="宋体"/>
          <w:b/>
          <w:bCs/>
          <w:sz w:val="24"/>
        </w:rPr>
        <w:t>*4、投标人须承诺提供校方现有电控设备生产厂家出具的维修维保授权函，原件在中标后签订合同前提交给采购人备查，提供承诺函并加盖公章。</w:t>
      </w:r>
    </w:p>
    <w:p>
      <w:pPr>
        <w:pStyle w:val="52"/>
        <w:widowControl/>
        <w:numPr>
          <w:ilvl w:val="0"/>
          <w:numId w:val="0"/>
        </w:numPr>
        <w:spacing w:line="360" w:lineRule="auto"/>
        <w:ind w:left="0" w:firstLine="0"/>
        <w:jc w:val="both"/>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第五章 项目合同（略）</w:t>
      </w:r>
    </w:p>
    <w:p>
      <w:pPr>
        <w:pStyle w:val="52"/>
        <w:widowControl/>
        <w:numPr>
          <w:ilvl w:val="0"/>
          <w:numId w:val="0"/>
        </w:numPr>
        <w:spacing w:line="360" w:lineRule="auto"/>
        <w:ind w:left="0" w:firstLine="0"/>
        <w:jc w:val="both"/>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p>
    <w:p>
      <w:pPr>
        <w:pStyle w:val="52"/>
        <w:widowControl/>
        <w:numPr>
          <w:ilvl w:val="0"/>
          <w:numId w:val="0"/>
        </w:numPr>
        <w:spacing w:line="360" w:lineRule="auto"/>
        <w:ind w:left="0" w:firstLine="0"/>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第六章：谈判响应书格式</w:t>
      </w:r>
    </w:p>
    <w:p>
      <w:pPr>
        <w:pStyle w:val="2"/>
        <w:ind w:left="0" w:leftChars="0" w:firstLine="0" w:firstLineChars="0"/>
        <w:rPr>
          <w:rFonts w:hint="eastAsia"/>
          <w:lang w:val="en-US" w:eastAsia="zh-CN"/>
        </w:rPr>
      </w:pPr>
    </w:p>
    <w:p>
      <w:pPr>
        <w:rPr>
          <w:rStyle w:val="62"/>
          <w:rFonts w:hint="eastAsia" w:ascii="宋体" w:hAnsi="宋体" w:eastAsia="宋体" w:cs="宋体"/>
          <w:b/>
          <w:color w:val="000000"/>
          <w:kern w:val="2"/>
          <w:sz w:val="24"/>
          <w:szCs w:val="24"/>
          <w:lang w:val="en-US" w:eastAsia="zh-CN" w:bidi="ar-SA"/>
        </w:rPr>
      </w:pPr>
    </w:p>
    <w:p>
      <w:pPr>
        <w:pStyle w:val="25"/>
        <w:widowControl/>
        <w:spacing w:line="600" w:lineRule="auto"/>
        <w:jc w:val="center"/>
        <w:textAlignment w:val="baseline"/>
        <w:rPr>
          <w:rStyle w:val="62"/>
          <w:rFonts w:hint="eastAsia" w:ascii="宋体" w:hAnsi="宋体" w:eastAsia="宋体" w:cs="宋体"/>
          <w:color w:val="000000"/>
          <w:kern w:val="2"/>
          <w:sz w:val="32"/>
          <w:szCs w:val="32"/>
          <w:lang w:val="en-US" w:eastAsia="zh-CN" w:bidi="ar-SA"/>
        </w:rPr>
      </w:pPr>
      <w:r>
        <w:rPr>
          <w:rStyle w:val="62"/>
          <w:rFonts w:hint="eastAsia" w:ascii="宋体" w:hAnsi="宋体" w:eastAsia="宋体" w:cs="宋体"/>
          <w:color w:val="000000"/>
          <w:kern w:val="2"/>
          <w:sz w:val="32"/>
          <w:szCs w:val="32"/>
          <w:lang w:val="en-US" w:eastAsia="zh-CN" w:bidi="ar-SA"/>
        </w:rPr>
        <w:t>封面</w:t>
      </w:r>
    </w:p>
    <w:p>
      <w:pPr>
        <w:spacing w:line="600" w:lineRule="auto"/>
        <w:jc w:val="center"/>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b/>
          <w:color w:val="000000"/>
          <w:kern w:val="2"/>
          <w:sz w:val="28"/>
          <w:szCs w:val="28"/>
          <w:lang w:val="en-US" w:eastAsia="zh-CN" w:bidi="ar-SA"/>
        </w:rPr>
        <w:t>谈判响应书</w:t>
      </w:r>
    </w:p>
    <w:p>
      <w:pPr>
        <w:spacing w:line="360" w:lineRule="auto"/>
        <w:ind w:firstLine="1540" w:firstLineChars="550"/>
        <w:jc w:val="both"/>
        <w:textAlignment w:val="baseline"/>
        <w:rPr>
          <w:rStyle w:val="62"/>
          <w:rFonts w:hint="eastAsia" w:ascii="宋体" w:hAnsi="宋体" w:eastAsia="宋体" w:cs="宋体"/>
          <w:color w:val="000000"/>
          <w:kern w:val="2"/>
          <w:sz w:val="28"/>
          <w:szCs w:val="28"/>
          <w:lang w:val="en-US" w:eastAsia="zh-CN" w:bidi="ar-SA"/>
        </w:rPr>
      </w:pPr>
    </w:p>
    <w:p>
      <w:pPr>
        <w:spacing w:line="360" w:lineRule="auto"/>
        <w:jc w:val="both"/>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项目编号：</w:t>
      </w:r>
    </w:p>
    <w:p>
      <w:pPr>
        <w:spacing w:line="360" w:lineRule="auto"/>
        <w:ind w:firstLine="1540" w:firstLineChars="550"/>
        <w:jc w:val="both"/>
        <w:textAlignment w:val="baseline"/>
        <w:rPr>
          <w:rStyle w:val="62"/>
          <w:rFonts w:hint="eastAsia" w:ascii="宋体" w:hAnsi="宋体" w:eastAsia="宋体" w:cs="宋体"/>
          <w:color w:val="000000"/>
          <w:kern w:val="2"/>
          <w:sz w:val="28"/>
          <w:szCs w:val="28"/>
          <w:lang w:val="en-US" w:eastAsia="zh-CN" w:bidi="ar-SA"/>
        </w:rPr>
      </w:pPr>
    </w:p>
    <w:p>
      <w:pPr>
        <w:spacing w:line="360" w:lineRule="auto"/>
        <w:jc w:val="both"/>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项目名称：</w:t>
      </w:r>
    </w:p>
    <w:p>
      <w:pPr>
        <w:spacing w:line="360" w:lineRule="auto"/>
        <w:jc w:val="center"/>
        <w:textAlignment w:val="baseline"/>
        <w:rPr>
          <w:rStyle w:val="62"/>
          <w:rFonts w:hint="eastAsia" w:ascii="宋体" w:hAnsi="宋体" w:eastAsia="宋体" w:cs="宋体"/>
          <w:color w:val="000000"/>
          <w:kern w:val="2"/>
          <w:sz w:val="28"/>
          <w:szCs w:val="28"/>
          <w:lang w:val="en-US" w:eastAsia="zh-CN" w:bidi="ar-SA"/>
        </w:rPr>
      </w:pPr>
    </w:p>
    <w:p>
      <w:pPr>
        <w:spacing w:line="360" w:lineRule="auto"/>
        <w:jc w:val="center"/>
        <w:textAlignment w:val="baseline"/>
        <w:rPr>
          <w:rStyle w:val="62"/>
          <w:rFonts w:hint="eastAsia" w:ascii="宋体" w:hAnsi="宋体" w:eastAsia="宋体" w:cs="宋体"/>
          <w:color w:val="000000"/>
          <w:kern w:val="2"/>
          <w:sz w:val="28"/>
          <w:szCs w:val="28"/>
          <w:lang w:val="en-US" w:eastAsia="zh-CN" w:bidi="ar-SA"/>
        </w:rPr>
      </w:pPr>
    </w:p>
    <w:p>
      <w:pPr>
        <w:spacing w:line="360" w:lineRule="auto"/>
        <w:jc w:val="center"/>
        <w:textAlignment w:val="baseline"/>
        <w:rPr>
          <w:rStyle w:val="62"/>
          <w:rFonts w:hint="eastAsia" w:ascii="宋体" w:hAnsi="宋体" w:eastAsia="宋体" w:cs="宋体"/>
          <w:color w:val="000000"/>
          <w:kern w:val="2"/>
          <w:sz w:val="28"/>
          <w:szCs w:val="28"/>
          <w:lang w:val="en-US" w:eastAsia="zh-CN" w:bidi="ar-SA"/>
        </w:rPr>
      </w:pPr>
    </w:p>
    <w:p>
      <w:pPr>
        <w:spacing w:line="360" w:lineRule="auto"/>
        <w:jc w:val="center"/>
        <w:textAlignment w:val="baseline"/>
        <w:rPr>
          <w:rStyle w:val="62"/>
          <w:rFonts w:hint="eastAsia" w:ascii="宋体" w:hAnsi="宋体" w:eastAsia="宋体" w:cs="宋体"/>
          <w:color w:val="000000"/>
          <w:kern w:val="2"/>
          <w:sz w:val="28"/>
          <w:szCs w:val="28"/>
          <w:lang w:val="en-US" w:eastAsia="zh-CN" w:bidi="ar-SA"/>
        </w:rPr>
      </w:pPr>
    </w:p>
    <w:p>
      <w:pPr>
        <w:spacing w:line="360" w:lineRule="auto"/>
        <w:jc w:val="center"/>
        <w:textAlignment w:val="baseline"/>
        <w:rPr>
          <w:rStyle w:val="62"/>
          <w:rFonts w:hint="eastAsia" w:ascii="宋体" w:hAnsi="宋体" w:eastAsia="宋体" w:cs="宋体"/>
          <w:color w:val="000000"/>
          <w:kern w:val="2"/>
          <w:sz w:val="28"/>
          <w:szCs w:val="28"/>
          <w:lang w:val="en-US" w:eastAsia="zh-CN" w:bidi="ar-SA"/>
        </w:rPr>
      </w:pPr>
    </w:p>
    <w:p>
      <w:pPr>
        <w:spacing w:line="360" w:lineRule="auto"/>
        <w:jc w:val="both"/>
        <w:textAlignment w:val="baseline"/>
        <w:rPr>
          <w:rStyle w:val="62"/>
          <w:rFonts w:hint="eastAsia" w:ascii="宋体" w:hAnsi="宋体" w:eastAsia="宋体" w:cs="宋体"/>
          <w:color w:val="000000"/>
          <w:kern w:val="2"/>
          <w:sz w:val="28"/>
          <w:szCs w:val="28"/>
          <w:u w:val="single"/>
          <w:lang w:val="en-US" w:eastAsia="zh-CN" w:bidi="ar-SA"/>
        </w:rPr>
      </w:pPr>
    </w:p>
    <w:p>
      <w:pPr>
        <w:spacing w:line="360" w:lineRule="auto"/>
        <w:ind w:firstLine="3080" w:firstLineChars="1100"/>
        <w:jc w:val="both"/>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投 标 人：                              （</w:t>
      </w:r>
      <w:r>
        <w:rPr>
          <w:rStyle w:val="62"/>
          <w:rFonts w:hint="eastAsia" w:ascii="宋体" w:hAnsi="宋体" w:eastAsia="宋体" w:cs="宋体"/>
          <w:color w:val="000000"/>
          <w:kern w:val="0"/>
          <w:sz w:val="28"/>
          <w:szCs w:val="28"/>
          <w:lang w:val="en-US" w:eastAsia="zh-CN" w:bidi="ar-SA"/>
        </w:rPr>
        <w:t>供应商公章</w:t>
      </w:r>
      <w:r>
        <w:rPr>
          <w:rStyle w:val="62"/>
          <w:rFonts w:hint="eastAsia" w:ascii="宋体" w:hAnsi="宋体" w:eastAsia="宋体" w:cs="宋体"/>
          <w:color w:val="000000"/>
          <w:kern w:val="2"/>
          <w:sz w:val="28"/>
          <w:szCs w:val="28"/>
          <w:lang w:val="en-US" w:eastAsia="zh-CN" w:bidi="ar-SA"/>
        </w:rPr>
        <w:t>）</w:t>
      </w:r>
      <w:r>
        <w:rPr>
          <w:rStyle w:val="62"/>
          <w:rFonts w:hint="eastAsia" w:ascii="宋体" w:hAnsi="宋体" w:eastAsia="宋体" w:cs="宋体"/>
          <w:color w:val="000000"/>
          <w:kern w:val="2"/>
          <w:sz w:val="28"/>
          <w:szCs w:val="28"/>
          <w:lang w:val="en-US" w:eastAsia="zh-CN" w:bidi="ar-SA"/>
        </w:rPr>
        <w:br w:type="textWrapping" w:clear="all"/>
      </w:r>
    </w:p>
    <w:p>
      <w:pPr>
        <w:spacing w:line="360" w:lineRule="auto"/>
        <w:ind w:firstLine="4560" w:firstLineChars="19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年</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月</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日</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pStyle w:val="45"/>
        <w:widowControl/>
        <w:spacing w:line="360" w:lineRule="auto"/>
        <w:ind w:firstLine="480" w:firstLineChars="200"/>
        <w:textAlignment w:val="baseline"/>
        <w:rPr>
          <w:rStyle w:val="62"/>
          <w:rFonts w:hint="eastAsia" w:ascii="宋体" w:hAnsi="宋体" w:eastAsia="宋体" w:cs="宋体"/>
          <w:color w:val="000000"/>
          <w:kern w:val="2"/>
          <w:sz w:val="24"/>
          <w:szCs w:val="24"/>
          <w:lang w:val="en-US" w:eastAsia="zh-CN" w:bidi="ar-SA"/>
        </w:rPr>
      </w:pPr>
    </w:p>
    <w:p>
      <w:pPr>
        <w:spacing w:line="360" w:lineRule="auto"/>
        <w:ind w:firstLine="2640" w:firstLineChars="1100"/>
        <w:jc w:val="center"/>
        <w:textAlignment w:val="baseline"/>
        <w:rPr>
          <w:rStyle w:val="62"/>
          <w:rFonts w:hint="eastAsia" w:ascii="宋体" w:hAnsi="宋体" w:eastAsia="宋体" w:cs="宋体"/>
          <w:color w:val="000000"/>
          <w:kern w:val="2"/>
          <w:sz w:val="24"/>
          <w:szCs w:val="24"/>
          <w:lang w:val="en-US" w:eastAsia="zh-CN" w:bidi="ar-SA"/>
        </w:rPr>
      </w:pPr>
    </w:p>
    <w:p>
      <w:pPr>
        <w:spacing w:line="360" w:lineRule="auto"/>
        <w:ind w:firstLine="2640" w:firstLineChars="1100"/>
        <w:jc w:val="center"/>
        <w:textAlignment w:val="baseline"/>
        <w:rPr>
          <w:rStyle w:val="62"/>
          <w:rFonts w:hint="eastAsia" w:ascii="宋体" w:hAnsi="宋体" w:eastAsia="宋体" w:cs="宋体"/>
          <w:color w:val="000000"/>
          <w:kern w:val="2"/>
          <w:sz w:val="24"/>
          <w:szCs w:val="24"/>
          <w:lang w:val="en-US" w:eastAsia="zh-CN" w:bidi="ar-SA"/>
        </w:rPr>
      </w:pPr>
    </w:p>
    <w:p>
      <w:pPr>
        <w:pStyle w:val="16"/>
        <w:keepNext/>
        <w:keepLines/>
        <w:widowControl/>
        <w:spacing w:before="0" w:after="0" w:line="360" w:lineRule="auto"/>
        <w:jc w:val="center"/>
        <w:textAlignment w:val="baseline"/>
        <w:rPr>
          <w:rStyle w:val="62"/>
          <w:rFonts w:hint="eastAsia" w:ascii="宋体" w:hAnsi="宋体" w:eastAsia="宋体" w:cs="宋体"/>
          <w:b/>
          <w:color w:val="000000"/>
          <w:kern w:val="2"/>
          <w:sz w:val="28"/>
          <w:szCs w:val="28"/>
          <w:lang w:val="en-US" w:eastAsia="zh-CN" w:bidi="ar-SA"/>
        </w:rPr>
      </w:pPr>
      <w:r>
        <w:rPr>
          <w:rStyle w:val="62"/>
          <w:rFonts w:hint="eastAsia" w:ascii="宋体" w:hAnsi="宋体" w:eastAsia="宋体" w:cs="宋体"/>
          <w:b/>
          <w:color w:val="000000"/>
          <w:kern w:val="2"/>
          <w:sz w:val="28"/>
          <w:szCs w:val="28"/>
          <w:lang w:val="en-US" w:eastAsia="zh-CN" w:bidi="ar-SA"/>
        </w:rPr>
        <w:t>目  录</w:t>
      </w:r>
    </w:p>
    <w:p>
      <w:pPr>
        <w:pStyle w:val="17"/>
        <w:widowControl/>
        <w:spacing w:line="360" w:lineRule="auto"/>
        <w:ind w:firstLine="560" w:firstLineChars="200"/>
        <w:textAlignment w:val="baseline"/>
        <w:rPr>
          <w:rStyle w:val="62"/>
          <w:rFonts w:hint="eastAsia" w:ascii="宋体" w:hAnsi="宋体" w:eastAsia="宋体" w:cs="宋体"/>
          <w:sz w:val="28"/>
          <w:szCs w:val="28"/>
        </w:rPr>
      </w:pP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eastAsia="宋体" w:cs="宋体"/>
          <w:b/>
          <w:bCs/>
          <w:color w:val="000000"/>
          <w:kern w:val="2"/>
          <w:sz w:val="28"/>
          <w:szCs w:val="28"/>
          <w:lang w:val="en-US" w:eastAsia="zh-CN" w:bidi="ar-SA"/>
        </w:rPr>
        <w:t>一、资格、技术商务部分</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1</w:t>
      </w:r>
      <w:r>
        <w:rPr>
          <w:rStyle w:val="62"/>
          <w:rFonts w:hint="eastAsia" w:ascii="宋体" w:hAnsi="宋体" w:eastAsia="宋体" w:cs="宋体"/>
          <w:b w:val="0"/>
          <w:bCs/>
          <w:color w:val="000000"/>
          <w:kern w:val="2"/>
          <w:sz w:val="28"/>
          <w:szCs w:val="28"/>
          <w:lang w:val="en-US" w:eastAsia="zh-CN" w:bidi="ar-SA"/>
        </w:rPr>
        <w:t>、谈判响应授权书</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2</w:t>
      </w:r>
      <w:r>
        <w:rPr>
          <w:rStyle w:val="62"/>
          <w:rFonts w:hint="eastAsia" w:ascii="宋体" w:hAnsi="宋体" w:eastAsia="宋体" w:cs="宋体"/>
          <w:b w:val="0"/>
          <w:bCs/>
          <w:color w:val="000000"/>
          <w:kern w:val="2"/>
          <w:sz w:val="28"/>
          <w:szCs w:val="28"/>
          <w:lang w:val="en-US" w:eastAsia="zh-CN" w:bidi="ar-SA"/>
        </w:rPr>
        <w:t>、谈判响应函</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3</w:t>
      </w:r>
      <w:r>
        <w:rPr>
          <w:rStyle w:val="62"/>
          <w:rFonts w:hint="eastAsia" w:ascii="宋体" w:hAnsi="宋体" w:eastAsia="宋体" w:cs="宋体"/>
          <w:b w:val="0"/>
          <w:bCs/>
          <w:color w:val="000000"/>
          <w:kern w:val="2"/>
          <w:sz w:val="28"/>
          <w:szCs w:val="28"/>
          <w:lang w:val="en-US" w:eastAsia="zh-CN" w:bidi="ar-SA"/>
        </w:rPr>
        <w:t>、项目实施方案</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4</w:t>
      </w:r>
      <w:r>
        <w:rPr>
          <w:rStyle w:val="62"/>
          <w:rFonts w:hint="eastAsia" w:ascii="宋体" w:hAnsi="宋体" w:eastAsia="宋体" w:cs="宋体"/>
          <w:b w:val="0"/>
          <w:bCs/>
          <w:color w:val="000000"/>
          <w:kern w:val="2"/>
          <w:sz w:val="28"/>
          <w:szCs w:val="28"/>
          <w:lang w:val="en-US" w:eastAsia="zh-CN" w:bidi="ar-SA"/>
        </w:rPr>
        <w:t>、技术规格响应表</w:t>
      </w:r>
    </w:p>
    <w:p>
      <w:pPr>
        <w:pStyle w:val="31"/>
        <w:widowControl/>
        <w:spacing w:line="360" w:lineRule="auto"/>
        <w:ind w:firstLineChars="0"/>
        <w:jc w:val="both"/>
        <w:textAlignment w:val="baseline"/>
        <w:rPr>
          <w:rStyle w:val="62"/>
          <w:rFonts w:hint="eastAsia" w:ascii="宋体" w:hAnsi="宋体" w:eastAsia="宋体" w:cs="宋体"/>
          <w:b w:val="0"/>
          <w:bCs/>
          <w:strike/>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5</w:t>
      </w:r>
      <w:r>
        <w:rPr>
          <w:rStyle w:val="62"/>
          <w:rFonts w:hint="eastAsia" w:ascii="宋体" w:hAnsi="宋体" w:eastAsia="宋体" w:cs="宋体"/>
          <w:b w:val="0"/>
          <w:bCs/>
          <w:color w:val="000000"/>
          <w:kern w:val="2"/>
          <w:sz w:val="28"/>
          <w:szCs w:val="28"/>
          <w:lang w:val="en-US" w:eastAsia="zh-CN" w:bidi="ar-SA"/>
        </w:rPr>
        <w:t>、履行合同所必需的设备专业技术能力证明文件</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6</w:t>
      </w:r>
      <w:r>
        <w:rPr>
          <w:rStyle w:val="62"/>
          <w:rFonts w:hint="eastAsia" w:ascii="宋体" w:hAnsi="宋体" w:eastAsia="宋体" w:cs="宋体"/>
          <w:b w:val="0"/>
          <w:bCs/>
          <w:color w:val="000000"/>
          <w:kern w:val="2"/>
          <w:sz w:val="28"/>
          <w:szCs w:val="28"/>
          <w:lang w:val="en-US" w:eastAsia="zh-CN" w:bidi="ar-SA"/>
        </w:rPr>
        <w:t>、质保及售后服务</w:t>
      </w:r>
    </w:p>
    <w:p>
      <w:pPr>
        <w:pStyle w:val="31"/>
        <w:widowControl/>
        <w:spacing w:line="360" w:lineRule="auto"/>
        <w:ind w:firstLineChars="0"/>
        <w:jc w:val="both"/>
        <w:textAlignment w:val="baseline"/>
        <w:rPr>
          <w:rStyle w:val="62"/>
          <w:rFonts w:hint="default"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7、承诺函</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cs="宋体"/>
          <w:b w:val="0"/>
          <w:bCs/>
          <w:color w:val="000000"/>
          <w:kern w:val="2"/>
          <w:sz w:val="28"/>
          <w:szCs w:val="28"/>
          <w:lang w:val="en-US" w:eastAsia="zh-CN" w:bidi="ar-SA"/>
        </w:rPr>
        <w:t>8</w:t>
      </w:r>
      <w:r>
        <w:rPr>
          <w:rStyle w:val="62"/>
          <w:rFonts w:hint="eastAsia" w:ascii="宋体" w:hAnsi="宋体" w:eastAsia="宋体" w:cs="宋体"/>
          <w:b w:val="0"/>
          <w:bCs/>
          <w:color w:val="000000"/>
          <w:kern w:val="2"/>
          <w:sz w:val="28"/>
          <w:szCs w:val="28"/>
          <w:lang w:val="en-US" w:eastAsia="zh-CN" w:bidi="ar-SA"/>
        </w:rPr>
        <w:t>、其他证明材料</w:t>
      </w:r>
    </w:p>
    <w:p>
      <w:pPr>
        <w:pStyle w:val="31"/>
        <w:widowControl/>
        <w:spacing w:line="360" w:lineRule="auto"/>
        <w:ind w:firstLineChars="0"/>
        <w:jc w:val="both"/>
        <w:textAlignment w:val="baseline"/>
        <w:rPr>
          <w:rStyle w:val="62"/>
          <w:rFonts w:hint="eastAsia" w:ascii="宋体" w:hAnsi="宋体" w:eastAsia="宋体" w:cs="宋体"/>
          <w:b/>
          <w:bCs/>
          <w:color w:val="000000"/>
          <w:kern w:val="2"/>
          <w:sz w:val="28"/>
          <w:szCs w:val="28"/>
          <w:lang w:val="en-US" w:eastAsia="zh-CN" w:bidi="ar-SA"/>
        </w:rPr>
      </w:pPr>
      <w:r>
        <w:rPr>
          <w:rStyle w:val="62"/>
          <w:rFonts w:hint="eastAsia" w:ascii="宋体" w:hAnsi="宋体" w:eastAsia="宋体" w:cs="宋体"/>
          <w:b/>
          <w:bCs/>
          <w:color w:val="000000"/>
          <w:kern w:val="2"/>
          <w:sz w:val="28"/>
          <w:szCs w:val="28"/>
          <w:lang w:val="en-US" w:eastAsia="zh-CN" w:bidi="ar-SA"/>
        </w:rPr>
        <w:t>二、报价部分</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eastAsia="宋体" w:cs="宋体"/>
          <w:b w:val="0"/>
          <w:bCs/>
          <w:color w:val="000000"/>
          <w:kern w:val="2"/>
          <w:sz w:val="28"/>
          <w:szCs w:val="28"/>
          <w:lang w:val="en-US" w:eastAsia="zh-CN" w:bidi="ar-SA"/>
        </w:rPr>
        <w:t>1、报价表</w:t>
      </w:r>
    </w:p>
    <w:p>
      <w:pPr>
        <w:pStyle w:val="31"/>
        <w:widowControl/>
        <w:spacing w:line="360" w:lineRule="auto"/>
        <w:ind w:firstLineChars="0"/>
        <w:jc w:val="both"/>
        <w:textAlignment w:val="baseline"/>
        <w:rPr>
          <w:rStyle w:val="62"/>
          <w:rFonts w:hint="eastAsia" w:ascii="宋体" w:hAnsi="宋体" w:eastAsia="宋体" w:cs="宋体"/>
          <w:b w:val="0"/>
          <w:bCs/>
          <w:color w:val="000000"/>
          <w:kern w:val="2"/>
          <w:sz w:val="28"/>
          <w:szCs w:val="28"/>
          <w:lang w:val="en-US" w:eastAsia="zh-CN" w:bidi="ar-SA"/>
        </w:rPr>
      </w:pPr>
      <w:r>
        <w:rPr>
          <w:rStyle w:val="62"/>
          <w:rFonts w:hint="eastAsia" w:ascii="宋体" w:hAnsi="宋体" w:eastAsia="宋体" w:cs="宋体"/>
          <w:b w:val="0"/>
          <w:bCs/>
          <w:color w:val="000000"/>
          <w:kern w:val="2"/>
          <w:sz w:val="28"/>
          <w:szCs w:val="28"/>
          <w:lang w:val="en-US" w:eastAsia="zh-CN" w:bidi="ar-SA"/>
        </w:rPr>
        <w:t>2、谈判响应报价明细表</w:t>
      </w: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spacing w:line="360" w:lineRule="auto"/>
        <w:ind w:left="0" w:leftChars="0" w:firstLine="0" w:firstLineChars="0"/>
        <w:jc w:val="both"/>
        <w:textAlignment w:val="baseline"/>
        <w:rPr>
          <w:rStyle w:val="62"/>
          <w:rFonts w:hint="eastAsia" w:ascii="宋体" w:hAnsi="宋体" w:eastAsia="宋体" w:cs="宋体"/>
          <w:b w:val="0"/>
          <w:bCs w:val="0"/>
          <w:color w:val="000000"/>
          <w:kern w:val="2"/>
          <w:sz w:val="24"/>
          <w:szCs w:val="24"/>
          <w:lang w:val="en-US" w:eastAsia="zh-CN" w:bidi="ar-SA"/>
        </w:rPr>
      </w:pPr>
    </w:p>
    <w:p>
      <w:pPr>
        <w:pStyle w:val="31"/>
        <w:widowControl/>
        <w:numPr>
          <w:ilvl w:val="0"/>
          <w:numId w:val="8"/>
        </w:numPr>
        <w:spacing w:line="360" w:lineRule="auto"/>
        <w:ind w:firstLineChars="0"/>
        <w:jc w:val="both"/>
        <w:textAlignment w:val="baseline"/>
        <w:rPr>
          <w:rStyle w:val="62"/>
          <w:rFonts w:hint="eastAsia" w:ascii="宋体" w:hAnsi="宋体" w:eastAsia="宋体" w:cs="宋体"/>
          <w:b/>
          <w:bCs/>
          <w:color w:val="000000"/>
          <w:kern w:val="2"/>
          <w:sz w:val="28"/>
          <w:szCs w:val="28"/>
          <w:lang w:val="en-US" w:eastAsia="zh-CN" w:bidi="ar-SA"/>
        </w:rPr>
      </w:pPr>
      <w:r>
        <w:rPr>
          <w:rStyle w:val="62"/>
          <w:rFonts w:hint="eastAsia" w:ascii="宋体" w:hAnsi="宋体" w:eastAsia="宋体" w:cs="宋体"/>
          <w:b/>
          <w:bCs/>
          <w:color w:val="000000"/>
          <w:kern w:val="2"/>
          <w:sz w:val="28"/>
          <w:szCs w:val="28"/>
          <w:lang w:val="en-US" w:eastAsia="zh-CN" w:bidi="ar-SA"/>
        </w:rPr>
        <w:t>资格、技术商务部分</w:t>
      </w:r>
    </w:p>
    <w:p>
      <w:pPr>
        <w:pStyle w:val="31"/>
        <w:widowControl/>
        <w:numPr>
          <w:ilvl w:val="0"/>
          <w:numId w:val="0"/>
        </w:numPr>
        <w:spacing w:line="360" w:lineRule="auto"/>
        <w:jc w:val="both"/>
        <w:textAlignment w:val="baseline"/>
        <w:rPr>
          <w:rStyle w:val="62"/>
          <w:rFonts w:hint="eastAsia" w:ascii="宋体" w:hAnsi="宋体" w:eastAsia="宋体" w:cs="宋体"/>
          <w:b/>
          <w:bCs/>
          <w:color w:val="000000"/>
          <w:kern w:val="2"/>
          <w:sz w:val="28"/>
          <w:szCs w:val="28"/>
          <w:lang w:val="en-US" w:eastAsia="zh-CN" w:bidi="ar-SA"/>
        </w:rPr>
      </w:pPr>
    </w:p>
    <w:p>
      <w:pPr>
        <w:pStyle w:val="31"/>
        <w:widowControl/>
        <w:spacing w:line="360" w:lineRule="auto"/>
        <w:ind w:firstLine="559" w:firstLineChars="199"/>
        <w:jc w:val="both"/>
        <w:textAlignment w:val="baseline"/>
        <w:rPr>
          <w:rStyle w:val="62"/>
          <w:rFonts w:hint="eastAsia" w:ascii="宋体" w:hAnsi="宋体" w:eastAsia="宋体" w:cs="宋体"/>
          <w:b/>
          <w:bCs/>
          <w:color w:val="000000"/>
          <w:kern w:val="2"/>
          <w:sz w:val="28"/>
          <w:szCs w:val="28"/>
          <w:lang w:val="en-US" w:eastAsia="zh-CN" w:bidi="ar-SA"/>
        </w:rPr>
      </w:pPr>
      <w:r>
        <w:rPr>
          <w:rStyle w:val="62"/>
          <w:rFonts w:hint="eastAsia" w:ascii="宋体" w:hAnsi="宋体" w:cs="宋体"/>
          <w:b/>
          <w:bCs/>
          <w:color w:val="000000"/>
          <w:kern w:val="2"/>
          <w:sz w:val="28"/>
          <w:szCs w:val="28"/>
          <w:lang w:val="en-US" w:eastAsia="zh-CN" w:bidi="ar-SA"/>
        </w:rPr>
        <w:t>1</w:t>
      </w:r>
      <w:r>
        <w:rPr>
          <w:rStyle w:val="62"/>
          <w:rFonts w:hint="eastAsia" w:ascii="宋体" w:hAnsi="宋体" w:eastAsia="宋体" w:cs="宋体"/>
          <w:b/>
          <w:bCs/>
          <w:color w:val="000000"/>
          <w:kern w:val="2"/>
          <w:sz w:val="28"/>
          <w:szCs w:val="28"/>
          <w:lang w:val="en-US" w:eastAsia="zh-CN" w:bidi="ar-SA"/>
        </w:rPr>
        <w:t>、谈判响应授权书</w:t>
      </w:r>
    </w:p>
    <w:p>
      <w:pPr>
        <w:spacing w:line="360" w:lineRule="auto"/>
        <w:jc w:val="both"/>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致</w:t>
      </w:r>
      <w:r>
        <w:rPr>
          <w:rStyle w:val="62"/>
          <w:rFonts w:hint="eastAsia" w:ascii="宋体" w:hAnsi="宋体" w:eastAsia="宋体" w:cs="宋体"/>
          <w:color w:val="000000"/>
          <w:kern w:val="2"/>
          <w:sz w:val="28"/>
          <w:szCs w:val="28"/>
          <w:u w:val="single"/>
          <w:lang w:val="en-US" w:eastAsia="zh-CN" w:bidi="ar-SA"/>
        </w:rPr>
        <w:t xml:space="preserve">         </w:t>
      </w:r>
      <w:r>
        <w:rPr>
          <w:rStyle w:val="62"/>
          <w:rFonts w:hint="eastAsia" w:ascii="宋体" w:hAnsi="宋体" w:eastAsia="宋体" w:cs="宋体"/>
          <w:color w:val="000000"/>
          <w:kern w:val="2"/>
          <w:sz w:val="28"/>
          <w:szCs w:val="28"/>
          <w:lang w:val="en-US" w:eastAsia="zh-CN" w:bidi="ar-SA"/>
        </w:rPr>
        <w:t>（采购单位名称）：</w:t>
      </w:r>
    </w:p>
    <w:p>
      <w:pPr>
        <w:pStyle w:val="22"/>
        <w:widowControl/>
        <w:snapToGrid w:val="0"/>
        <w:spacing w:line="360" w:lineRule="auto"/>
        <w:ind w:firstLine="560" w:firstLineChars="200"/>
        <w:jc w:val="left"/>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本授权书声明：</w:t>
      </w:r>
      <w:r>
        <w:rPr>
          <w:rStyle w:val="62"/>
          <w:rFonts w:hint="eastAsia" w:ascii="宋体" w:hAnsi="宋体" w:eastAsia="宋体" w:cs="宋体"/>
          <w:color w:val="000000"/>
          <w:kern w:val="2"/>
          <w:sz w:val="28"/>
          <w:szCs w:val="28"/>
          <w:u w:val="single"/>
          <w:lang w:val="en-US" w:eastAsia="zh-CN" w:bidi="ar-SA"/>
        </w:rPr>
        <w:t xml:space="preserve">           </w:t>
      </w:r>
      <w:r>
        <w:rPr>
          <w:rStyle w:val="62"/>
          <w:rFonts w:hint="eastAsia" w:ascii="宋体" w:hAnsi="宋体" w:eastAsia="宋体" w:cs="宋体"/>
          <w:color w:val="000000"/>
          <w:kern w:val="2"/>
          <w:sz w:val="28"/>
          <w:szCs w:val="28"/>
          <w:lang w:val="en-US" w:eastAsia="zh-CN" w:bidi="ar-SA"/>
        </w:rPr>
        <w:t>（</w:t>
      </w:r>
      <w:r>
        <w:rPr>
          <w:rStyle w:val="62"/>
          <w:rFonts w:hint="eastAsia" w:hAnsi="宋体" w:cs="宋体"/>
          <w:color w:val="000000"/>
          <w:kern w:val="2"/>
          <w:sz w:val="28"/>
          <w:szCs w:val="28"/>
          <w:lang w:val="en-US" w:eastAsia="zh-CN" w:bidi="ar-SA"/>
        </w:rPr>
        <w:t>投标供应商</w:t>
      </w:r>
      <w:r>
        <w:rPr>
          <w:rStyle w:val="62"/>
          <w:rFonts w:hint="eastAsia" w:ascii="宋体" w:hAnsi="宋体" w:eastAsia="宋体" w:cs="宋体"/>
          <w:color w:val="000000"/>
          <w:kern w:val="2"/>
          <w:sz w:val="28"/>
          <w:szCs w:val="28"/>
          <w:lang w:val="en-US" w:eastAsia="zh-CN" w:bidi="ar-SA"/>
        </w:rPr>
        <w:t xml:space="preserve">名称）授权本单位 </w:t>
      </w:r>
      <w:r>
        <w:rPr>
          <w:rStyle w:val="62"/>
          <w:rFonts w:hint="eastAsia" w:ascii="宋体" w:hAnsi="宋体" w:eastAsia="宋体" w:cs="宋体"/>
          <w:color w:val="000000"/>
          <w:kern w:val="2"/>
          <w:sz w:val="28"/>
          <w:szCs w:val="28"/>
          <w:u w:val="single"/>
          <w:lang w:val="en-US" w:eastAsia="zh-CN" w:bidi="ar-SA"/>
        </w:rPr>
        <w:t xml:space="preserve">        </w:t>
      </w:r>
      <w:r>
        <w:rPr>
          <w:rStyle w:val="62"/>
          <w:rFonts w:hint="eastAsia" w:ascii="宋体" w:hAnsi="宋体" w:eastAsia="宋体" w:cs="宋体"/>
          <w:color w:val="000000"/>
          <w:kern w:val="2"/>
          <w:sz w:val="28"/>
          <w:szCs w:val="28"/>
          <w:lang w:val="en-US" w:eastAsia="zh-CN" w:bidi="ar-SA"/>
        </w:rPr>
        <w:t>（</w:t>
      </w:r>
      <w:r>
        <w:rPr>
          <w:rStyle w:val="62"/>
          <w:rFonts w:hint="eastAsia" w:hAnsi="宋体" w:cs="宋体"/>
          <w:color w:val="000000"/>
          <w:kern w:val="2"/>
          <w:sz w:val="28"/>
          <w:szCs w:val="28"/>
          <w:lang w:val="en-US" w:eastAsia="zh-CN" w:bidi="ar-SA"/>
        </w:rPr>
        <w:t>投标供应商</w:t>
      </w:r>
      <w:r>
        <w:rPr>
          <w:rStyle w:val="62"/>
          <w:rFonts w:hint="eastAsia" w:ascii="宋体" w:hAnsi="宋体" w:eastAsia="宋体" w:cs="宋体"/>
          <w:color w:val="000000"/>
          <w:kern w:val="2"/>
          <w:sz w:val="28"/>
          <w:szCs w:val="28"/>
          <w:lang w:val="en-US" w:eastAsia="zh-CN" w:bidi="ar-SA"/>
        </w:rPr>
        <w:t>授权代表姓名、职务）代表本单位参加</w:t>
      </w:r>
      <w:r>
        <w:rPr>
          <w:rStyle w:val="62"/>
          <w:rFonts w:hint="eastAsia" w:ascii="宋体" w:hAnsi="宋体" w:eastAsia="宋体" w:cs="宋体"/>
          <w:color w:val="000000"/>
          <w:kern w:val="2"/>
          <w:sz w:val="28"/>
          <w:szCs w:val="28"/>
          <w:u w:val="single"/>
          <w:lang w:val="en-US" w:eastAsia="zh-CN" w:bidi="ar-SA"/>
        </w:rPr>
        <w:t xml:space="preserve">             </w:t>
      </w:r>
      <w:r>
        <w:rPr>
          <w:rStyle w:val="62"/>
          <w:rFonts w:hint="eastAsia" w:ascii="宋体" w:hAnsi="宋体" w:eastAsia="宋体" w:cs="宋体"/>
          <w:color w:val="000000"/>
          <w:kern w:val="2"/>
          <w:sz w:val="28"/>
          <w:szCs w:val="28"/>
          <w:lang w:val="en-US" w:eastAsia="zh-CN" w:bidi="ar-SA"/>
        </w:rPr>
        <w:t>（项目全称）项目投标活动,全权代表本公司处理投标过程的一切事宜，包括但不限于：投标、参与开标、谈判、合同签署、合同执行等。</w:t>
      </w:r>
      <w:r>
        <w:rPr>
          <w:rStyle w:val="62"/>
          <w:rFonts w:hint="eastAsia" w:hAnsi="宋体" w:cs="宋体"/>
          <w:color w:val="000000"/>
          <w:kern w:val="2"/>
          <w:sz w:val="28"/>
          <w:szCs w:val="28"/>
          <w:lang w:val="en-US" w:eastAsia="zh-CN" w:bidi="ar-SA"/>
        </w:rPr>
        <w:t>投标供应商</w:t>
      </w:r>
      <w:r>
        <w:rPr>
          <w:rStyle w:val="62"/>
          <w:rFonts w:hint="eastAsia" w:ascii="宋体" w:hAnsi="宋体" w:eastAsia="宋体" w:cs="宋体"/>
          <w:color w:val="000000"/>
          <w:kern w:val="2"/>
          <w:sz w:val="28"/>
          <w:szCs w:val="28"/>
          <w:lang w:val="en-US" w:eastAsia="zh-CN" w:bidi="ar-SA"/>
        </w:rPr>
        <w:t>授权代表在投标过程中所签署的一切文件和处理与之有关的一切事务，本公司均予以认可并对此承担责任。</w:t>
      </w:r>
      <w:r>
        <w:rPr>
          <w:rStyle w:val="62"/>
          <w:rFonts w:hint="eastAsia" w:hAnsi="宋体" w:cs="宋体"/>
          <w:color w:val="000000"/>
          <w:kern w:val="2"/>
          <w:sz w:val="28"/>
          <w:szCs w:val="28"/>
          <w:lang w:val="en-US" w:eastAsia="zh-CN" w:bidi="ar-SA"/>
        </w:rPr>
        <w:t>投标供应商</w:t>
      </w:r>
      <w:r>
        <w:rPr>
          <w:rStyle w:val="62"/>
          <w:rFonts w:hint="eastAsia" w:ascii="宋体" w:hAnsi="宋体" w:eastAsia="宋体" w:cs="宋体"/>
          <w:color w:val="000000"/>
          <w:kern w:val="2"/>
          <w:sz w:val="28"/>
          <w:szCs w:val="28"/>
          <w:lang w:val="en-US" w:eastAsia="zh-CN" w:bidi="ar-SA"/>
        </w:rPr>
        <w:t>授权代表无转委托权。特此授权。</w:t>
      </w:r>
    </w:p>
    <w:p>
      <w:pPr>
        <w:pStyle w:val="22"/>
        <w:widowControl/>
        <w:snapToGrid w:val="0"/>
        <w:spacing w:line="360" w:lineRule="auto"/>
        <w:ind w:firstLine="560" w:firstLineChars="200"/>
        <w:jc w:val="left"/>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本授权书自出具之日起生效。</w:t>
      </w:r>
    </w:p>
    <w:p>
      <w:pPr>
        <w:spacing w:line="360" w:lineRule="auto"/>
        <w:ind w:firstLine="560" w:firstLineChars="200"/>
        <w:jc w:val="both"/>
        <w:textAlignment w:val="baseline"/>
        <w:rPr>
          <w:rStyle w:val="62"/>
          <w:rFonts w:hint="eastAsia" w:ascii="宋体" w:hAnsi="宋体" w:eastAsia="宋体" w:cs="宋体"/>
          <w:color w:val="000000"/>
          <w:kern w:val="2"/>
          <w:sz w:val="28"/>
          <w:szCs w:val="28"/>
          <w:lang w:val="en-US" w:eastAsia="zh-CN" w:bidi="ar-SA"/>
        </w:rPr>
      </w:pPr>
      <w:r>
        <w:rPr>
          <w:rStyle w:val="62"/>
          <w:rFonts w:hint="eastAsia" w:ascii="宋体" w:hAnsi="宋体" w:eastAsia="宋体" w:cs="宋体"/>
          <w:color w:val="000000"/>
          <w:kern w:val="2"/>
          <w:sz w:val="28"/>
          <w:szCs w:val="28"/>
          <w:lang w:val="en-US" w:eastAsia="zh-CN" w:bidi="ar-SA"/>
        </w:rPr>
        <w:t>特此声明。</w:t>
      </w:r>
    </w:p>
    <w:p>
      <w:pPr>
        <w:rPr>
          <w:rStyle w:val="62"/>
          <w:rFonts w:hint="eastAsia" w:ascii="宋体" w:hAnsi="宋体" w:eastAsia="宋体" w:cs="宋体"/>
          <w:color w:val="000000"/>
          <w:kern w:val="2"/>
          <w:sz w:val="28"/>
          <w:szCs w:val="28"/>
          <w:lang w:val="en-US" w:eastAsia="zh-CN" w:bidi="ar-SA"/>
        </w:rPr>
      </w:pPr>
    </w:p>
    <w:p>
      <w:pPr>
        <w:rPr>
          <w:rStyle w:val="62"/>
          <w:rFonts w:hint="eastAsia" w:ascii="宋体" w:hAnsi="宋体" w:eastAsia="宋体" w:cs="宋体"/>
          <w:color w:val="000000"/>
          <w:kern w:val="2"/>
          <w:sz w:val="28"/>
          <w:szCs w:val="28"/>
          <w:lang w:val="en-US" w:eastAsia="zh-CN" w:bidi="ar-SA"/>
        </w:rPr>
      </w:pPr>
    </w:p>
    <w:p>
      <w:pPr>
        <w:rPr>
          <w:rFonts w:hint="eastAsia"/>
          <w:sz w:val="28"/>
          <w:szCs w:val="28"/>
          <w:lang w:val="en-US" w:eastAsia="zh-CN"/>
        </w:rPr>
      </w:pPr>
    </w:p>
    <w:p>
      <w:pPr>
        <w:pStyle w:val="31"/>
        <w:widowControl/>
        <w:spacing w:line="360" w:lineRule="auto"/>
        <w:ind w:right="840" w:firstLine="548" w:firstLineChars="196"/>
        <w:jc w:val="both"/>
        <w:textAlignment w:val="baseline"/>
        <w:rPr>
          <w:rStyle w:val="62"/>
          <w:rFonts w:hint="eastAsia" w:ascii="宋体" w:hAnsi="宋体" w:eastAsia="宋体" w:cs="宋体"/>
          <w:b w:val="0"/>
          <w:bCs w:val="0"/>
          <w:color w:val="000000"/>
          <w:kern w:val="2"/>
          <w:sz w:val="28"/>
          <w:szCs w:val="28"/>
          <w:lang w:val="en-US" w:eastAsia="zh-CN" w:bidi="ar-SA"/>
        </w:rPr>
      </w:pPr>
      <w:r>
        <w:rPr>
          <w:rStyle w:val="62"/>
          <w:rFonts w:hint="eastAsia" w:ascii="宋体" w:hAnsi="宋体" w:eastAsia="宋体" w:cs="宋体"/>
          <w:b w:val="0"/>
          <w:bCs w:val="0"/>
          <w:color w:val="000000"/>
          <w:kern w:val="2"/>
          <w:sz w:val="28"/>
          <w:szCs w:val="28"/>
          <w:lang w:val="en-US" w:eastAsia="zh-CN" w:bidi="ar-SA"/>
        </w:rPr>
        <w:t xml:space="preserve">                                   </w:t>
      </w:r>
    </w:p>
    <w:p>
      <w:pPr>
        <w:pStyle w:val="31"/>
        <w:widowControl/>
        <w:spacing w:line="360" w:lineRule="auto"/>
        <w:ind w:right="840" w:firstLine="548" w:firstLineChars="196"/>
        <w:jc w:val="both"/>
        <w:textAlignment w:val="baseline"/>
        <w:rPr>
          <w:rStyle w:val="62"/>
          <w:rFonts w:hint="eastAsia" w:ascii="宋体" w:hAnsi="宋体" w:eastAsia="宋体" w:cs="宋体"/>
          <w:b/>
          <w:bCs/>
          <w:color w:val="000000"/>
          <w:kern w:val="2"/>
          <w:sz w:val="28"/>
          <w:szCs w:val="28"/>
          <w:lang w:val="en-US" w:eastAsia="zh-CN" w:bidi="ar-SA"/>
        </w:rPr>
      </w:pPr>
      <w:r>
        <w:rPr>
          <w:rStyle w:val="62"/>
          <w:rFonts w:hint="eastAsia" w:ascii="宋体" w:hAnsi="宋体" w:eastAsia="宋体" w:cs="宋体"/>
          <w:b w:val="0"/>
          <w:bCs w:val="0"/>
          <w:color w:val="000000"/>
          <w:kern w:val="2"/>
          <w:sz w:val="28"/>
          <w:szCs w:val="28"/>
          <w:lang w:val="en-US" w:eastAsia="zh-CN" w:bidi="ar-SA"/>
        </w:rPr>
        <w:t xml:space="preserve">                               </w:t>
      </w:r>
      <w:r>
        <w:rPr>
          <w:rStyle w:val="62"/>
          <w:rFonts w:hint="eastAsia" w:ascii="宋体" w:hAnsi="宋体" w:eastAsia="宋体" w:cs="宋体"/>
          <w:b/>
          <w:bCs/>
          <w:color w:val="000000"/>
          <w:kern w:val="2"/>
          <w:sz w:val="28"/>
          <w:szCs w:val="28"/>
          <w:lang w:val="en-US" w:eastAsia="zh-CN" w:bidi="ar-SA"/>
        </w:rPr>
        <w:t xml:space="preserve">   供应商公章：</w:t>
      </w:r>
    </w:p>
    <w:p>
      <w:pPr>
        <w:pStyle w:val="31"/>
        <w:widowControl/>
        <w:spacing w:line="360" w:lineRule="auto"/>
        <w:ind w:firstLineChars="0"/>
        <w:jc w:val="right"/>
        <w:textAlignment w:val="baseline"/>
        <w:rPr>
          <w:rStyle w:val="62"/>
          <w:rFonts w:hint="eastAsia" w:ascii="宋体" w:hAnsi="宋体" w:eastAsia="宋体" w:cs="宋体"/>
          <w:b w:val="0"/>
          <w:bCs w:val="0"/>
          <w:color w:val="000000"/>
          <w:kern w:val="2"/>
          <w:sz w:val="28"/>
          <w:szCs w:val="28"/>
          <w:lang w:val="en-US" w:eastAsia="zh-CN" w:bidi="ar-SA"/>
        </w:rPr>
      </w:pPr>
      <w:r>
        <w:rPr>
          <w:rStyle w:val="62"/>
          <w:rFonts w:hint="eastAsia" w:ascii="宋体" w:hAnsi="宋体" w:eastAsia="宋体" w:cs="宋体"/>
          <w:b/>
          <w:bCs/>
          <w:color w:val="000000"/>
          <w:kern w:val="2"/>
          <w:sz w:val="28"/>
          <w:szCs w:val="28"/>
          <w:lang w:val="en-US" w:eastAsia="zh-CN" w:bidi="ar-SA"/>
        </w:rPr>
        <w:t>日    期：________________</w:t>
      </w:r>
    </w:p>
    <w:p>
      <w:pPr>
        <w:pStyle w:val="25"/>
        <w:widowControl/>
        <w:spacing w:line="360" w:lineRule="auto"/>
        <w:jc w:val="both"/>
        <w:textAlignment w:val="baseline"/>
        <w:rPr>
          <w:rStyle w:val="62"/>
          <w:rFonts w:hint="eastAsia" w:ascii="宋体" w:hAnsi="宋体" w:eastAsia="宋体" w:cs="宋体"/>
          <w:b/>
          <w:color w:val="000000"/>
          <w:kern w:val="2"/>
          <w:sz w:val="28"/>
          <w:szCs w:val="28"/>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cs="宋体"/>
          <w:b/>
          <w:color w:val="000000"/>
          <w:kern w:val="2"/>
          <w:sz w:val="24"/>
          <w:szCs w:val="24"/>
          <w:lang w:val="en-US" w:eastAsia="zh-CN" w:bidi="ar-SA"/>
        </w:rPr>
        <w:t>2</w:t>
      </w:r>
      <w:r>
        <w:rPr>
          <w:rStyle w:val="62"/>
          <w:rFonts w:hint="eastAsia" w:ascii="宋体" w:hAnsi="宋体" w:eastAsia="宋体" w:cs="宋体"/>
          <w:b/>
          <w:color w:val="000000"/>
          <w:kern w:val="2"/>
          <w:sz w:val="24"/>
          <w:szCs w:val="24"/>
          <w:lang w:val="en-US" w:eastAsia="zh-CN" w:bidi="ar-SA"/>
        </w:rPr>
        <w:t>、谈判响应函格式</w:t>
      </w: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致</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（采购单位名称）：</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1、根据贵方</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 xml:space="preserve"> 采购公告，我们决定参加贵方组织的</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项目的招标采购活动。我方授权</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(姓名和职务),代表我方</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（投标单位的名称）联系方式 (手机号码</w:t>
      </w:r>
      <w:r>
        <w:rPr>
          <w:rStyle w:val="62"/>
          <w:rFonts w:hint="eastAsia" w:ascii="宋体" w:hAnsi="宋体" w:eastAsia="宋体" w:cs="宋体"/>
          <w:color w:val="000000"/>
          <w:kern w:val="2"/>
          <w:sz w:val="24"/>
          <w:szCs w:val="24"/>
          <w:u w:val="single"/>
          <w:lang w:val="en-US" w:eastAsia="zh-CN" w:bidi="ar-SA"/>
        </w:rPr>
        <w:t xml:space="preserve">           </w:t>
      </w:r>
      <w:r>
        <w:rPr>
          <w:rStyle w:val="62"/>
          <w:rFonts w:hint="eastAsia" w:ascii="宋体" w:hAnsi="宋体" w:eastAsia="宋体" w:cs="宋体"/>
          <w:color w:val="000000"/>
          <w:kern w:val="2"/>
          <w:sz w:val="24"/>
          <w:szCs w:val="24"/>
          <w:lang w:val="en-US" w:eastAsia="zh-CN" w:bidi="ar-SA"/>
        </w:rPr>
        <w:t>)全权处理本项目投标的有关事宜。</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4、我方愿意按照采购文件规定的各项要求，向采购人提供所需的货物与服务。</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5、一旦我方中标，我方将严格履行合同规定的责任和义务。</w:t>
      </w:r>
    </w:p>
    <w:p>
      <w:pPr>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6、我方同意按照采购文件的要求，向贵方递交投标保证金。并且承诺，在投标有效期内如果我方撤回投标书或中标后拒绝签订合同，我方将放弃要求贵方退还该投标保证金的权力。</w:t>
      </w:r>
    </w:p>
    <w:p>
      <w:pPr>
        <w:tabs>
          <w:tab w:val="left" w:pos="840"/>
        </w:tabs>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7、我方愿意提供贵方可能另外要求的、与投标有关的文件资料，并保证我方已提供和将要提供的文件是真实的、准确的。</w:t>
      </w:r>
    </w:p>
    <w:p>
      <w:pPr>
        <w:tabs>
          <w:tab w:val="left" w:pos="0"/>
          <w:tab w:val="left" w:pos="840"/>
        </w:tabs>
        <w:spacing w:line="360" w:lineRule="auto"/>
        <w:ind w:firstLine="480" w:firstLineChars="200"/>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8、我方完全理解贵方不一定将合同授予最低报价（折扣）的</w:t>
      </w:r>
      <w:r>
        <w:rPr>
          <w:rStyle w:val="62"/>
          <w:rFonts w:hint="eastAsia" w:ascii="宋体" w:hAnsi="宋体" w:cs="宋体"/>
          <w:color w:val="000000"/>
          <w:kern w:val="2"/>
          <w:sz w:val="24"/>
          <w:szCs w:val="24"/>
          <w:lang w:val="en-US" w:eastAsia="zh-CN" w:bidi="ar-SA"/>
        </w:rPr>
        <w:t>投标供应商</w:t>
      </w:r>
      <w:r>
        <w:rPr>
          <w:rStyle w:val="62"/>
          <w:rFonts w:hint="eastAsia" w:ascii="宋体" w:hAnsi="宋体" w:eastAsia="宋体" w:cs="宋体"/>
          <w:color w:val="000000"/>
          <w:kern w:val="2"/>
          <w:sz w:val="24"/>
          <w:szCs w:val="24"/>
          <w:lang w:val="en-US" w:eastAsia="zh-CN" w:bidi="ar-SA"/>
        </w:rPr>
        <w:t>。</w:t>
      </w:r>
    </w:p>
    <w:p>
      <w:pPr>
        <w:pStyle w:val="31"/>
        <w:widowControl/>
        <w:spacing w:line="360" w:lineRule="auto"/>
        <w:ind w:right="980" w:firstLineChars="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 xml:space="preserve">                                 </w:t>
      </w:r>
      <w:r>
        <w:rPr>
          <w:rStyle w:val="62"/>
          <w:rFonts w:hint="eastAsia" w:ascii="宋体" w:hAnsi="宋体" w:cs="宋体"/>
          <w:b/>
          <w:bCs/>
          <w:color w:val="000000"/>
          <w:kern w:val="2"/>
          <w:sz w:val="24"/>
          <w:szCs w:val="24"/>
          <w:lang w:val="en-US" w:eastAsia="zh-CN" w:bidi="ar-SA"/>
        </w:rPr>
        <w:t>投标供应商</w:t>
      </w:r>
      <w:r>
        <w:rPr>
          <w:rStyle w:val="62"/>
          <w:rFonts w:hint="eastAsia" w:ascii="宋体" w:hAnsi="宋体" w:eastAsia="宋体" w:cs="宋体"/>
          <w:b/>
          <w:bCs/>
          <w:color w:val="000000"/>
          <w:kern w:val="2"/>
          <w:sz w:val="24"/>
          <w:szCs w:val="24"/>
          <w:lang w:val="en-US" w:eastAsia="zh-CN" w:bidi="ar-SA"/>
        </w:rPr>
        <w:t>公章：</w:t>
      </w:r>
    </w:p>
    <w:p>
      <w:pPr>
        <w:pStyle w:val="31"/>
        <w:widowControl/>
        <w:spacing w:line="360" w:lineRule="auto"/>
        <w:ind w:firstLineChars="0"/>
        <w:jc w:val="right"/>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日    期：________________</w:t>
      </w:r>
    </w:p>
    <w:p>
      <w:pPr>
        <w:pStyle w:val="25"/>
        <w:widowControl/>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br w:type="page"/>
      </w:r>
      <w:r>
        <w:rPr>
          <w:rStyle w:val="62"/>
          <w:rFonts w:hint="eastAsia" w:ascii="宋体" w:hAnsi="宋体" w:cs="宋体"/>
          <w:b/>
          <w:color w:val="000000"/>
          <w:kern w:val="2"/>
          <w:sz w:val="24"/>
          <w:szCs w:val="24"/>
          <w:lang w:val="en-US" w:eastAsia="zh-CN" w:bidi="ar-SA"/>
        </w:rPr>
        <w:t>3</w:t>
      </w:r>
      <w:r>
        <w:rPr>
          <w:rStyle w:val="62"/>
          <w:rFonts w:hint="eastAsia" w:ascii="宋体" w:hAnsi="宋体" w:eastAsia="宋体" w:cs="宋体"/>
          <w:b/>
          <w:color w:val="000000"/>
          <w:kern w:val="2"/>
          <w:sz w:val="24"/>
          <w:szCs w:val="24"/>
          <w:lang w:val="en-US" w:eastAsia="zh-CN" w:bidi="ar-SA"/>
        </w:rPr>
        <w:t>、项目方案</w:t>
      </w: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（一）谈判响应供应商简介</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（不超过1000字）</w:t>
      </w:r>
    </w:p>
    <w:p>
      <w:pPr>
        <w:numPr>
          <w:ilvl w:val="0"/>
          <w:numId w:val="9"/>
        </w:numPr>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项目实施方案</w:t>
      </w:r>
    </w:p>
    <w:p>
      <w:pPr>
        <w:numPr>
          <w:ilvl w:val="0"/>
          <w:numId w:val="0"/>
        </w:numPr>
        <w:spacing w:line="360" w:lineRule="auto"/>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cs="宋体"/>
          <w:b/>
          <w:bCs/>
          <w:color w:val="000000"/>
          <w:kern w:val="2"/>
          <w:sz w:val="24"/>
          <w:szCs w:val="24"/>
          <w:lang w:val="en-US" w:eastAsia="zh-CN" w:bidi="ar-SA"/>
        </w:rPr>
        <w:t>4</w:t>
      </w:r>
      <w:r>
        <w:rPr>
          <w:rStyle w:val="62"/>
          <w:rFonts w:hint="eastAsia" w:ascii="宋体" w:hAnsi="宋体" w:eastAsia="宋体" w:cs="宋体"/>
          <w:b/>
          <w:bCs/>
          <w:color w:val="000000"/>
          <w:kern w:val="2"/>
          <w:sz w:val="24"/>
          <w:szCs w:val="24"/>
          <w:lang w:val="en-US" w:eastAsia="zh-CN" w:bidi="ar-SA"/>
        </w:rPr>
        <w:t>、技术规格响应表</w:t>
      </w:r>
    </w:p>
    <w:tbl>
      <w:tblPr>
        <w:tblStyle w:val="12"/>
        <w:tblW w:w="94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1956"/>
        <w:gridCol w:w="1656"/>
        <w:gridCol w:w="1596"/>
        <w:gridCol w:w="780"/>
        <w:gridCol w:w="912"/>
        <w:gridCol w:w="20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jc w:val="center"/>
        </w:trPr>
        <w:tc>
          <w:tcPr>
            <w:tcW w:w="545" w:type="dxa"/>
            <w:tcBorders>
              <w:top w:val="single" w:color="000000" w:sz="4" w:space="0"/>
              <w:left w:val="single" w:color="000000" w:sz="4"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序号</w:t>
            </w:r>
          </w:p>
        </w:tc>
        <w:tc>
          <w:tcPr>
            <w:tcW w:w="1956" w:type="dxa"/>
            <w:tcBorders>
              <w:top w:val="single" w:color="000000" w:sz="4"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设备名称</w:t>
            </w:r>
          </w:p>
        </w:tc>
        <w:tc>
          <w:tcPr>
            <w:tcW w:w="1656" w:type="dxa"/>
            <w:tcBorders>
              <w:top w:val="single" w:color="000000" w:sz="4"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招标货物技术参数要求</w:t>
            </w:r>
          </w:p>
        </w:tc>
        <w:tc>
          <w:tcPr>
            <w:tcW w:w="1596" w:type="dxa"/>
            <w:tcBorders>
              <w:top w:val="single" w:color="000000" w:sz="4"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投标货物技术参数指标</w:t>
            </w:r>
          </w:p>
        </w:tc>
        <w:tc>
          <w:tcPr>
            <w:tcW w:w="780" w:type="dxa"/>
            <w:tcBorders>
              <w:top w:val="single" w:color="000000" w:sz="4"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品牌</w:t>
            </w:r>
          </w:p>
        </w:tc>
        <w:tc>
          <w:tcPr>
            <w:tcW w:w="912" w:type="dxa"/>
            <w:tcBorders>
              <w:top w:val="single" w:color="000000" w:sz="4"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型号</w:t>
            </w:r>
          </w:p>
        </w:tc>
        <w:tc>
          <w:tcPr>
            <w:tcW w:w="2032" w:type="dxa"/>
            <w:tcBorders>
              <w:top w:val="single" w:color="000000" w:sz="4"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选择项（正偏离或符合或负偏离）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45" w:type="dxa"/>
            <w:tcBorders>
              <w:top w:val="single" w:color="000000" w:sz="6" w:space="0"/>
              <w:left w:val="single" w:color="000000" w:sz="4"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w:t>
            </w:r>
          </w:p>
        </w:tc>
        <w:tc>
          <w:tcPr>
            <w:tcW w:w="1956" w:type="dxa"/>
            <w:tcBorders>
              <w:top w:val="single" w:color="000000" w:sz="6" w:space="0"/>
              <w:left w:val="single" w:color="000000" w:sz="6" w:space="0"/>
              <w:bottom w:val="single" w:color="000000" w:sz="6" w:space="0"/>
              <w:right w:val="single" w:color="000000" w:sz="6" w:space="0"/>
            </w:tcBorders>
            <w:vAlign w:val="center"/>
          </w:tcPr>
          <w:p>
            <w:pPr>
              <w:pStyle w:val="60"/>
              <w:spacing w:line="360" w:lineRule="auto"/>
              <w:jc w:val="left"/>
              <w:rPr>
                <w:rStyle w:val="62"/>
                <w:rFonts w:hint="eastAsia" w:ascii="宋体" w:hAnsi="宋体" w:eastAsia="宋体" w:cs="宋体"/>
                <w:color w:val="000000"/>
                <w:kern w:val="2"/>
                <w:sz w:val="24"/>
                <w:szCs w:val="24"/>
                <w:lang w:val="en-US" w:eastAsia="zh-CN" w:bidi="ar-SA"/>
              </w:rPr>
            </w:pPr>
          </w:p>
        </w:tc>
        <w:tc>
          <w:tcPr>
            <w:tcW w:w="1656" w:type="dxa"/>
            <w:tcBorders>
              <w:top w:val="single" w:color="000000" w:sz="6"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596" w:type="dxa"/>
            <w:tcBorders>
              <w:top w:val="single" w:color="000000" w:sz="6"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780"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912"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032"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545" w:type="dxa"/>
            <w:tcBorders>
              <w:top w:val="single" w:color="000000" w:sz="6" w:space="0"/>
              <w:left w:val="single" w:color="000000" w:sz="4"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w:t>
            </w:r>
          </w:p>
        </w:tc>
        <w:tc>
          <w:tcPr>
            <w:tcW w:w="1956" w:type="dxa"/>
            <w:tcBorders>
              <w:top w:val="single" w:color="000000" w:sz="6" w:space="0"/>
              <w:left w:val="single" w:color="000000" w:sz="6" w:space="0"/>
              <w:bottom w:val="single" w:color="000000" w:sz="6" w:space="0"/>
              <w:right w:val="single" w:color="000000" w:sz="6" w:space="0"/>
            </w:tcBorders>
            <w:vAlign w:val="center"/>
          </w:tcPr>
          <w:p>
            <w:pPr>
              <w:pStyle w:val="60"/>
              <w:spacing w:line="360" w:lineRule="auto"/>
              <w:jc w:val="left"/>
              <w:rPr>
                <w:rStyle w:val="62"/>
                <w:rFonts w:hint="eastAsia" w:ascii="宋体" w:hAnsi="宋体" w:eastAsia="宋体" w:cs="宋体"/>
                <w:color w:val="000000"/>
                <w:kern w:val="2"/>
                <w:sz w:val="24"/>
                <w:szCs w:val="24"/>
                <w:lang w:val="en-US" w:eastAsia="zh-CN" w:bidi="ar-SA"/>
              </w:rPr>
            </w:pPr>
          </w:p>
        </w:tc>
        <w:tc>
          <w:tcPr>
            <w:tcW w:w="1656" w:type="dxa"/>
            <w:tcBorders>
              <w:top w:val="single" w:color="000000" w:sz="6"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596" w:type="dxa"/>
            <w:tcBorders>
              <w:top w:val="single" w:color="000000" w:sz="6" w:space="0"/>
              <w:left w:val="single" w:color="000000" w:sz="6" w:space="0"/>
              <w:bottom w:val="single" w:color="000000" w:sz="6" w:space="0"/>
              <w:right w:val="single" w:color="000000" w:sz="6"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780"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912"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032" w:type="dxa"/>
            <w:tcBorders>
              <w:top w:val="single" w:color="000000" w:sz="6" w:space="0"/>
              <w:left w:val="single" w:color="000000" w:sz="6" w:space="0"/>
              <w:bottom w:val="single" w:color="000000" w:sz="6" w:space="0"/>
              <w:right w:val="single" w:color="000000" w:sz="4" w:space="0"/>
            </w:tcBorders>
            <w:vAlign w:val="center"/>
          </w:tcPr>
          <w:p>
            <w:pPr>
              <w:tabs>
                <w:tab w:val="left" w:pos="7560"/>
              </w:tabs>
              <w:snapToGrid w:val="0"/>
              <w:spacing w:before="48" w:after="48" w:line="360" w:lineRule="auto"/>
              <w:jc w:val="both"/>
              <w:textAlignment w:val="baseline"/>
              <w:rPr>
                <w:rStyle w:val="62"/>
                <w:rFonts w:hint="eastAsia" w:ascii="宋体" w:hAnsi="宋体" w:eastAsia="宋体" w:cs="宋体"/>
                <w:color w:val="000000"/>
                <w:kern w:val="2"/>
                <w:sz w:val="24"/>
                <w:szCs w:val="24"/>
                <w:lang w:val="en-US" w:eastAsia="zh-CN" w:bidi="ar-SA"/>
              </w:rPr>
            </w:pPr>
          </w:p>
        </w:tc>
      </w:tr>
    </w:tbl>
    <w:p>
      <w:pPr>
        <w:widowControl/>
        <w:wordWrap/>
        <w:adjustRightInd/>
        <w:snapToGrid/>
        <w:spacing w:line="360" w:lineRule="auto"/>
        <w:ind w:firstLine="0" w:firstLineChars="0"/>
        <w:jc w:val="left"/>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cs="宋体"/>
          <w:b/>
          <w:bCs/>
          <w:color w:val="000000"/>
          <w:kern w:val="2"/>
          <w:sz w:val="24"/>
          <w:szCs w:val="24"/>
          <w:lang w:val="en-US" w:eastAsia="zh-CN" w:bidi="ar-SA"/>
        </w:rPr>
        <w:t>5</w:t>
      </w:r>
      <w:r>
        <w:rPr>
          <w:rStyle w:val="62"/>
          <w:rFonts w:hint="eastAsia" w:ascii="宋体" w:hAnsi="宋体" w:eastAsia="宋体" w:cs="宋体"/>
          <w:b/>
          <w:bCs/>
          <w:color w:val="000000"/>
          <w:kern w:val="2"/>
          <w:sz w:val="24"/>
          <w:szCs w:val="24"/>
          <w:lang w:val="en-US" w:eastAsia="zh-CN" w:bidi="ar-SA"/>
        </w:rPr>
        <w:t>、履行合同所必需的设备专业技术能力证明</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（1）服务本项目主要人员一览表</w:t>
      </w:r>
    </w:p>
    <w:tbl>
      <w:tblPr>
        <w:tblStyle w:val="12"/>
        <w:tblW w:w="1009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44"/>
        <w:gridCol w:w="1103"/>
        <w:gridCol w:w="1103"/>
        <w:gridCol w:w="1789"/>
        <w:gridCol w:w="1153"/>
        <w:gridCol w:w="1655"/>
        <w:gridCol w:w="245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02" w:hRule="atLeast"/>
          <w:jc w:val="center"/>
        </w:trPr>
        <w:tc>
          <w:tcPr>
            <w:tcW w:w="844" w:type="dxa"/>
            <w:vMerge w:val="restart"/>
            <w:tcBorders>
              <w:top w:val="single" w:color="000000" w:sz="12" w:space="0"/>
              <w:left w:val="single" w:color="000000" w:sz="12"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类别</w:t>
            </w:r>
          </w:p>
        </w:tc>
        <w:tc>
          <w:tcPr>
            <w:tcW w:w="1103" w:type="dxa"/>
            <w:vMerge w:val="restart"/>
            <w:tcBorders>
              <w:top w:val="single" w:color="000000" w:sz="12"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姓名</w:t>
            </w:r>
          </w:p>
        </w:tc>
        <w:tc>
          <w:tcPr>
            <w:tcW w:w="1103" w:type="dxa"/>
            <w:vMerge w:val="restart"/>
            <w:tcBorders>
              <w:top w:val="single" w:color="000000" w:sz="12"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职务</w:t>
            </w:r>
          </w:p>
        </w:tc>
        <w:tc>
          <w:tcPr>
            <w:tcW w:w="1789" w:type="dxa"/>
            <w:vMerge w:val="restart"/>
            <w:tcBorders>
              <w:top w:val="single" w:color="000000" w:sz="12"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职称或执业资格</w:t>
            </w:r>
          </w:p>
        </w:tc>
        <w:tc>
          <w:tcPr>
            <w:tcW w:w="1153" w:type="dxa"/>
            <w:vMerge w:val="restart"/>
            <w:tcBorders>
              <w:top w:val="single" w:color="000000" w:sz="12"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学历</w:t>
            </w:r>
          </w:p>
        </w:tc>
        <w:tc>
          <w:tcPr>
            <w:tcW w:w="4105" w:type="dxa"/>
            <w:gridSpan w:val="2"/>
            <w:tcBorders>
              <w:top w:val="single" w:color="000000" w:sz="12"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证件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844" w:type="dxa"/>
            <w:vMerge w:val="continue"/>
            <w:tcBorders>
              <w:top w:val="single" w:color="000000" w:sz="6" w:space="0"/>
              <w:left w:val="single" w:color="000000" w:sz="12"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vMerge w:val="continue"/>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vMerge w:val="continue"/>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vMerge w:val="continue"/>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vMerge w:val="continue"/>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名称</w:t>
            </w: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号码</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09" w:hRule="atLeast"/>
          <w:jc w:val="center"/>
        </w:trPr>
        <w:tc>
          <w:tcPr>
            <w:tcW w:w="844" w:type="dxa"/>
            <w:vMerge w:val="restart"/>
            <w:tcBorders>
              <w:top w:val="single" w:color="000000" w:sz="6" w:space="0"/>
              <w:left w:val="single" w:color="000000" w:sz="12" w:space="0"/>
              <w:bottom w:val="single" w:color="000000" w:sz="6" w:space="0"/>
              <w:right w:val="single" w:color="000000" w:sz="6" w:space="0"/>
            </w:tcBorders>
            <w:textDirection w:val="tbRlV"/>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管理人员</w:t>
            </w: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844" w:type="dxa"/>
            <w:vMerge w:val="continue"/>
            <w:tcBorders>
              <w:top w:val="single" w:color="000000" w:sz="6" w:space="0"/>
              <w:left w:val="single" w:color="000000" w:sz="12"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844" w:type="dxa"/>
            <w:vMerge w:val="restart"/>
            <w:tcBorders>
              <w:top w:val="single" w:color="000000" w:sz="6" w:space="0"/>
              <w:left w:val="single" w:color="000000" w:sz="12" w:space="0"/>
              <w:bottom w:val="single" w:color="000000" w:sz="6" w:space="0"/>
              <w:right w:val="single" w:color="000000" w:sz="6" w:space="0"/>
            </w:tcBorders>
            <w:textDirection w:val="tbRlV"/>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技术人员</w:t>
            </w: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844" w:type="dxa"/>
            <w:vMerge w:val="continue"/>
            <w:tcBorders>
              <w:top w:val="single" w:color="000000" w:sz="6" w:space="0"/>
              <w:left w:val="single" w:color="000000" w:sz="12"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844" w:type="dxa"/>
            <w:vMerge w:val="restart"/>
            <w:tcBorders>
              <w:top w:val="single" w:color="000000" w:sz="6" w:space="0"/>
              <w:left w:val="single" w:color="000000" w:sz="12"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其它</w:t>
            </w: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6"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6"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27" w:hRule="atLeast"/>
          <w:jc w:val="center"/>
        </w:trPr>
        <w:tc>
          <w:tcPr>
            <w:tcW w:w="844" w:type="dxa"/>
            <w:vMerge w:val="continue"/>
            <w:tcBorders>
              <w:top w:val="single" w:color="000000" w:sz="6" w:space="0"/>
              <w:left w:val="single" w:color="000000" w:sz="12"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03" w:type="dxa"/>
            <w:tcBorders>
              <w:top w:val="single" w:color="000000" w:sz="6" w:space="0"/>
              <w:left w:val="single" w:color="000000" w:sz="6"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789" w:type="dxa"/>
            <w:tcBorders>
              <w:top w:val="single" w:color="000000" w:sz="6" w:space="0"/>
              <w:left w:val="single" w:color="000000" w:sz="6"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153" w:type="dxa"/>
            <w:tcBorders>
              <w:top w:val="single" w:color="000000" w:sz="6" w:space="0"/>
              <w:left w:val="single" w:color="000000" w:sz="6"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1655" w:type="dxa"/>
            <w:tcBorders>
              <w:top w:val="single" w:color="000000" w:sz="6" w:space="0"/>
              <w:left w:val="single" w:color="000000" w:sz="6" w:space="0"/>
              <w:bottom w:val="single" w:color="000000" w:sz="12" w:space="0"/>
              <w:right w:val="single" w:color="000000" w:sz="6"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c>
          <w:tcPr>
            <w:tcW w:w="2450" w:type="dxa"/>
            <w:tcBorders>
              <w:top w:val="single" w:color="000000" w:sz="6" w:space="0"/>
              <w:left w:val="single" w:color="000000" w:sz="6" w:space="0"/>
              <w:bottom w:val="single" w:color="000000" w:sz="12" w:space="0"/>
              <w:right w:val="single" w:color="000000" w:sz="12" w:space="0"/>
            </w:tcBorders>
            <w:vAlign w:val="center"/>
          </w:tcPr>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p>
        </w:tc>
      </w:tr>
    </w:tbl>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注：证件应附复印件或影印件，供应商对其真实性负法律责任。</w:t>
      </w:r>
    </w:p>
    <w:p>
      <w:pPr>
        <w:pStyle w:val="31"/>
        <w:widowControl/>
        <w:numPr>
          <w:ilvl w:val="0"/>
          <w:numId w:val="0"/>
        </w:numPr>
        <w:spacing w:line="360" w:lineRule="auto"/>
        <w:ind w:leftChars="0" w:firstLine="482" w:firstLineChars="20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（2）其它证明。</w:t>
      </w:r>
    </w:p>
    <w:p>
      <w:pPr>
        <w:spacing w:line="360" w:lineRule="auto"/>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cs="宋体"/>
          <w:b/>
          <w:bCs/>
          <w:color w:val="000000"/>
          <w:kern w:val="2"/>
          <w:sz w:val="24"/>
          <w:szCs w:val="24"/>
          <w:lang w:val="en-US" w:eastAsia="zh-CN" w:bidi="ar-SA"/>
        </w:rPr>
        <w:t>6</w:t>
      </w:r>
      <w:r>
        <w:rPr>
          <w:rStyle w:val="62"/>
          <w:rFonts w:hint="eastAsia" w:ascii="宋体" w:hAnsi="宋体" w:eastAsia="宋体" w:cs="宋体"/>
          <w:b/>
          <w:bCs/>
          <w:color w:val="000000"/>
          <w:kern w:val="2"/>
          <w:sz w:val="24"/>
          <w:szCs w:val="24"/>
          <w:lang w:val="en-US" w:eastAsia="zh-CN" w:bidi="ar-SA"/>
        </w:rPr>
        <w:t>、质保及售后服务</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1、承诺的质保内容</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2、货物免费质保期一览表（如果不同的部件质保期不同，应分别列明）</w:t>
      </w:r>
    </w:p>
    <w:tbl>
      <w:tblPr>
        <w:tblStyle w:val="12"/>
        <w:tblW w:w="8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5"/>
        <w:gridCol w:w="1060"/>
        <w:gridCol w:w="945"/>
        <w:gridCol w:w="1598"/>
        <w:gridCol w:w="2250"/>
        <w:gridCol w:w="19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945"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序号</w:t>
            </w:r>
          </w:p>
        </w:tc>
        <w:tc>
          <w:tcPr>
            <w:tcW w:w="106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ind w:left="87"/>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名称</w:t>
            </w:r>
          </w:p>
        </w:tc>
        <w:tc>
          <w:tcPr>
            <w:tcW w:w="945"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品牌</w:t>
            </w:r>
          </w:p>
        </w:tc>
        <w:tc>
          <w:tcPr>
            <w:tcW w:w="1598"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规格型号</w:t>
            </w:r>
          </w:p>
        </w:tc>
        <w:tc>
          <w:tcPr>
            <w:tcW w:w="225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生产制造厂家</w:t>
            </w:r>
          </w:p>
        </w:tc>
        <w:tc>
          <w:tcPr>
            <w:tcW w:w="1922"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color w:val="000000"/>
                <w:kern w:val="2"/>
                <w:sz w:val="24"/>
                <w:szCs w:val="24"/>
                <w:lang w:val="en-US" w:eastAsia="zh-CN" w:bidi="ar-SA"/>
              </w:rPr>
              <w:t>免费质保期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945"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w:t>
            </w:r>
          </w:p>
        </w:tc>
        <w:tc>
          <w:tcPr>
            <w:tcW w:w="106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1598"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225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1922"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94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w:t>
            </w:r>
          </w:p>
        </w:tc>
        <w:tc>
          <w:tcPr>
            <w:tcW w:w="106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1598"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225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c>
          <w:tcPr>
            <w:tcW w:w="1922"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p>
        </w:tc>
      </w:tr>
    </w:tbl>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 xml:space="preserve">    3、售后服务</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供应商应提供全方位、有效而及时的技术支持和服务，主要包括：</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(1)故障响应时间（指接到报修电话起赶到现场的时间）</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(2)接到报修后详细的故障响应方案</w:t>
      </w:r>
    </w:p>
    <w:p>
      <w:pPr>
        <w:spacing w:line="360" w:lineRule="auto"/>
        <w:ind w:firstLine="460" w:firstLineChars="192"/>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(3)免费质保期以后的维修内容及收费标准</w:t>
      </w:r>
    </w:p>
    <w:tbl>
      <w:tblPr>
        <w:tblStyle w:val="12"/>
        <w:tblW w:w="8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0"/>
        <w:gridCol w:w="1100"/>
        <w:gridCol w:w="1861"/>
        <w:gridCol w:w="3000"/>
        <w:gridCol w:w="16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序号</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57"/>
              <w:widowControl/>
              <w:spacing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名称</w:t>
            </w:r>
          </w:p>
        </w:tc>
        <w:tc>
          <w:tcPr>
            <w:tcW w:w="1861" w:type="dxa"/>
            <w:tcBorders>
              <w:top w:val="single" w:color="000000" w:sz="4" w:space="0"/>
              <w:left w:val="single" w:color="000000" w:sz="4" w:space="0"/>
              <w:bottom w:val="single" w:color="000000" w:sz="4" w:space="0"/>
              <w:right w:val="single" w:color="000000" w:sz="4" w:space="0"/>
            </w:tcBorders>
            <w:vAlign w:val="center"/>
          </w:tcPr>
          <w:p>
            <w:pPr>
              <w:pStyle w:val="57"/>
              <w:widowControl/>
              <w:spacing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维修内容</w:t>
            </w:r>
          </w:p>
        </w:tc>
        <w:tc>
          <w:tcPr>
            <w:tcW w:w="3000" w:type="dxa"/>
            <w:tcBorders>
              <w:top w:val="single" w:color="000000" w:sz="4" w:space="0"/>
              <w:left w:val="single" w:color="000000" w:sz="4" w:space="0"/>
              <w:bottom w:val="single" w:color="000000" w:sz="4" w:space="0"/>
              <w:right w:val="single" w:color="000000" w:sz="4" w:space="0"/>
            </w:tcBorders>
            <w:vAlign w:val="center"/>
          </w:tcPr>
          <w:p>
            <w:pPr>
              <w:pStyle w:val="57"/>
              <w:widowControl/>
              <w:spacing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维修费用（元）</w:t>
            </w:r>
          </w:p>
        </w:tc>
        <w:tc>
          <w:tcPr>
            <w:tcW w:w="1659"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352" w:firstLineChars="147"/>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spacing w:line="360" w:lineRule="auto"/>
              <w:jc w:val="center"/>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1</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861"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30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659"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11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861"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30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c>
          <w:tcPr>
            <w:tcW w:w="1659"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textAlignment w:val="baseline"/>
              <w:rPr>
                <w:rStyle w:val="62"/>
                <w:rFonts w:hint="eastAsia" w:ascii="宋体" w:hAnsi="宋体" w:eastAsia="宋体" w:cs="宋体"/>
                <w:color w:val="000000"/>
                <w:kern w:val="2"/>
                <w:sz w:val="24"/>
                <w:szCs w:val="24"/>
                <w:lang w:val="en-US" w:eastAsia="zh-CN" w:bidi="ar-SA"/>
              </w:rPr>
            </w:pPr>
          </w:p>
        </w:tc>
      </w:tr>
    </w:tbl>
    <w:p>
      <w:pPr>
        <w:pStyle w:val="31"/>
        <w:widowControl/>
        <w:spacing w:line="360" w:lineRule="auto"/>
        <w:ind w:firstLineChars="0"/>
        <w:jc w:val="both"/>
        <w:textAlignment w:val="baseline"/>
        <w:rPr>
          <w:rStyle w:val="62"/>
          <w:rFonts w:hint="eastAsia" w:ascii="宋体" w:hAnsi="宋体" w:cs="宋体"/>
          <w:b/>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cs="宋体"/>
          <w:b/>
          <w:bCs w:val="0"/>
          <w:color w:val="000000"/>
          <w:kern w:val="2"/>
          <w:sz w:val="24"/>
          <w:szCs w:val="24"/>
          <w:lang w:val="en-US" w:eastAsia="zh-CN" w:bidi="ar-SA"/>
        </w:rPr>
        <w:t>7、承诺函（格式自拟）</w:t>
      </w:r>
    </w:p>
    <w:p>
      <w:pPr>
        <w:pStyle w:val="31"/>
        <w:widowControl/>
        <w:spacing w:line="360" w:lineRule="auto"/>
        <w:ind w:firstLineChars="0"/>
        <w:jc w:val="both"/>
        <w:textAlignment w:val="baseline"/>
        <w:rPr>
          <w:rStyle w:val="62"/>
          <w:rFonts w:hint="eastAsia" w:ascii="宋体" w:hAnsi="宋体" w:eastAsia="宋体" w:cs="宋体"/>
          <w:b/>
          <w:bCs w:val="0"/>
          <w:color w:val="000000"/>
          <w:kern w:val="2"/>
          <w:sz w:val="24"/>
          <w:szCs w:val="24"/>
          <w:lang w:val="en-US" w:eastAsia="zh-CN" w:bidi="ar-SA"/>
        </w:rPr>
      </w:pPr>
      <w:r>
        <w:rPr>
          <w:rStyle w:val="62"/>
          <w:rFonts w:hint="eastAsia" w:ascii="宋体" w:hAnsi="宋体" w:cs="宋体"/>
          <w:b/>
          <w:bCs w:val="0"/>
          <w:color w:val="000000"/>
          <w:kern w:val="2"/>
          <w:sz w:val="24"/>
          <w:szCs w:val="24"/>
          <w:lang w:val="en-US" w:eastAsia="zh-CN" w:bidi="ar-SA"/>
        </w:rPr>
        <w:t>8</w:t>
      </w:r>
      <w:r>
        <w:rPr>
          <w:rStyle w:val="62"/>
          <w:rFonts w:hint="eastAsia" w:ascii="宋体" w:hAnsi="宋体" w:eastAsia="宋体" w:cs="宋体"/>
          <w:b/>
          <w:bCs w:val="0"/>
          <w:color w:val="000000"/>
          <w:kern w:val="2"/>
          <w:sz w:val="24"/>
          <w:szCs w:val="24"/>
          <w:lang w:val="en-US" w:eastAsia="zh-CN" w:bidi="ar-SA"/>
        </w:rPr>
        <w:t>、谈判文件要求的其它材料</w:t>
      </w:r>
    </w:p>
    <w:p>
      <w:pPr>
        <w:pStyle w:val="31"/>
        <w:widowControl/>
        <w:spacing w:line="360" w:lineRule="auto"/>
        <w:ind w:firstLineChars="0"/>
        <w:jc w:val="both"/>
        <w:textAlignment w:val="baseline"/>
        <w:rPr>
          <w:rStyle w:val="62"/>
          <w:rFonts w:hint="eastAsia" w:ascii="宋体" w:hAnsi="宋体" w:eastAsia="宋体" w:cs="宋体"/>
          <w:b/>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bCs w:val="0"/>
          <w:color w:val="000000"/>
          <w:kern w:val="2"/>
          <w:sz w:val="24"/>
          <w:szCs w:val="24"/>
          <w:lang w:val="en-US" w:eastAsia="zh-CN" w:bidi="ar-SA"/>
        </w:rPr>
      </w:pPr>
    </w:p>
    <w:p>
      <w:pPr>
        <w:pStyle w:val="31"/>
        <w:widowControl/>
        <w:spacing w:line="360" w:lineRule="auto"/>
        <w:ind w:firstLineChars="0"/>
        <w:jc w:val="both"/>
        <w:textAlignment w:val="baseline"/>
        <w:rPr>
          <w:rStyle w:val="62"/>
          <w:rFonts w:hint="eastAsia" w:ascii="宋体" w:hAnsi="宋体" w:eastAsia="宋体" w:cs="宋体"/>
          <w:b/>
          <w:bCs w:val="0"/>
          <w:color w:val="000000"/>
          <w:kern w:val="2"/>
          <w:sz w:val="24"/>
          <w:szCs w:val="24"/>
          <w:lang w:val="en-US" w:eastAsia="zh-CN" w:bidi="ar-SA"/>
        </w:rPr>
      </w:pPr>
    </w:p>
    <w:p>
      <w:pPr>
        <w:spacing w:line="360" w:lineRule="auto"/>
        <w:jc w:val="both"/>
        <w:textAlignment w:val="baseline"/>
        <w:rPr>
          <w:rStyle w:val="62"/>
          <w:rFonts w:hint="eastAsia" w:ascii="宋体" w:hAnsi="宋体" w:eastAsia="宋体" w:cs="宋体"/>
          <w:b/>
          <w:color w:val="000000"/>
          <w:kern w:val="2"/>
          <w:sz w:val="24"/>
          <w:szCs w:val="24"/>
          <w:lang w:val="en-US" w:eastAsia="zh-CN" w:bidi="ar-SA"/>
        </w:rPr>
      </w:pPr>
      <w:r>
        <w:rPr>
          <w:rStyle w:val="62"/>
          <w:rFonts w:hint="eastAsia" w:ascii="宋体" w:hAnsi="宋体" w:eastAsia="宋体" w:cs="宋体"/>
          <w:b/>
          <w:color w:val="000000"/>
          <w:kern w:val="2"/>
          <w:sz w:val="24"/>
          <w:szCs w:val="24"/>
          <w:lang w:val="en-US" w:eastAsia="zh-CN" w:bidi="ar-SA"/>
        </w:rPr>
        <w:t>二、报价部分</w:t>
      </w:r>
    </w:p>
    <w:p>
      <w:pPr>
        <w:pStyle w:val="31"/>
        <w:widowControl/>
        <w:spacing w:line="360" w:lineRule="auto"/>
        <w:ind w:firstLineChars="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1、投标报价表</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１)根据竞争性谈判文件要求可以自行调整，包括但不限于以下内容。</w:t>
      </w:r>
    </w:p>
    <w:p>
      <w:pPr>
        <w:spacing w:line="360" w:lineRule="auto"/>
        <w:jc w:val="both"/>
        <w:textAlignment w:val="baseline"/>
        <w:rPr>
          <w:rStyle w:val="62"/>
          <w:rFonts w:hint="eastAsia" w:ascii="宋体" w:hAnsi="宋体" w:eastAsia="宋体" w:cs="宋体"/>
          <w:color w:val="000000"/>
          <w:kern w:val="2"/>
          <w:sz w:val="24"/>
          <w:szCs w:val="24"/>
          <w:lang w:val="en-US" w:eastAsia="zh-CN" w:bidi="ar-SA"/>
        </w:rPr>
      </w:pPr>
      <w:r>
        <w:rPr>
          <w:rStyle w:val="62"/>
          <w:rFonts w:hint="eastAsia" w:ascii="宋体" w:hAnsi="宋体" w:eastAsia="宋体" w:cs="宋体"/>
          <w:color w:val="000000"/>
          <w:kern w:val="2"/>
          <w:sz w:val="24"/>
          <w:szCs w:val="24"/>
          <w:lang w:val="en-US" w:eastAsia="zh-CN" w:bidi="ar-SA"/>
        </w:rPr>
        <w:t>２)我方承诺报价不高于同类货物和服务的市场同期平均价格，若被发现存在任何虚假、隐瞒情况，我公司承担由此产生的一切后果。</w:t>
      </w:r>
    </w:p>
    <w:tbl>
      <w:tblPr>
        <w:tblStyle w:val="12"/>
        <w:tblpPr w:leftFromText="180" w:rightFromText="180" w:vertAnchor="text" w:horzAnchor="page" w:tblpXSpec="center" w:tblpY="455"/>
        <w:tblOverlap w:val="never"/>
        <w:tblW w:w="88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69"/>
        <w:gridCol w:w="1885"/>
        <w:gridCol w:w="1895"/>
        <w:gridCol w:w="1248"/>
        <w:gridCol w:w="2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8" w:hRule="exact"/>
          <w:jc w:val="center"/>
        </w:trPr>
        <w:tc>
          <w:tcPr>
            <w:tcW w:w="1769"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项目名称</w:t>
            </w:r>
          </w:p>
        </w:tc>
        <w:tc>
          <w:tcPr>
            <w:tcW w:w="3780"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Fonts w:hint="eastAsia" w:ascii="宋体" w:hAnsi="宋体" w:cs="宋体"/>
                <w:color w:val="000000" w:themeColor="text1"/>
              </w:rPr>
              <w:t>铜陵学院公寓智能控电系统维修维保</w:t>
            </w:r>
          </w:p>
        </w:tc>
        <w:tc>
          <w:tcPr>
            <w:tcW w:w="124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招标编号</w:t>
            </w:r>
          </w:p>
        </w:tc>
        <w:tc>
          <w:tcPr>
            <w:tcW w:w="2080"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4" w:hRule="exact"/>
          <w:jc w:val="center"/>
        </w:trPr>
        <w:tc>
          <w:tcPr>
            <w:tcW w:w="1769"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谈判响应人名称</w:t>
            </w:r>
          </w:p>
        </w:tc>
        <w:tc>
          <w:tcPr>
            <w:tcW w:w="7108" w:type="dxa"/>
            <w:gridSpan w:val="4"/>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4" w:hRule="exact"/>
          <w:jc w:val="center"/>
        </w:trPr>
        <w:tc>
          <w:tcPr>
            <w:tcW w:w="1769"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采购人</w:t>
            </w:r>
          </w:p>
        </w:tc>
        <w:tc>
          <w:tcPr>
            <w:tcW w:w="7108" w:type="dxa"/>
            <w:gridSpan w:val="4"/>
            <w:tcBorders>
              <w:top w:val="single" w:color="000000" w:sz="8" w:space="0"/>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8" w:hRule="exact"/>
          <w:jc w:val="center"/>
        </w:trPr>
        <w:tc>
          <w:tcPr>
            <w:tcW w:w="1769" w:type="dxa"/>
            <w:vMerge w:val="restart"/>
            <w:tcBorders>
              <w:top w:val="single" w:color="000000" w:sz="8" w:space="0"/>
              <w:left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cs="宋体"/>
                <w:kern w:val="2"/>
                <w:sz w:val="24"/>
                <w:szCs w:val="24"/>
                <w:lang w:val="en-US" w:eastAsia="zh-CN" w:bidi="ar-SA"/>
              </w:rPr>
              <w:t>投标报价</w:t>
            </w:r>
          </w:p>
        </w:tc>
        <w:tc>
          <w:tcPr>
            <w:tcW w:w="1885" w:type="dxa"/>
            <w:tcBorders>
              <w:top w:val="single" w:color="000000" w:sz="8" w:space="0"/>
              <w:left w:val="single" w:color="000000" w:sz="8" w:space="0"/>
              <w:bottom w:val="single" w:color="000000" w:sz="8" w:space="0"/>
              <w:right w:val="single" w:color="000000" w:sz="4"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大写：</w:t>
            </w:r>
          </w:p>
        </w:tc>
        <w:tc>
          <w:tcPr>
            <w:tcW w:w="5223" w:type="dxa"/>
            <w:gridSpan w:val="3"/>
            <w:tcBorders>
              <w:top w:val="single" w:color="000000" w:sz="8" w:space="0"/>
              <w:left w:val="single" w:color="000000" w:sz="4"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6" w:hRule="exact"/>
          <w:jc w:val="center"/>
        </w:trPr>
        <w:tc>
          <w:tcPr>
            <w:tcW w:w="1769" w:type="dxa"/>
            <w:vMerge w:val="continue"/>
            <w:tcBorders>
              <w:left w:val="single" w:color="000000" w:sz="8"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p>
        </w:tc>
        <w:tc>
          <w:tcPr>
            <w:tcW w:w="1885" w:type="dxa"/>
            <w:tcBorders>
              <w:top w:val="single" w:color="000000" w:sz="8" w:space="0"/>
              <w:left w:val="single" w:color="000000" w:sz="8" w:space="0"/>
              <w:bottom w:val="single" w:color="000000" w:sz="8" w:space="0"/>
              <w:right w:val="single" w:color="000000" w:sz="4"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eastAsia="宋体" w:cs="宋体"/>
                <w:kern w:val="2"/>
                <w:sz w:val="24"/>
                <w:szCs w:val="24"/>
                <w:lang w:val="en-US" w:eastAsia="zh-CN" w:bidi="ar-SA"/>
              </w:rPr>
              <w:t>小写：</w:t>
            </w:r>
          </w:p>
        </w:tc>
        <w:tc>
          <w:tcPr>
            <w:tcW w:w="5223" w:type="dxa"/>
            <w:gridSpan w:val="3"/>
            <w:tcBorders>
              <w:top w:val="single" w:color="000000" w:sz="8" w:space="0"/>
              <w:left w:val="single" w:color="000000" w:sz="4" w:space="0"/>
              <w:bottom w:val="single" w:color="000000" w:sz="8"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09" w:hRule="atLeast"/>
          <w:jc w:val="center"/>
        </w:trPr>
        <w:tc>
          <w:tcPr>
            <w:tcW w:w="1769" w:type="dxa"/>
            <w:tcBorders>
              <w:top w:val="single" w:color="000000" w:sz="8" w:space="0"/>
              <w:left w:val="single" w:color="000000" w:sz="8" w:space="0"/>
              <w:bottom w:val="single" w:color="000000" w:sz="4" w:space="0"/>
              <w:right w:val="single" w:color="000000" w:sz="8" w:space="0"/>
            </w:tcBorders>
            <w:vAlign w:val="center"/>
          </w:tcPr>
          <w:p>
            <w:pPr>
              <w:spacing w:line="360" w:lineRule="auto"/>
              <w:jc w:val="center"/>
              <w:textAlignment w:val="baseline"/>
              <w:rPr>
                <w:rStyle w:val="62"/>
                <w:rFonts w:hint="eastAsia" w:ascii="宋体" w:hAnsi="宋体" w:eastAsia="宋体" w:cs="宋体"/>
                <w:kern w:val="2"/>
                <w:sz w:val="24"/>
                <w:szCs w:val="24"/>
                <w:lang w:val="en-US" w:eastAsia="zh-CN" w:bidi="ar-SA"/>
              </w:rPr>
            </w:pPr>
            <w:r>
              <w:rPr>
                <w:rStyle w:val="62"/>
                <w:rFonts w:hint="eastAsia" w:ascii="宋体" w:hAnsi="宋体" w:cs="宋体"/>
                <w:kern w:val="2"/>
                <w:sz w:val="24"/>
                <w:szCs w:val="24"/>
                <w:lang w:val="en-US" w:eastAsia="zh-CN" w:bidi="ar-SA"/>
              </w:rPr>
              <w:t>服务期</w:t>
            </w:r>
          </w:p>
        </w:tc>
        <w:tc>
          <w:tcPr>
            <w:tcW w:w="7108" w:type="dxa"/>
            <w:gridSpan w:val="4"/>
            <w:tcBorders>
              <w:top w:val="single" w:color="000000" w:sz="8" w:space="0"/>
              <w:left w:val="single" w:color="000000" w:sz="8" w:space="0"/>
              <w:bottom w:val="single" w:color="000000" w:sz="4" w:space="0"/>
              <w:right w:val="single" w:color="000000" w:sz="8" w:space="0"/>
            </w:tcBorders>
            <w:vAlign w:val="center"/>
          </w:tcPr>
          <w:p>
            <w:pPr>
              <w:spacing w:line="360" w:lineRule="auto"/>
              <w:ind w:firstLine="480" w:firstLineChars="200"/>
              <w:jc w:val="left"/>
              <w:textAlignment w:val="baseline"/>
              <w:rPr>
                <w:rStyle w:val="62"/>
                <w:rFonts w:hint="eastAsia" w:ascii="宋体" w:hAnsi="宋体" w:eastAsia="宋体" w:cs="宋体"/>
                <w:kern w:val="2"/>
                <w:sz w:val="24"/>
                <w:szCs w:val="24"/>
                <w:lang w:val="en-US" w:eastAsia="zh-CN" w:bidi="ar-SA"/>
              </w:rPr>
            </w:pPr>
          </w:p>
        </w:tc>
      </w:tr>
    </w:tbl>
    <w:p>
      <w:pPr>
        <w:spacing w:line="360" w:lineRule="auto"/>
        <w:ind w:right="56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供应商公章：</w:t>
      </w:r>
    </w:p>
    <w:p>
      <w:pPr>
        <w:pStyle w:val="31"/>
        <w:widowControl/>
        <w:spacing w:line="360" w:lineRule="auto"/>
        <w:ind w:firstLineChars="0"/>
        <w:jc w:val="both"/>
        <w:textAlignment w:val="baseline"/>
        <w:rPr>
          <w:rStyle w:val="62"/>
          <w:rFonts w:hint="eastAsia" w:ascii="宋体" w:hAnsi="宋体" w:eastAsia="宋体" w:cs="宋体"/>
          <w:b/>
          <w:bCs/>
          <w:color w:val="000000"/>
          <w:kern w:val="2"/>
          <w:sz w:val="24"/>
          <w:szCs w:val="24"/>
          <w:lang w:val="en-US" w:eastAsia="zh-CN" w:bidi="ar-SA"/>
        </w:rPr>
      </w:pPr>
      <w:r>
        <w:rPr>
          <w:rStyle w:val="62"/>
          <w:rFonts w:hint="eastAsia" w:ascii="宋体" w:hAnsi="宋体" w:eastAsia="宋体" w:cs="宋体"/>
          <w:b/>
          <w:bCs/>
          <w:color w:val="000000"/>
          <w:kern w:val="2"/>
          <w:sz w:val="24"/>
          <w:szCs w:val="24"/>
          <w:lang w:val="en-US" w:eastAsia="zh-CN" w:bidi="ar-SA"/>
        </w:rPr>
        <w:t>日    期：________________</w:t>
      </w:r>
    </w:p>
    <w:p>
      <w:pPr>
        <w:pStyle w:val="18"/>
        <w:widowControl/>
        <w:spacing w:line="360" w:lineRule="auto"/>
        <w:textAlignment w:val="baseline"/>
        <w:rPr>
          <w:rStyle w:val="62"/>
          <w:rFonts w:hint="eastAsia" w:ascii="宋体" w:hAnsi="宋体" w:eastAsia="宋体" w:cs="宋体"/>
          <w:color w:val="000000"/>
          <w:sz w:val="24"/>
          <w:szCs w:val="24"/>
        </w:rPr>
      </w:pPr>
    </w:p>
    <w:p>
      <w:pPr>
        <w:spacing w:line="360" w:lineRule="auto"/>
        <w:jc w:val="both"/>
        <w:textAlignment w:val="baseline"/>
        <w:rPr>
          <w:rStyle w:val="62"/>
          <w:rFonts w:hint="eastAsia" w:ascii="宋体" w:hAnsi="宋体" w:eastAsia="宋体" w:cs="宋体"/>
          <w:color w:val="000000"/>
          <w:kern w:val="2"/>
          <w:sz w:val="28"/>
          <w:szCs w:val="28"/>
          <w:lang w:val="en-US" w:eastAsia="zh-CN" w:bidi="ar-SA"/>
        </w:rPr>
      </w:pPr>
    </w:p>
    <w:p>
      <w:pPr>
        <w:spacing w:line="360" w:lineRule="auto"/>
        <w:jc w:val="center"/>
        <w:textAlignment w:val="baseline"/>
        <w:rPr>
          <w:rStyle w:val="62"/>
          <w:rFonts w:hint="eastAsia" w:ascii="宋体" w:hAnsi="宋体" w:eastAsia="宋体" w:cs="宋体"/>
          <w:b/>
          <w:kern w:val="2"/>
          <w:sz w:val="28"/>
          <w:szCs w:val="28"/>
          <w:lang w:val="en-US" w:eastAsia="zh-CN" w:bidi="ar-SA"/>
        </w:rPr>
      </w:pPr>
      <w:r>
        <w:rPr>
          <w:rStyle w:val="62"/>
          <w:rFonts w:hint="eastAsia" w:ascii="宋体" w:hAnsi="宋体" w:eastAsia="宋体" w:cs="宋体"/>
          <w:b/>
          <w:kern w:val="2"/>
          <w:sz w:val="28"/>
          <w:szCs w:val="28"/>
          <w:lang w:val="en-US" w:eastAsia="zh-CN" w:bidi="ar-SA"/>
        </w:rPr>
        <w:t>谈判最终报价表</w:t>
      </w:r>
    </w:p>
    <w:p>
      <w:pPr>
        <w:spacing w:line="360" w:lineRule="auto"/>
        <w:ind w:firstLine="240" w:firstLineChars="100"/>
        <w:jc w:val="left"/>
        <w:textAlignment w:val="baseline"/>
        <w:rPr>
          <w:rStyle w:val="62"/>
          <w:rFonts w:hint="eastAsia" w:ascii="宋体" w:hAnsi="宋体" w:eastAsia="宋体" w:cs="宋体"/>
          <w:b w:val="0"/>
          <w:bCs/>
          <w:color w:val="000000"/>
          <w:kern w:val="2"/>
          <w:sz w:val="24"/>
          <w:szCs w:val="24"/>
          <w:lang w:val="en-US" w:eastAsia="zh-CN" w:bidi="ar-SA"/>
        </w:rPr>
      </w:pPr>
      <w:r>
        <w:rPr>
          <w:rStyle w:val="62"/>
          <w:rFonts w:hint="eastAsia" w:ascii="宋体" w:hAnsi="宋体" w:eastAsia="宋体" w:cs="宋体"/>
          <w:b w:val="0"/>
          <w:bCs/>
          <w:kern w:val="2"/>
          <w:sz w:val="24"/>
          <w:szCs w:val="24"/>
          <w:lang w:val="en-US" w:eastAsia="zh-CN" w:bidi="ar-SA"/>
        </w:rPr>
        <w:t>（</w:t>
      </w:r>
      <w:r>
        <w:rPr>
          <w:rStyle w:val="62"/>
          <w:rFonts w:hint="eastAsia" w:ascii="宋体" w:hAnsi="宋体" w:cs="宋体"/>
          <w:b w:val="0"/>
          <w:bCs/>
          <w:kern w:val="2"/>
          <w:sz w:val="24"/>
          <w:szCs w:val="24"/>
          <w:lang w:val="en-US" w:eastAsia="zh-CN" w:bidi="ar-SA"/>
        </w:rPr>
        <w:t>因投标人不参加开标，故请投标人保持登记联系人电话畅通。在评标现场在学校纪委监督部门和评审专家监督下通过电话报最终报价，若登记电话在半个小时内始终无人接听，则投标文件的第一次报价视同为最终报价。</w:t>
      </w:r>
      <w:r>
        <w:rPr>
          <w:rStyle w:val="62"/>
          <w:rFonts w:hint="eastAsia" w:ascii="宋体" w:hAnsi="宋体" w:eastAsia="宋体" w:cs="宋体"/>
          <w:b w:val="0"/>
          <w:bCs/>
          <w:kern w:val="2"/>
          <w:sz w:val="24"/>
          <w:szCs w:val="24"/>
          <w:lang w:val="en-US" w:eastAsia="zh-CN" w:bidi="ar-SA"/>
        </w:rPr>
        <w:t>）</w:t>
      </w:r>
    </w:p>
    <w:sectPr>
      <w:headerReference r:id="rId3" w:type="default"/>
      <w:pgSz w:w="11906" w:h="16838"/>
      <w:pgMar w:top="1440" w:right="1797" w:bottom="1440" w:left="1797" w:header="851" w:footer="992" w:gutter="0"/>
      <w:lnNumType w:countBy="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Bookman Old Style">
    <w:altName w:val="Segoe Print"/>
    <w:panose1 w:val="02050604050505020204"/>
    <w:charset w:val="00"/>
    <w:family w:val="auto"/>
    <w:pitch w:val="default"/>
    <w:sig w:usb0="00000000"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idowControl/>
      <w:pBdr>
        <w:bottom w:val="none" w:color="auto" w:sz="0" w:space="0"/>
      </w:pBdr>
      <w:snapToGrid w:val="0"/>
      <w:jc w:val="center"/>
      <w:textAlignment w:val="baseline"/>
      <w:rPr>
        <w:rStyle w:val="62"/>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2E87C"/>
    <w:multiLevelType w:val="singleLevel"/>
    <w:tmpl w:val="9A22E87C"/>
    <w:lvl w:ilvl="0" w:tentative="0">
      <w:start w:val="2"/>
      <w:numFmt w:val="chineseCounting"/>
      <w:suff w:val="nothing"/>
      <w:lvlText w:val="（%1）"/>
      <w:lvlJc w:val="left"/>
      <w:rPr>
        <w:rFonts w:hint="eastAsia"/>
      </w:rPr>
    </w:lvl>
  </w:abstractNum>
  <w:abstractNum w:abstractNumId="1">
    <w:nsid w:val="B15F1389"/>
    <w:multiLevelType w:val="singleLevel"/>
    <w:tmpl w:val="B15F1389"/>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japaneseCounting"/>
      <w:pStyle w:val="52"/>
      <w:lvlText w:val="第%1章"/>
      <w:lvlJc w:val="left"/>
      <w:pPr>
        <w:tabs>
          <w:tab w:val="left" w:pos="1080"/>
        </w:tabs>
        <w:ind w:left="1080" w:hanging="1080"/>
      </w:pPr>
    </w:lvl>
    <w:lvl w:ilvl="1" w:tentative="0">
      <w:start w:val="1"/>
      <w:numFmt w:val="japaneseCounting"/>
      <w:lvlText w:val="%1、"/>
      <w:lvlJc w:val="left"/>
      <w:pPr>
        <w:tabs>
          <w:tab w:val="left" w:pos="1140"/>
        </w:tabs>
        <w:ind w:left="1140" w:hanging="720"/>
      </w:pPr>
    </w:lvl>
    <w:lvl w:ilvl="2" w:tentative="0">
      <w:start w:val="1"/>
      <w:numFmt w:val="lowerRoman"/>
      <w:lvlText w:val="%1."/>
      <w:lvlJc w:val="right"/>
      <w:pPr>
        <w:tabs>
          <w:tab w:val="left" w:pos="1260"/>
        </w:tabs>
        <w:ind w:left="1260" w:hanging="420"/>
      </w:pPr>
    </w:lvl>
    <w:lvl w:ilvl="3" w:tentative="0">
      <w:start w:val="1"/>
      <w:numFmt w:val="decimal"/>
      <w:lvlText w:val="%1."/>
      <w:lvlJc w:val="left"/>
      <w:pPr>
        <w:tabs>
          <w:tab w:val="left" w:pos="1680"/>
        </w:tabs>
        <w:ind w:left="1680" w:hanging="420"/>
      </w:pPr>
    </w:lvl>
    <w:lvl w:ilvl="4" w:tentative="0">
      <w:start w:val="1"/>
      <w:numFmt w:val="lowerLetter"/>
      <w:lvlText w:val="%1)"/>
      <w:lvlJc w:val="left"/>
      <w:pPr>
        <w:tabs>
          <w:tab w:val="left" w:pos="2100"/>
        </w:tabs>
        <w:ind w:left="2100" w:hanging="420"/>
      </w:pPr>
    </w:lvl>
    <w:lvl w:ilvl="5" w:tentative="0">
      <w:start w:val="1"/>
      <w:numFmt w:val="lowerRoman"/>
      <w:lvlText w:val="%1."/>
      <w:lvlJc w:val="right"/>
      <w:pPr>
        <w:tabs>
          <w:tab w:val="left" w:pos="2520"/>
        </w:tabs>
        <w:ind w:left="2520" w:hanging="420"/>
      </w:pPr>
    </w:lvl>
    <w:lvl w:ilvl="6" w:tentative="0">
      <w:start w:val="1"/>
      <w:numFmt w:val="decimal"/>
      <w:lvlText w:val="%1."/>
      <w:lvlJc w:val="left"/>
      <w:pPr>
        <w:tabs>
          <w:tab w:val="left" w:pos="2940"/>
        </w:tabs>
        <w:ind w:left="2940" w:hanging="420"/>
      </w:pPr>
    </w:lvl>
    <w:lvl w:ilvl="7" w:tentative="0">
      <w:start w:val="1"/>
      <w:numFmt w:val="lowerLetter"/>
      <w:lvlText w:val="%1)"/>
      <w:lvlJc w:val="left"/>
      <w:pPr>
        <w:tabs>
          <w:tab w:val="left" w:pos="3360"/>
        </w:tabs>
        <w:ind w:left="3360" w:hanging="420"/>
      </w:pPr>
    </w:lvl>
    <w:lvl w:ilvl="8" w:tentative="0">
      <w:start w:val="1"/>
      <w:numFmt w:val="lowerRoman"/>
      <w:lvlText w:val="%1."/>
      <w:lvlJc w:val="right"/>
      <w:pPr>
        <w:tabs>
          <w:tab w:val="left" w:pos="3780"/>
        </w:tabs>
        <w:ind w:left="3780" w:hanging="420"/>
      </w:pPr>
    </w:lvl>
  </w:abstractNum>
  <w:abstractNum w:abstractNumId="3">
    <w:nsid w:val="59127DA8"/>
    <w:multiLevelType w:val="singleLevel"/>
    <w:tmpl w:val="59127DA8"/>
    <w:lvl w:ilvl="0" w:tentative="0">
      <w:start w:val="1"/>
      <w:numFmt w:val="decimal"/>
      <w:lvlText w:val="%1."/>
      <w:lvlJc w:val="left"/>
      <w:pPr>
        <w:ind w:left="425" w:hanging="425"/>
      </w:pPr>
    </w:lvl>
  </w:abstractNum>
  <w:abstractNum w:abstractNumId="4">
    <w:nsid w:val="59129A33"/>
    <w:multiLevelType w:val="singleLevel"/>
    <w:tmpl w:val="59129A33"/>
    <w:lvl w:ilvl="0" w:tentative="0">
      <w:start w:val="1"/>
      <w:numFmt w:val="chineseCounting"/>
      <w:suff w:val="space"/>
      <w:lvlText w:val="第%1章"/>
      <w:lvlJc w:val="left"/>
    </w:lvl>
  </w:abstractNum>
  <w:abstractNum w:abstractNumId="5">
    <w:nsid w:val="59129C0A"/>
    <w:multiLevelType w:val="singleLevel"/>
    <w:tmpl w:val="59129C0A"/>
    <w:lvl w:ilvl="0" w:tentative="0">
      <w:start w:val="1"/>
      <w:numFmt w:val="chineseCounting"/>
      <w:suff w:val="nothing"/>
      <w:lvlText w:val="（%1）"/>
      <w:lvlJc w:val="left"/>
    </w:lvl>
  </w:abstractNum>
  <w:abstractNum w:abstractNumId="6">
    <w:nsid w:val="5912A325"/>
    <w:multiLevelType w:val="singleLevel"/>
    <w:tmpl w:val="5912A325"/>
    <w:lvl w:ilvl="0" w:tentative="0">
      <w:start w:val="4"/>
      <w:numFmt w:val="chineseCounting"/>
      <w:suff w:val="space"/>
      <w:lvlText w:val="第%1章"/>
      <w:lvlJc w:val="left"/>
    </w:lvl>
  </w:abstractNum>
  <w:abstractNum w:abstractNumId="7">
    <w:nsid w:val="5940FD0B"/>
    <w:multiLevelType w:val="singleLevel"/>
    <w:tmpl w:val="5940FD0B"/>
    <w:lvl w:ilvl="0" w:tentative="0">
      <w:start w:val="6"/>
      <w:numFmt w:val="chineseCounting"/>
      <w:suff w:val="nothing"/>
      <w:lvlText w:val="（%1）"/>
      <w:lvlJc w:val="left"/>
    </w:lvl>
  </w:abstractNum>
  <w:abstractNum w:abstractNumId="8">
    <w:nsid w:val="79A1A5C7"/>
    <w:multiLevelType w:val="singleLevel"/>
    <w:tmpl w:val="79A1A5C7"/>
    <w:lvl w:ilvl="0" w:tentative="0">
      <w:start w:val="1"/>
      <w:numFmt w:val="chineseCounting"/>
      <w:suff w:val="space"/>
      <w:lvlText w:val="第%1章"/>
      <w:lvlJc w:val="left"/>
    </w:lvl>
  </w:abstractNum>
  <w:num w:numId="1">
    <w:abstractNumId w:val="2"/>
  </w:num>
  <w:num w:numId="2">
    <w:abstractNumId w:val="4"/>
  </w:num>
  <w:num w:numId="3">
    <w:abstractNumId w:val="5"/>
  </w:num>
  <w:num w:numId="4">
    <w:abstractNumId w:val="6"/>
  </w:num>
  <w:num w:numId="5">
    <w:abstractNumId w:val="8"/>
  </w:num>
  <w:num w:numId="6">
    <w:abstractNumId w:val="3"/>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0"/>
  <w:displayHorizontalDrawingGridEvery w:val="1"/>
  <w:displayVerticalDrawingGridEvery w:val="1"/>
  <w:doNotUseMarginsForDrawingGridOrigin w:val="1"/>
  <w:drawingGridHorizontalOrigin w:val="1800"/>
  <w:drawingGridVerticalOrigin w:val="1440"/>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WUyYmUzN2UxZGExZmZkZGI4ZmFmYmI3N2QyOTNhYTYifQ=="/>
  </w:docVars>
  <w:rsids>
    <w:rsidRoot w:val="00000000"/>
    <w:rsid w:val="05D91AD7"/>
    <w:rsid w:val="12B91D14"/>
    <w:rsid w:val="1B6C3134"/>
    <w:rsid w:val="29A02806"/>
    <w:rsid w:val="2D1606B1"/>
    <w:rsid w:val="2F613EE4"/>
    <w:rsid w:val="2FE95CDB"/>
    <w:rsid w:val="38C654A3"/>
    <w:rsid w:val="3CC56F03"/>
    <w:rsid w:val="3D8439BB"/>
    <w:rsid w:val="3FC748AB"/>
    <w:rsid w:val="487351BB"/>
    <w:rsid w:val="4FAA4053"/>
    <w:rsid w:val="5B17180F"/>
    <w:rsid w:val="5C884D29"/>
    <w:rsid w:val="5DEA57C9"/>
    <w:rsid w:val="67B7453C"/>
    <w:rsid w:val="6C2C1B94"/>
    <w:rsid w:val="70206592"/>
    <w:rsid w:val="731F7302"/>
    <w:rsid w:val="75DE2838"/>
    <w:rsid w:val="77DE29C1"/>
    <w:rsid w:val="7A323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黑体"/>
      <w:kern w:val="2"/>
      <w:sz w:val="21"/>
      <w:szCs w:val="24"/>
      <w:lang w:val="en-US" w:eastAsia="zh-CN" w:bidi="ar-SA"/>
    </w:rPr>
  </w:style>
  <w:style w:type="paragraph" w:styleId="5">
    <w:name w:val="heading 3"/>
    <w:basedOn w:val="1"/>
    <w:next w:val="6"/>
    <w:qFormat/>
    <w:uiPriority w:val="0"/>
    <w:pPr>
      <w:keepNext/>
      <w:keepLines/>
      <w:spacing w:before="260" w:after="260" w:line="413" w:lineRule="auto"/>
      <w:outlineLvl w:val="2"/>
    </w:pPr>
    <w:rPr>
      <w:rFonts w:ascii="Times New Roman" w:hAnsi="Times New Roman"/>
      <w:b/>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customStyle="1" w:styleId="6">
    <w:name w:val="正文缩进2字符"/>
    <w:basedOn w:val="7"/>
    <w:qFormat/>
    <w:uiPriority w:val="0"/>
    <w:pPr>
      <w:spacing w:after="0"/>
      <w:ind w:firstLine="200" w:firstLineChars="200"/>
    </w:pPr>
    <w:rPr>
      <w:rFonts w:eastAsia="仿宋_GB2312"/>
      <w:szCs w:val="24"/>
    </w:rPr>
  </w:style>
  <w:style w:type="paragraph" w:styleId="7">
    <w:name w:val="Body Text First Indent"/>
    <w:basedOn w:val="8"/>
    <w:qFormat/>
    <w:uiPriority w:val="0"/>
    <w:pPr>
      <w:ind w:firstLine="420" w:firstLineChars="100"/>
    </w:pPr>
  </w:style>
  <w:style w:type="paragraph" w:styleId="8">
    <w:name w:val="Body Text"/>
    <w:basedOn w:val="1"/>
    <w:next w:val="9"/>
    <w:qFormat/>
    <w:uiPriority w:val="0"/>
    <w:pPr>
      <w:spacing w:after="120"/>
    </w:pPr>
    <w:rPr>
      <w:szCs w:val="20"/>
    </w:rPr>
  </w:style>
  <w:style w:type="paragraph" w:styleId="9">
    <w:name w:val="Date"/>
    <w:basedOn w:val="1"/>
    <w:next w:val="1"/>
    <w:qFormat/>
    <w:uiPriority w:val="0"/>
    <w:pPr>
      <w:jc w:val="both"/>
      <w:textAlignment w:val="baseline"/>
    </w:pPr>
    <w:rPr>
      <w:rFonts w:ascii="仿宋_GB2312" w:eastAsia="仿宋_GB2312"/>
      <w:kern w:val="2"/>
      <w:sz w:val="30"/>
      <w:szCs w:val="20"/>
      <w:lang w:val="en-US" w:eastAsia="zh-CN" w:bidi="zh-CN"/>
    </w:rPr>
  </w:style>
  <w:style w:type="paragraph" w:styleId="10">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11">
    <w:name w:val="header"/>
    <w:basedOn w:val="1"/>
    <w:link w:val="70"/>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14">
    <w:name w:val="Hyperlink"/>
    <w:qFormat/>
    <w:uiPriority w:val="0"/>
    <w:rPr>
      <w:color w:val="0000FF"/>
      <w:u w:val="single"/>
    </w:rPr>
  </w:style>
  <w:style w:type="paragraph" w:customStyle="1" w:styleId="15">
    <w:name w:val="Heading1"/>
    <w:basedOn w:val="1"/>
    <w:next w:val="1"/>
    <w:qFormat/>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paragraph" w:customStyle="1" w:styleId="16">
    <w:name w:val="Heading2"/>
    <w:basedOn w:val="1"/>
    <w:next w:val="17"/>
    <w:link w:val="72"/>
    <w:qFormat/>
    <w:uiPriority w:val="0"/>
    <w:pPr>
      <w:keepNext/>
      <w:keepLines/>
      <w:spacing w:before="260" w:after="260" w:line="413" w:lineRule="auto"/>
      <w:jc w:val="both"/>
      <w:textAlignment w:val="baseline"/>
    </w:pPr>
    <w:rPr>
      <w:rFonts w:ascii="Arial" w:hAnsi="Arial" w:eastAsia="黑体"/>
      <w:b/>
      <w:kern w:val="2"/>
      <w:sz w:val="32"/>
      <w:szCs w:val="20"/>
      <w:lang w:val="en-US" w:eastAsia="zh-CN" w:bidi="ar-SA"/>
    </w:rPr>
  </w:style>
  <w:style w:type="paragraph" w:customStyle="1" w:styleId="17">
    <w:name w:val="NormalIndent"/>
    <w:basedOn w:val="1"/>
    <w:next w:val="18"/>
    <w:qFormat/>
    <w:uiPriority w:val="0"/>
    <w:pPr>
      <w:spacing w:line="360" w:lineRule="auto"/>
      <w:ind w:firstLine="480" w:firstLineChars="200"/>
      <w:jc w:val="both"/>
      <w:textAlignment w:val="baseline"/>
    </w:pPr>
  </w:style>
  <w:style w:type="paragraph" w:customStyle="1" w:styleId="18">
    <w:name w:val="BodyText1I2"/>
    <w:basedOn w:val="19"/>
    <w:qFormat/>
    <w:uiPriority w:val="0"/>
    <w:pPr>
      <w:spacing w:after="120"/>
      <w:ind w:left="420" w:leftChars="200" w:firstLine="420" w:firstLineChars="200"/>
      <w:jc w:val="both"/>
      <w:textAlignment w:val="baseline"/>
    </w:pPr>
  </w:style>
  <w:style w:type="paragraph" w:customStyle="1" w:styleId="19">
    <w:name w:val="BodyTextIndent"/>
    <w:basedOn w:val="1"/>
    <w:next w:val="20"/>
    <w:qFormat/>
    <w:uiPriority w:val="0"/>
    <w:pPr>
      <w:spacing w:after="120"/>
      <w:ind w:left="420" w:leftChars="200"/>
      <w:jc w:val="both"/>
      <w:textAlignment w:val="baseline"/>
    </w:pPr>
  </w:style>
  <w:style w:type="paragraph" w:customStyle="1" w:styleId="20">
    <w:name w:val="UserStyle_20"/>
    <w:basedOn w:val="19"/>
    <w:qFormat/>
    <w:uiPriority w:val="0"/>
    <w:pPr>
      <w:spacing w:after="120" w:line="360" w:lineRule="auto"/>
      <w:ind w:left="420" w:leftChars="200" w:firstLine="482" w:firstLineChars="200"/>
      <w:jc w:val="both"/>
      <w:textAlignment w:val="baseline"/>
    </w:pPr>
    <w:rPr>
      <w:b/>
    </w:rPr>
  </w:style>
  <w:style w:type="paragraph" w:customStyle="1" w:styleId="21">
    <w:name w:val="Heading3"/>
    <w:basedOn w:val="1"/>
    <w:next w:val="1"/>
    <w:qFormat/>
    <w:uiPriority w:val="0"/>
    <w:pPr>
      <w:keepNext/>
      <w:keepLines/>
      <w:spacing w:before="260" w:after="260" w:line="416" w:lineRule="auto"/>
      <w:jc w:val="both"/>
      <w:textAlignment w:val="baseline"/>
    </w:pPr>
    <w:rPr>
      <w:rFonts w:cs="Times New Roman"/>
      <w:b/>
      <w:bCs/>
      <w:kern w:val="2"/>
      <w:sz w:val="32"/>
      <w:szCs w:val="32"/>
      <w:lang w:val="en-US" w:eastAsia="zh-CN" w:bidi="ar-SA"/>
    </w:rPr>
  </w:style>
  <w:style w:type="paragraph" w:customStyle="1" w:styleId="22">
    <w:name w:val="PlainText"/>
    <w:basedOn w:val="1"/>
    <w:link w:val="65"/>
    <w:qFormat/>
    <w:uiPriority w:val="0"/>
    <w:pPr>
      <w:jc w:val="both"/>
      <w:textAlignment w:val="baseline"/>
    </w:pPr>
    <w:rPr>
      <w:rFonts w:ascii="宋体" w:hAnsi="Courier New"/>
      <w:kern w:val="2"/>
      <w:sz w:val="21"/>
      <w:szCs w:val="21"/>
      <w:lang w:val="en-US" w:eastAsia="zh-CN" w:bidi="ar-SA"/>
    </w:rPr>
  </w:style>
  <w:style w:type="paragraph" w:customStyle="1" w:styleId="23">
    <w:name w:val="AnnotationText"/>
    <w:basedOn w:val="1"/>
    <w:link w:val="67"/>
    <w:qFormat/>
    <w:uiPriority w:val="0"/>
    <w:pPr>
      <w:jc w:val="left"/>
      <w:textAlignment w:val="baseline"/>
    </w:pPr>
  </w:style>
  <w:style w:type="paragraph" w:customStyle="1" w:styleId="24">
    <w:name w:val="UserStyle_5"/>
    <w:basedOn w:val="1"/>
    <w:link w:val="68"/>
    <w:qFormat/>
    <w:uiPriority w:val="0"/>
    <w:pPr>
      <w:spacing w:line="360" w:lineRule="auto"/>
      <w:ind w:firstLine="420"/>
      <w:jc w:val="both"/>
      <w:textAlignment w:val="baseline"/>
    </w:pPr>
    <w:rPr>
      <w:rFonts w:ascii="Calibri" w:hAnsi="Calibri"/>
      <w:kern w:val="2"/>
      <w:sz w:val="24"/>
      <w:szCs w:val="22"/>
      <w:lang w:val="en-US" w:eastAsia="zh-CN" w:bidi="ar-SA"/>
    </w:rPr>
  </w:style>
  <w:style w:type="paragraph" w:customStyle="1" w:styleId="25">
    <w:name w:val="UserStyle_7"/>
    <w:basedOn w:val="1"/>
    <w:link w:val="69"/>
    <w:qFormat/>
    <w:uiPriority w:val="0"/>
    <w:pPr>
      <w:jc w:val="center"/>
      <w:textAlignment w:val="baseline"/>
    </w:pPr>
    <w:rPr>
      <w:kern w:val="2"/>
      <w:sz w:val="30"/>
      <w:szCs w:val="30"/>
      <w:lang w:val="en-US" w:eastAsia="zh-CN" w:bidi="ar-SA"/>
    </w:rPr>
  </w:style>
  <w:style w:type="paragraph" w:customStyle="1" w:styleId="26">
    <w:name w:val="UserStyle_10"/>
    <w:basedOn w:val="27"/>
    <w:link w:val="71"/>
    <w:qFormat/>
    <w:uiPriority w:val="0"/>
    <w:pPr>
      <w:ind w:firstLine="645"/>
      <w:jc w:val="both"/>
      <w:textAlignment w:val="baseline"/>
    </w:pPr>
    <w:rPr>
      <w:rFonts w:ascii="楷体_GB2312" w:hAnsi="Calibri" w:eastAsia="楷体_GB2312"/>
      <w:kern w:val="2"/>
      <w:sz w:val="32"/>
      <w:szCs w:val="22"/>
      <w:lang w:val="en-US" w:eastAsia="zh-CN" w:bidi="ar-SA"/>
    </w:rPr>
  </w:style>
  <w:style w:type="paragraph" w:customStyle="1" w:styleId="27">
    <w:name w:val="UserStyle_23"/>
    <w:qFormat/>
    <w:uiPriority w:val="0"/>
    <w:pPr>
      <w:jc w:val="both"/>
      <w:textAlignment w:val="baseline"/>
    </w:pPr>
    <w:rPr>
      <w:rFonts w:ascii="Times New Roman" w:hAnsi="Times New Roman" w:eastAsia="宋体" w:cs="黑体"/>
      <w:kern w:val="2"/>
      <w:sz w:val="21"/>
      <w:szCs w:val="22"/>
      <w:lang w:val="en-US" w:eastAsia="zh-CN" w:bidi="ar-SA"/>
    </w:rPr>
  </w:style>
  <w:style w:type="paragraph" w:customStyle="1" w:styleId="28">
    <w:name w:val="UserStyle_13"/>
    <w:basedOn w:val="1"/>
    <w:link w:val="73"/>
    <w:qFormat/>
    <w:uiPriority w:val="0"/>
    <w:pPr>
      <w:spacing w:line="360" w:lineRule="auto"/>
      <w:ind w:firstLine="200" w:firstLineChars="200"/>
      <w:contextualSpacing/>
      <w:jc w:val="both"/>
      <w:textAlignment w:val="baseline"/>
    </w:pPr>
  </w:style>
  <w:style w:type="paragraph" w:customStyle="1" w:styleId="29">
    <w:name w:val="UserStyle_14"/>
    <w:qFormat/>
    <w:uiPriority w:val="0"/>
    <w:pPr>
      <w:textAlignment w:val="baseline"/>
    </w:pPr>
    <w:rPr>
      <w:rFonts w:ascii="Arial Unicode MS" w:hAnsi="Arial Unicode MS" w:eastAsia="宋体" w:cs="黑体"/>
      <w:color w:val="000000"/>
      <w:sz w:val="24"/>
      <w:szCs w:val="24"/>
      <w:lang w:val="en-US" w:eastAsia="zh-CN" w:bidi="ar-SA"/>
    </w:rPr>
  </w:style>
  <w:style w:type="paragraph" w:customStyle="1" w:styleId="30">
    <w:name w:val="UserStyle_15"/>
    <w:basedOn w:val="1"/>
    <w:qFormat/>
    <w:uiPriority w:val="0"/>
    <w:pPr>
      <w:jc w:val="both"/>
      <w:textAlignment w:val="baseline"/>
    </w:pPr>
  </w:style>
  <w:style w:type="paragraph" w:customStyle="1" w:styleId="31">
    <w:name w:val="UserStyle_16"/>
    <w:basedOn w:val="1"/>
    <w:qFormat/>
    <w:uiPriority w:val="0"/>
    <w:pPr>
      <w:ind w:firstLine="562" w:firstLineChars="200"/>
      <w:jc w:val="both"/>
      <w:textAlignment w:val="baseline"/>
    </w:pPr>
    <w:rPr>
      <w:rFonts w:cs="华文仿宋"/>
      <w:b/>
      <w:bCs/>
      <w:kern w:val="2"/>
      <w:sz w:val="28"/>
      <w:szCs w:val="28"/>
      <w:lang w:val="en-US" w:eastAsia="zh-CN" w:bidi="ar-SA"/>
    </w:rPr>
  </w:style>
  <w:style w:type="paragraph" w:customStyle="1" w:styleId="32">
    <w:name w:val="UserStyle_17"/>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33">
    <w:name w:val="BodyText"/>
    <w:basedOn w:val="1"/>
    <w:qFormat/>
    <w:uiPriority w:val="0"/>
    <w:pPr>
      <w:jc w:val="left"/>
      <w:textAlignment w:val="baseline"/>
    </w:pPr>
    <w:rPr>
      <w:rFonts w:ascii="Arial" w:hAnsi="Arial" w:eastAsia="黑体"/>
      <w:b/>
      <w:kern w:val="2"/>
      <w:sz w:val="32"/>
      <w:szCs w:val="20"/>
      <w:lang w:val="en-US" w:eastAsia="zh-CN" w:bidi="ar-SA"/>
    </w:rPr>
  </w:style>
  <w:style w:type="paragraph" w:customStyle="1" w:styleId="34">
    <w:name w:val="UserStyle_18"/>
    <w:basedOn w:val="1"/>
    <w:next w:val="35"/>
    <w:qFormat/>
    <w:uiPriority w:val="0"/>
    <w:pPr>
      <w:ind w:firstLine="630"/>
      <w:jc w:val="both"/>
      <w:textAlignment w:val="baseline"/>
    </w:pPr>
    <w:rPr>
      <w:rFonts w:ascii="Times New Roman" w:hAnsi="Times New Roman" w:eastAsia="宋体"/>
      <w:kern w:val="2"/>
      <w:sz w:val="21"/>
      <w:szCs w:val="24"/>
      <w:lang w:val="en-US" w:eastAsia="zh-CN" w:bidi="ar-SA"/>
    </w:rPr>
  </w:style>
  <w:style w:type="paragraph" w:customStyle="1" w:styleId="35">
    <w:name w:val="UserStyle_19"/>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6">
    <w:name w:val="UserStyle_21"/>
    <w:basedOn w:val="1"/>
    <w:qFormat/>
    <w:uiPriority w:val="0"/>
    <w:pPr>
      <w:ind w:firstLine="420" w:firstLineChars="200"/>
      <w:jc w:val="both"/>
      <w:textAlignment w:val="baseline"/>
    </w:pPr>
    <w:rPr>
      <w:rFonts w:ascii="Calibri" w:hAnsi="Calibri"/>
      <w:kern w:val="2"/>
      <w:sz w:val="21"/>
      <w:szCs w:val="21"/>
      <w:lang w:val="en-US" w:eastAsia="zh-CN" w:bidi="ar-SA"/>
    </w:rPr>
  </w:style>
  <w:style w:type="paragraph" w:customStyle="1" w:styleId="37">
    <w:name w:val="UserStyle_22"/>
    <w:basedOn w:val="1"/>
    <w:qFormat/>
    <w:uiPriority w:val="0"/>
    <w:pPr>
      <w:jc w:val="both"/>
      <w:textAlignment w:val="baseline"/>
    </w:pPr>
    <w:rPr>
      <w:rFonts w:ascii="宋体" w:hAnsi="Courier New"/>
      <w:kern w:val="2"/>
      <w:sz w:val="21"/>
      <w:szCs w:val="21"/>
      <w:lang w:val="en-US" w:eastAsia="zh-CN" w:bidi="ar-SA"/>
    </w:rPr>
  </w:style>
  <w:style w:type="paragraph" w:customStyle="1" w:styleId="38">
    <w:name w:val="TOC2"/>
    <w:basedOn w:val="1"/>
    <w:next w:val="1"/>
    <w:qFormat/>
    <w:uiPriority w:val="0"/>
    <w:pPr>
      <w:ind w:left="420" w:leftChars="200"/>
      <w:jc w:val="both"/>
      <w:textAlignment w:val="baseline"/>
    </w:pPr>
  </w:style>
  <w:style w:type="paragraph" w:customStyle="1" w:styleId="39">
    <w:name w:val="UserStyle_24"/>
    <w:qFormat/>
    <w:uiPriority w:val="0"/>
    <w:pPr>
      <w:jc w:val="both"/>
      <w:textAlignment w:val="baseline"/>
    </w:pPr>
    <w:rPr>
      <w:rFonts w:ascii="Times New Roman" w:hAnsi="Times New Roman" w:eastAsia="宋体" w:cs="黑体"/>
      <w:kern w:val="2"/>
      <w:sz w:val="21"/>
      <w:szCs w:val="22"/>
      <w:lang w:val="en-US" w:eastAsia="zh-CN" w:bidi="ar-SA"/>
    </w:rPr>
  </w:style>
  <w:style w:type="paragraph" w:customStyle="1" w:styleId="40">
    <w:name w:val="UserStyle_25"/>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41">
    <w:name w:val="UserStyle_26"/>
    <w:basedOn w:val="1"/>
    <w:qFormat/>
    <w:uiPriority w:val="0"/>
    <w:pPr>
      <w:spacing w:before="106"/>
      <w:jc w:val="center"/>
      <w:textAlignment w:val="baseline"/>
    </w:pPr>
    <w:rPr>
      <w:rFonts w:ascii="宋体" w:hAnsi="宋体" w:eastAsia="宋体"/>
      <w:kern w:val="2"/>
      <w:sz w:val="21"/>
      <w:szCs w:val="24"/>
      <w:lang w:val="zh-CN" w:eastAsia="zh-CN" w:bidi="zh-CN"/>
    </w:rPr>
  </w:style>
  <w:style w:type="paragraph" w:customStyle="1" w:styleId="42">
    <w:name w:val="UserStyle_27"/>
    <w:basedOn w:val="1"/>
    <w:qFormat/>
    <w:uiPriority w:val="0"/>
    <w:pPr>
      <w:widowControl/>
      <w:jc w:val="both"/>
      <w:textAlignment w:val="baseline"/>
    </w:pPr>
    <w:rPr>
      <w:rFonts w:ascii="宋体" w:hAnsi="宋体"/>
      <w:kern w:val="0"/>
      <w:sz w:val="21"/>
      <w:szCs w:val="20"/>
      <w:lang w:val="en-US" w:eastAsia="zh-CN" w:bidi="ar-SA"/>
    </w:rPr>
  </w:style>
  <w:style w:type="paragraph" w:customStyle="1" w:styleId="43">
    <w:name w:val="AnnotationSubject"/>
    <w:basedOn w:val="23"/>
    <w:next w:val="23"/>
    <w:qFormat/>
    <w:uiPriority w:val="0"/>
    <w:pPr>
      <w:jc w:val="left"/>
      <w:textAlignment w:val="baseline"/>
    </w:pPr>
    <w:rPr>
      <w:rFonts w:cs="Times New Roman"/>
      <w:b/>
      <w:bCs/>
    </w:rPr>
  </w:style>
  <w:style w:type="paragraph" w:customStyle="1" w:styleId="44">
    <w:name w:val="TOC1"/>
    <w:basedOn w:val="1"/>
    <w:next w:val="1"/>
    <w:qFormat/>
    <w:uiPriority w:val="0"/>
    <w:pPr>
      <w:jc w:val="both"/>
      <w:textAlignment w:val="baseline"/>
    </w:pPr>
  </w:style>
  <w:style w:type="paragraph" w:customStyle="1" w:styleId="45">
    <w:name w:val="UserStyle_28"/>
    <w:basedOn w:val="34"/>
    <w:qFormat/>
    <w:uiPriority w:val="0"/>
    <w:pPr>
      <w:ind w:firstLine="420" w:firstLineChars="200"/>
      <w:jc w:val="both"/>
      <w:textAlignment w:val="baseline"/>
    </w:pPr>
    <w:rPr>
      <w:rFonts w:ascii="Times New Roman" w:hAnsi="Times New Roman" w:eastAsia="宋体"/>
      <w:kern w:val="2"/>
      <w:sz w:val="21"/>
      <w:szCs w:val="24"/>
      <w:lang w:val="en-US" w:eastAsia="zh-CN" w:bidi="ar-SA"/>
    </w:rPr>
  </w:style>
  <w:style w:type="paragraph" w:customStyle="1" w:styleId="46">
    <w:name w:val="UserStyle_29"/>
    <w:basedOn w:val="1"/>
    <w:qFormat/>
    <w:uiPriority w:val="0"/>
    <w:pPr>
      <w:jc w:val="both"/>
      <w:textAlignment w:val="baseline"/>
    </w:pPr>
    <w:rPr>
      <w:kern w:val="2"/>
      <w:sz w:val="21"/>
      <w:szCs w:val="20"/>
      <w:lang w:val="en-US" w:eastAsia="zh-CN" w:bidi="ar-SA"/>
    </w:rPr>
  </w:style>
  <w:style w:type="paragraph" w:customStyle="1" w:styleId="47">
    <w:name w:val="UserStyle_30"/>
    <w:qFormat/>
    <w:uiPriority w:val="0"/>
    <w:pPr>
      <w:textAlignment w:val="baseline"/>
    </w:pPr>
    <w:rPr>
      <w:rFonts w:ascii="宋体" w:hAnsi="宋体" w:eastAsia="宋体" w:cs="黑体"/>
      <w:sz w:val="24"/>
      <w:szCs w:val="24"/>
      <w:lang w:val="en-US" w:eastAsia="zh-CN" w:bidi="ar-SA"/>
    </w:rPr>
  </w:style>
  <w:style w:type="paragraph" w:customStyle="1" w:styleId="48">
    <w:name w:val="Acetate"/>
    <w:basedOn w:val="1"/>
    <w:qFormat/>
    <w:uiPriority w:val="0"/>
    <w:pPr>
      <w:jc w:val="both"/>
      <w:textAlignment w:val="baseline"/>
    </w:pPr>
    <w:rPr>
      <w:kern w:val="2"/>
      <w:sz w:val="18"/>
      <w:szCs w:val="18"/>
      <w:lang w:val="en-US" w:eastAsia="zh-CN" w:bidi="ar-SA"/>
    </w:rPr>
  </w:style>
  <w:style w:type="paragraph" w:customStyle="1" w:styleId="49">
    <w:name w:val="BodyTextIndent2"/>
    <w:basedOn w:val="1"/>
    <w:qFormat/>
    <w:uiPriority w:val="0"/>
    <w:pPr>
      <w:spacing w:after="120" w:line="480" w:lineRule="auto"/>
      <w:ind w:left="420" w:leftChars="200"/>
      <w:jc w:val="both"/>
      <w:textAlignment w:val="baseline"/>
    </w:pPr>
  </w:style>
  <w:style w:type="paragraph" w:customStyle="1" w:styleId="50">
    <w:name w:val="UserStyle_31"/>
    <w:basedOn w:val="1"/>
    <w:qFormat/>
    <w:uiPriority w:val="0"/>
    <w:pPr>
      <w:jc w:val="both"/>
      <w:textAlignment w:val="baseline"/>
    </w:pPr>
    <w:rPr>
      <w:kern w:val="2"/>
      <w:sz w:val="21"/>
      <w:szCs w:val="20"/>
      <w:lang w:val="en-US" w:eastAsia="zh-CN" w:bidi="ar-SA"/>
    </w:rPr>
  </w:style>
  <w:style w:type="paragraph" w:customStyle="1" w:styleId="51">
    <w:name w:val="UserStyle_32"/>
    <w:basedOn w:val="1"/>
    <w:qFormat/>
    <w:uiPriority w:val="0"/>
    <w:pPr>
      <w:spacing w:line="360" w:lineRule="auto"/>
      <w:ind w:firstLine="420"/>
      <w:jc w:val="both"/>
      <w:textAlignment w:val="baseline"/>
    </w:pPr>
    <w:rPr>
      <w:rFonts w:ascii="Bookman Old Style" w:hAnsi="Bookman Old Style" w:eastAsia="仿宋_GB2312"/>
      <w:kern w:val="2"/>
      <w:sz w:val="28"/>
      <w:szCs w:val="28"/>
      <w:lang w:val="en-US" w:eastAsia="zh-CN" w:bidi="ar-SA"/>
    </w:rPr>
  </w:style>
  <w:style w:type="paragraph" w:customStyle="1" w:styleId="52">
    <w:name w:val="UserStyle_33"/>
    <w:basedOn w:val="1"/>
    <w:qFormat/>
    <w:uiPriority w:val="0"/>
    <w:pPr>
      <w:numPr>
        <w:ilvl w:val="0"/>
        <w:numId w:val="1"/>
      </w:numPr>
      <w:ind w:left="0" w:firstLine="0"/>
      <w:jc w:val="center"/>
      <w:textAlignment w:val="baseline"/>
    </w:pPr>
    <w:rPr>
      <w:rFonts w:ascii="宋体" w:hAnsi="宋体"/>
      <w:b/>
      <w:kern w:val="2"/>
      <w:sz w:val="30"/>
      <w:szCs w:val="30"/>
      <w:lang w:val="en-US" w:eastAsia="zh-CN" w:bidi="ar-SA"/>
    </w:rPr>
  </w:style>
  <w:style w:type="paragraph" w:customStyle="1" w:styleId="53">
    <w:name w:val="UserStyle_34"/>
    <w:basedOn w:val="1"/>
    <w:qFormat/>
    <w:uiPriority w:val="0"/>
    <w:pPr>
      <w:jc w:val="both"/>
      <w:textAlignment w:val="baseline"/>
    </w:pPr>
    <w:rPr>
      <w:rFonts w:ascii="宋体" w:hAnsi="宋体"/>
      <w:b/>
      <w:kern w:val="2"/>
      <w:sz w:val="28"/>
      <w:szCs w:val="28"/>
      <w:lang w:val="en-US" w:eastAsia="zh-CN" w:bidi="ar-SA"/>
    </w:rPr>
  </w:style>
  <w:style w:type="paragraph" w:customStyle="1" w:styleId="54">
    <w:name w:val="UserStyle_35"/>
    <w:basedOn w:val="1"/>
    <w:qFormat/>
    <w:uiPriority w:val="0"/>
    <w:pPr>
      <w:keepLines/>
      <w:widowControl/>
      <w:tabs>
        <w:tab w:val="left" w:pos="960"/>
      </w:tabs>
      <w:snapToGrid w:val="0"/>
      <w:spacing w:before="218" w:after="218" w:line="360" w:lineRule="exact"/>
      <w:jc w:val="both"/>
      <w:textAlignment w:val="baseline"/>
    </w:pPr>
    <w:rPr>
      <w:spacing w:val="16"/>
      <w:kern w:val="0"/>
      <w:sz w:val="24"/>
      <w:szCs w:val="20"/>
      <w:lang w:eastAsia="zh-CN" w:bidi="ar-SA"/>
    </w:rPr>
  </w:style>
  <w:style w:type="paragraph" w:customStyle="1" w:styleId="5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56">
    <w:name w:val="UserStyle_36"/>
    <w:basedOn w:val="1"/>
    <w:qFormat/>
    <w:uiPriority w:val="0"/>
    <w:pPr>
      <w:jc w:val="both"/>
      <w:textAlignment w:val="baseline"/>
    </w:pPr>
  </w:style>
  <w:style w:type="paragraph" w:customStyle="1" w:styleId="57">
    <w:name w:val="UserStyle_37"/>
    <w:basedOn w:val="1"/>
    <w:next w:val="1"/>
    <w:qFormat/>
    <w:uiPriority w:val="0"/>
    <w:pPr>
      <w:widowControl/>
      <w:spacing w:line="289" w:lineRule="atLeast"/>
      <w:jc w:val="center"/>
      <w:textAlignment w:val="baseline"/>
    </w:pPr>
    <w:rPr>
      <w:color w:val="000000"/>
      <w:kern w:val="0"/>
      <w:sz w:val="28"/>
      <w:szCs w:val="20"/>
      <w:lang w:val="en-US" w:eastAsia="zh-CN" w:bidi="ar-SA"/>
    </w:rPr>
  </w:style>
  <w:style w:type="paragraph" w:customStyle="1" w:styleId="58">
    <w:name w:val="UserStyle_38"/>
    <w:basedOn w:val="1"/>
    <w:qFormat/>
    <w:uiPriority w:val="0"/>
    <w:pPr>
      <w:jc w:val="both"/>
      <w:textAlignment w:val="baseline"/>
    </w:pPr>
  </w:style>
  <w:style w:type="paragraph" w:customStyle="1" w:styleId="59">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61">
    <w:name w:val="UserStyle_0"/>
    <w:basedOn w:val="62"/>
    <w:qFormat/>
    <w:uiPriority w:val="0"/>
  </w:style>
  <w:style w:type="character" w:customStyle="1" w:styleId="62">
    <w:name w:val="NormalCharacter"/>
    <w:qFormat/>
    <w:uiPriority w:val="0"/>
  </w:style>
  <w:style w:type="character" w:customStyle="1" w:styleId="63">
    <w:name w:val="PageNumber"/>
    <w:basedOn w:val="62"/>
    <w:qFormat/>
    <w:uiPriority w:val="0"/>
  </w:style>
  <w:style w:type="character" w:customStyle="1" w:styleId="64">
    <w:name w:val="UserStyle_1"/>
    <w:qFormat/>
    <w:uiPriority w:val="0"/>
    <w:rPr>
      <w:rFonts w:ascii="Arial" w:hAnsi="Arial" w:eastAsia="黑体" w:cs="Times New Roman"/>
      <w:b/>
      <w:bCs/>
      <w:kern w:val="2"/>
      <w:sz w:val="32"/>
      <w:szCs w:val="32"/>
      <w:lang w:val="en-US" w:eastAsia="zh-CN" w:bidi="ar-SA"/>
    </w:rPr>
  </w:style>
  <w:style w:type="character" w:customStyle="1" w:styleId="65">
    <w:name w:val="UserStyle_2"/>
    <w:link w:val="22"/>
    <w:qFormat/>
    <w:uiPriority w:val="0"/>
    <w:rPr>
      <w:rFonts w:ascii="宋体" w:hAnsi="Courier New" w:eastAsia="宋体"/>
      <w:kern w:val="2"/>
      <w:sz w:val="21"/>
      <w:szCs w:val="21"/>
      <w:lang w:val="en-US" w:eastAsia="zh-CN" w:bidi="ar-SA"/>
    </w:rPr>
  </w:style>
  <w:style w:type="character" w:customStyle="1" w:styleId="66">
    <w:name w:val="AnnotationReference"/>
    <w:qFormat/>
    <w:uiPriority w:val="0"/>
    <w:rPr>
      <w:sz w:val="21"/>
      <w:szCs w:val="21"/>
    </w:rPr>
  </w:style>
  <w:style w:type="character" w:customStyle="1" w:styleId="67">
    <w:name w:val="UserStyle_3"/>
    <w:basedOn w:val="62"/>
    <w:link w:val="23"/>
    <w:semiHidden/>
    <w:qFormat/>
    <w:locked/>
    <w:uiPriority w:val="0"/>
    <w:rPr>
      <w:rFonts w:eastAsia="宋体"/>
      <w:kern w:val="2"/>
      <w:sz w:val="21"/>
      <w:szCs w:val="24"/>
      <w:lang w:val="en-US" w:eastAsia="zh-CN" w:bidi="ar-SA"/>
    </w:rPr>
  </w:style>
  <w:style w:type="character" w:customStyle="1" w:styleId="68">
    <w:name w:val="UserStyle_4"/>
    <w:link w:val="24"/>
    <w:qFormat/>
    <w:uiPriority w:val="0"/>
    <w:rPr>
      <w:rFonts w:ascii="Calibri" w:hAnsi="Calibri" w:eastAsia="宋体"/>
      <w:kern w:val="2"/>
      <w:sz w:val="24"/>
      <w:szCs w:val="22"/>
      <w:lang w:val="en-US" w:eastAsia="zh-CN" w:bidi="ar-SA"/>
    </w:rPr>
  </w:style>
  <w:style w:type="character" w:customStyle="1" w:styleId="69">
    <w:name w:val="UserStyle_6"/>
    <w:link w:val="25"/>
    <w:qFormat/>
    <w:uiPriority w:val="0"/>
    <w:rPr>
      <w:rFonts w:eastAsia="宋体"/>
      <w:kern w:val="2"/>
      <w:sz w:val="30"/>
      <w:szCs w:val="30"/>
      <w:lang w:val="en-US" w:eastAsia="zh-CN" w:bidi="ar-SA"/>
    </w:rPr>
  </w:style>
  <w:style w:type="character" w:customStyle="1" w:styleId="70">
    <w:name w:val="UserStyle_8"/>
    <w:link w:val="11"/>
    <w:qFormat/>
    <w:uiPriority w:val="0"/>
    <w:rPr>
      <w:rFonts w:eastAsia="宋体"/>
      <w:kern w:val="2"/>
      <w:sz w:val="18"/>
      <w:szCs w:val="18"/>
      <w:lang w:val="en-US" w:eastAsia="zh-CN" w:bidi="ar-SA"/>
    </w:rPr>
  </w:style>
  <w:style w:type="character" w:customStyle="1" w:styleId="71">
    <w:name w:val="UserStyle_9"/>
    <w:link w:val="26"/>
    <w:qFormat/>
    <w:uiPriority w:val="0"/>
    <w:rPr>
      <w:rFonts w:ascii="楷体_GB2312" w:hAnsi="Calibri" w:eastAsia="楷体_GB2312"/>
      <w:kern w:val="2"/>
      <w:sz w:val="32"/>
      <w:szCs w:val="22"/>
      <w:lang w:val="en-US" w:eastAsia="zh-CN" w:bidi="ar-SA"/>
    </w:rPr>
  </w:style>
  <w:style w:type="character" w:customStyle="1" w:styleId="72">
    <w:name w:val="UserStyle_11"/>
    <w:link w:val="16"/>
    <w:qFormat/>
    <w:uiPriority w:val="0"/>
    <w:rPr>
      <w:rFonts w:ascii="Arial" w:hAnsi="Arial" w:eastAsia="黑体"/>
      <w:b/>
      <w:kern w:val="2"/>
      <w:sz w:val="32"/>
    </w:rPr>
  </w:style>
  <w:style w:type="character" w:customStyle="1" w:styleId="73">
    <w:name w:val="UserStyle_12"/>
    <w:link w:val="28"/>
    <w:qFormat/>
    <w:uiPriority w:val="0"/>
    <w:rPr>
      <w:kern w:val="2"/>
      <w:sz w:val="21"/>
      <w:szCs w:val="24"/>
      <w:lang w:bidi="ar-SA"/>
    </w:rPr>
  </w:style>
  <w:style w:type="table" w:customStyle="1" w:styleId="74">
    <w:name w:val="TableNormal"/>
    <w:semiHidden/>
    <w:qFormat/>
    <w:uiPriority w:val="0"/>
  </w:style>
  <w:style w:type="paragraph" w:customStyle="1" w:styleId="75">
    <w:name w:val="正文_0_0"/>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32</Pages>
  <Words>16019</Words>
  <Characters>16890</Characters>
  <Lines>0</Lines>
  <Paragraphs>0</Paragraphs>
  <TotalTime>22</TotalTime>
  <ScaleCrop>false</ScaleCrop>
  <LinksUpToDate>false</LinksUpToDate>
  <CharactersWithSpaces>17370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2020-11-27T06:30:00Z</dcterms:created>
  <dc:creator>Administrator</dc:creator>
  <cp:lastModifiedBy>Administrator</cp:lastModifiedBy>
  <cp:lastPrinted>2021-04-01T09:27:00Z</cp:lastPrinted>
  <dcterms:modified xsi:type="dcterms:W3CDTF">2023-04-10T07:58:13Z</dcterms:modified>
  <dc:title>项目编号：铜华诚采购【2021】第054号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BD3C6317DCC64CE693DDBBF242541C59</vt:lpwstr>
  </property>
</Properties>
</file>