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sz w:val="52"/>
          <w:szCs w:val="52"/>
        </w:rPr>
      </w:pPr>
    </w:p>
    <w:p>
      <w:pPr>
        <w:pStyle w:val="34"/>
        <w:spacing w:line="600" w:lineRule="auto"/>
        <w:ind w:left="0" w:leftChars="0" w:firstLine="0" w:firstLineChars="0"/>
        <w:jc w:val="center"/>
        <w:rPr>
          <w:rFonts w:hint="eastAsia" w:asciiTheme="minorEastAsia" w:hAnsiTheme="minorEastAsia" w:eastAsiaTheme="minorEastAsia" w:cstheme="minorEastAsia"/>
          <w:b/>
          <w:bCs/>
          <w:kern w:val="0"/>
          <w:sz w:val="44"/>
          <w:szCs w:val="44"/>
        </w:rPr>
      </w:pPr>
      <w:r>
        <w:rPr>
          <w:rFonts w:hint="eastAsia" w:asciiTheme="minorEastAsia" w:hAnsiTheme="minorEastAsia" w:eastAsiaTheme="minorEastAsia" w:cstheme="minorEastAsia"/>
          <w:b/>
          <w:sz w:val="44"/>
          <w:szCs w:val="44"/>
          <w:lang w:eastAsia="zh-CN"/>
        </w:rPr>
        <w:t>铜陵学院</w:t>
      </w:r>
      <w:r>
        <w:rPr>
          <w:rFonts w:hint="eastAsia" w:asciiTheme="minorEastAsia" w:hAnsiTheme="minorEastAsia" w:eastAsiaTheme="minorEastAsia" w:cstheme="minorEastAsia"/>
          <w:b/>
          <w:bCs/>
          <w:kern w:val="0"/>
          <w:sz w:val="44"/>
          <w:szCs w:val="44"/>
        </w:rPr>
        <w:t>舆情监测服务和网络巡查服务</w:t>
      </w:r>
    </w:p>
    <w:p>
      <w:pPr>
        <w:pStyle w:val="34"/>
        <w:spacing w:line="600" w:lineRule="auto"/>
        <w:ind w:left="0" w:leftChars="0" w:firstLine="0" w:firstLineChars="0"/>
        <w:jc w:val="center"/>
        <w:rPr>
          <w:rFonts w:hint="eastAsia" w:asciiTheme="minorEastAsia" w:hAnsiTheme="minorEastAsia" w:eastAsiaTheme="minorEastAsia" w:cstheme="minorEastAsia"/>
          <w:b/>
          <w:bCs/>
          <w:kern w:val="0"/>
          <w:sz w:val="44"/>
          <w:szCs w:val="44"/>
        </w:rPr>
      </w:pP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项目采购</w:t>
      </w: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市场</w:t>
      </w: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比</w:t>
      </w: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选</w:t>
      </w:r>
    </w:p>
    <w:p>
      <w:pPr>
        <w:pStyle w:val="34"/>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文</w:t>
      </w:r>
    </w:p>
    <w:p>
      <w:pPr>
        <w:pStyle w:val="34"/>
        <w:spacing w:line="600" w:lineRule="auto"/>
        <w:ind w:left="0" w:leftChars="0" w:firstLine="0" w:firstLineChars="0"/>
        <w:jc w:val="center"/>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b/>
          <w:sz w:val="44"/>
          <w:szCs w:val="44"/>
          <w:lang w:eastAsia="zh-CN"/>
        </w:rPr>
        <w:t>件</w:t>
      </w:r>
    </w:p>
    <w:p>
      <w:pPr>
        <w:pStyle w:val="34"/>
        <w:spacing w:line="240" w:lineRule="auto"/>
        <w:ind w:left="0" w:firstLine="640"/>
        <w:rPr>
          <w:rFonts w:hint="eastAsia" w:asciiTheme="minorEastAsia" w:hAnsiTheme="minorEastAsia" w:eastAsiaTheme="minorEastAsia" w:cstheme="minorEastAsia"/>
          <w:sz w:val="32"/>
          <w:szCs w:val="32"/>
        </w:rPr>
      </w:pPr>
    </w:p>
    <w:p>
      <w:pPr>
        <w:jc w:val="center"/>
        <w:rPr>
          <w:rFonts w:hint="eastAsia" w:asciiTheme="minorEastAsia" w:hAnsiTheme="minorEastAsia" w:eastAsiaTheme="minorEastAsia" w:cstheme="minorEastAsia"/>
          <w:b/>
          <w:sz w:val="30"/>
          <w:szCs w:val="30"/>
        </w:rPr>
      </w:pP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二〇二</w:t>
      </w:r>
      <w:r>
        <w:rPr>
          <w:rFonts w:hint="eastAsia" w:asciiTheme="minorEastAsia" w:hAnsiTheme="minorEastAsia" w:eastAsiaTheme="minorEastAsia" w:cstheme="minorEastAsia"/>
          <w:b/>
          <w:sz w:val="30"/>
          <w:szCs w:val="30"/>
          <w:lang w:eastAsia="zh-CN"/>
        </w:rPr>
        <w:t>四</w:t>
      </w:r>
      <w:r>
        <w:rPr>
          <w:rFonts w:hint="eastAsia" w:asciiTheme="minorEastAsia" w:hAnsiTheme="minorEastAsia" w:eastAsiaTheme="minorEastAsia" w:cstheme="minorEastAsia"/>
          <w:b/>
          <w:sz w:val="30"/>
          <w:szCs w:val="30"/>
        </w:rPr>
        <w:t>年</w:t>
      </w:r>
      <w:r>
        <w:rPr>
          <w:rFonts w:hint="eastAsia" w:asciiTheme="minorEastAsia" w:hAnsiTheme="minorEastAsia" w:eastAsiaTheme="minorEastAsia" w:cstheme="minorEastAsia"/>
          <w:b/>
          <w:sz w:val="30"/>
          <w:szCs w:val="30"/>
          <w:lang w:eastAsia="zh-CN"/>
        </w:rPr>
        <w:t>元</w:t>
      </w:r>
      <w:r>
        <w:rPr>
          <w:rFonts w:hint="eastAsia" w:asciiTheme="minorEastAsia" w:hAnsiTheme="minorEastAsia" w:eastAsiaTheme="minorEastAsia" w:cstheme="minorEastAsia"/>
          <w:b/>
          <w:sz w:val="30"/>
          <w:szCs w:val="30"/>
        </w:rPr>
        <w:t>月</w:t>
      </w:r>
    </w:p>
    <w:p>
      <w:pPr>
        <w:jc w:val="center"/>
        <w:rPr>
          <w:rFonts w:hint="eastAsia" w:asciiTheme="minorEastAsia" w:hAnsiTheme="minorEastAsia" w:eastAsiaTheme="minorEastAsia" w:cstheme="minorEastAsia"/>
          <w:b/>
          <w:sz w:val="30"/>
          <w:szCs w:val="30"/>
        </w:rPr>
        <w:sectPr>
          <w:pgSz w:w="11906" w:h="16838"/>
          <w:pgMar w:top="1440" w:right="1800" w:bottom="1440" w:left="1800" w:header="851" w:footer="992" w:gutter="0"/>
          <w:cols w:space="720" w:num="1"/>
          <w:docGrid w:type="lines" w:linePitch="312" w:charSpace="0"/>
        </w:sectPr>
      </w:pPr>
    </w:p>
    <w:p>
      <w:pPr>
        <w:shd w:val="clear" w:color="000000" w:fill="FFFFFF"/>
        <w:spacing w:line="360" w:lineRule="auto"/>
        <w:ind w:firstLine="361"/>
        <w:jc w:val="center"/>
        <w:rPr>
          <w:rFonts w:hint="eastAsia" w:asciiTheme="minorEastAsia" w:hAnsiTheme="minorEastAsia" w:eastAsiaTheme="minorEastAsia" w:cstheme="minorEastAsia"/>
          <w:b/>
          <w:color w:val="333333"/>
          <w:sz w:val="32"/>
          <w:szCs w:val="32"/>
        </w:rPr>
      </w:pPr>
      <w:r>
        <w:rPr>
          <w:rFonts w:hint="eastAsia" w:asciiTheme="minorEastAsia" w:hAnsiTheme="minorEastAsia" w:eastAsiaTheme="minorEastAsia" w:cstheme="minorEastAsia"/>
          <w:b/>
          <w:color w:val="333333"/>
          <w:sz w:val="32"/>
          <w:szCs w:val="32"/>
          <w:lang w:eastAsia="zh-CN"/>
        </w:rPr>
        <w:t>铜陵学院舆情监测服务和网络巡查服务项目采购市场比选</w:t>
      </w:r>
      <w:r>
        <w:rPr>
          <w:rFonts w:hint="eastAsia" w:asciiTheme="minorEastAsia" w:hAnsiTheme="minorEastAsia" w:eastAsiaTheme="minorEastAsia" w:cstheme="minorEastAsia"/>
          <w:b/>
          <w:color w:val="333333"/>
          <w:sz w:val="32"/>
          <w:szCs w:val="32"/>
        </w:rPr>
        <w:t>公告</w:t>
      </w:r>
    </w:p>
    <w:p>
      <w:pPr>
        <w:shd w:val="clear" w:color="000000" w:fill="FFFFFF"/>
        <w:spacing w:line="360" w:lineRule="auto"/>
        <w:ind w:firstLine="64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u w:val="none"/>
        </w:rPr>
        <w:t>铜陵学院</w:t>
      </w:r>
      <w:r>
        <w:rPr>
          <w:rFonts w:hint="eastAsia" w:asciiTheme="minorEastAsia" w:hAnsiTheme="minorEastAsia" w:eastAsiaTheme="minorEastAsia" w:cstheme="minorEastAsia"/>
          <w:color w:val="333333"/>
          <w:sz w:val="24"/>
          <w:szCs w:val="24"/>
          <w:u w:val="none"/>
          <w:lang w:eastAsia="zh-CN"/>
        </w:rPr>
        <w:t>应宣传教育等需要，拟通过市场比价采购方式采购</w:t>
      </w:r>
      <w:r>
        <w:rPr>
          <w:rFonts w:hint="eastAsia" w:asciiTheme="minorEastAsia" w:hAnsiTheme="minorEastAsia" w:eastAsiaTheme="minorEastAsia" w:cstheme="minorEastAsia"/>
          <w:color w:val="333333"/>
          <w:sz w:val="24"/>
          <w:szCs w:val="24"/>
          <w:u w:val="none"/>
          <w:lang w:val="en-US" w:eastAsia="zh-CN"/>
        </w:rPr>
        <w:t>舆情监测服务和网络巡查服务</w:t>
      </w:r>
      <w:r>
        <w:rPr>
          <w:rFonts w:hint="eastAsia" w:asciiTheme="minorEastAsia" w:hAnsiTheme="minorEastAsia" w:eastAsiaTheme="minorEastAsia" w:cstheme="minorEastAsia"/>
          <w:color w:val="333333"/>
          <w:sz w:val="24"/>
          <w:szCs w:val="24"/>
          <w:u w:val="none"/>
          <w:lang w:eastAsia="zh-CN"/>
        </w:rPr>
        <w:t>项目</w:t>
      </w:r>
      <w:r>
        <w:rPr>
          <w:rFonts w:hint="eastAsia" w:asciiTheme="minorEastAsia" w:hAnsiTheme="minorEastAsia" w:eastAsiaTheme="minorEastAsia" w:cstheme="minorEastAsia"/>
          <w:color w:val="333333"/>
          <w:sz w:val="24"/>
          <w:szCs w:val="24"/>
        </w:rPr>
        <w:t>，欢迎具备条件的国内</w:t>
      </w:r>
      <w:r>
        <w:rPr>
          <w:rFonts w:hint="eastAsia" w:asciiTheme="minorEastAsia" w:hAnsiTheme="minorEastAsia" w:eastAsiaTheme="minorEastAsia" w:cstheme="minorEastAsia"/>
          <w:color w:val="333333"/>
          <w:sz w:val="24"/>
          <w:szCs w:val="24"/>
          <w:lang w:eastAsia="zh-CN"/>
        </w:rPr>
        <w:t>投标人</w:t>
      </w:r>
      <w:r>
        <w:rPr>
          <w:rFonts w:hint="eastAsia" w:asciiTheme="minorEastAsia" w:hAnsiTheme="minorEastAsia" w:eastAsiaTheme="minorEastAsia" w:cstheme="minorEastAsia"/>
          <w:color w:val="333333"/>
          <w:sz w:val="24"/>
          <w:szCs w:val="24"/>
        </w:rPr>
        <w:t>参加磋商。</w:t>
      </w:r>
    </w:p>
    <w:p>
      <w:pPr>
        <w:shd w:val="clear" w:color="000000" w:fill="FFFFFF"/>
        <w:spacing w:line="360" w:lineRule="auto"/>
        <w:ind w:firstLine="643"/>
        <w:jc w:val="left"/>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b/>
          <w:color w:val="333333"/>
          <w:sz w:val="28"/>
          <w:szCs w:val="28"/>
        </w:rPr>
        <w:t>一、项目名称及内容</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1、项目编号：</w:t>
      </w:r>
      <w:r>
        <w:rPr>
          <w:rFonts w:hint="eastAsia" w:asciiTheme="minorEastAsia" w:hAnsiTheme="minorEastAsia" w:eastAsiaTheme="minorEastAsia" w:cstheme="minorEastAsia"/>
          <w:color w:val="333333"/>
          <w:sz w:val="24"/>
          <w:szCs w:val="24"/>
          <w:lang w:val="en-US" w:eastAsia="zh-CN"/>
        </w:rPr>
        <w:t>tlxyzb</w:t>
      </w:r>
      <w:r>
        <w:rPr>
          <w:rFonts w:hint="eastAsia" w:asciiTheme="minorEastAsia" w:hAnsiTheme="minorEastAsia" w:eastAsiaTheme="minorEastAsia" w:cstheme="minorEastAsia"/>
          <w:color w:val="333333"/>
          <w:sz w:val="24"/>
          <w:szCs w:val="24"/>
        </w:rPr>
        <w:t>【202</w:t>
      </w:r>
      <w:r>
        <w:rPr>
          <w:rFonts w:hint="eastAsia" w:asciiTheme="minorEastAsia" w:hAnsiTheme="minorEastAsia" w:eastAsiaTheme="minorEastAsia" w:cstheme="minorEastAsia"/>
          <w:color w:val="333333"/>
          <w:sz w:val="24"/>
          <w:szCs w:val="24"/>
          <w:lang w:val="en-US" w:eastAsia="zh-CN"/>
        </w:rPr>
        <w:t>4</w:t>
      </w:r>
      <w:r>
        <w:rPr>
          <w:rFonts w:hint="eastAsia" w:asciiTheme="minorEastAsia" w:hAnsiTheme="minorEastAsia" w:eastAsiaTheme="minorEastAsia" w:cstheme="minorEastAsia"/>
          <w:color w:val="333333"/>
          <w:sz w:val="24"/>
          <w:szCs w:val="24"/>
        </w:rPr>
        <w:t>】</w:t>
      </w:r>
      <w:r>
        <w:rPr>
          <w:rFonts w:hint="eastAsia" w:asciiTheme="minorEastAsia" w:hAnsiTheme="minorEastAsia" w:eastAsiaTheme="minorEastAsia" w:cstheme="minorEastAsia"/>
          <w:color w:val="333333"/>
          <w:sz w:val="24"/>
          <w:szCs w:val="24"/>
          <w:lang w:val="en-US" w:eastAsia="zh-CN"/>
        </w:rPr>
        <w:t>01</w:t>
      </w:r>
      <w:r>
        <w:rPr>
          <w:rFonts w:hint="eastAsia" w:asciiTheme="minorEastAsia" w:hAnsiTheme="minorEastAsia" w:eastAsiaTheme="minorEastAsia" w:cstheme="minorEastAsia"/>
          <w:color w:val="333333"/>
          <w:sz w:val="24"/>
          <w:szCs w:val="24"/>
          <w:lang w:eastAsia="zh-CN"/>
        </w:rPr>
        <w:t>号</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2、项目名称：</w:t>
      </w:r>
      <w:r>
        <w:rPr>
          <w:rFonts w:hint="eastAsia" w:asciiTheme="minorEastAsia" w:hAnsiTheme="minorEastAsia" w:eastAsiaTheme="minorEastAsia" w:cstheme="minorEastAsia"/>
          <w:color w:val="333333"/>
          <w:sz w:val="24"/>
          <w:szCs w:val="24"/>
          <w:lang w:eastAsia="zh-CN"/>
        </w:rPr>
        <w:t>铜陵学院舆情监测服务和网络巡查服务</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3、项目单位：铜陵学院</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4、资金来源：</w:t>
      </w:r>
      <w:r>
        <w:rPr>
          <w:rFonts w:hint="eastAsia" w:asciiTheme="minorEastAsia" w:hAnsiTheme="minorEastAsia" w:eastAsiaTheme="minorEastAsia" w:cstheme="minorEastAsia"/>
          <w:color w:val="333333"/>
          <w:sz w:val="24"/>
          <w:szCs w:val="24"/>
          <w:lang w:eastAsia="zh-CN"/>
        </w:rPr>
        <w:t>已落实</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5、项目预算：</w:t>
      </w:r>
      <w:r>
        <w:rPr>
          <w:rFonts w:hint="eastAsia" w:asciiTheme="minorEastAsia" w:hAnsiTheme="minorEastAsia" w:eastAsiaTheme="minorEastAsia" w:cstheme="minorEastAsia"/>
          <w:color w:val="333333"/>
          <w:sz w:val="24"/>
          <w:szCs w:val="24"/>
          <w:lang w:val="en-US" w:eastAsia="zh-CN"/>
        </w:rPr>
        <w:t>5</w:t>
      </w:r>
      <w:r>
        <w:rPr>
          <w:rFonts w:hint="eastAsia" w:asciiTheme="minorEastAsia" w:hAnsiTheme="minorEastAsia" w:eastAsiaTheme="minorEastAsia" w:cstheme="minorEastAsia"/>
          <w:color w:val="333333"/>
          <w:sz w:val="24"/>
          <w:szCs w:val="24"/>
        </w:rPr>
        <w:t>万元</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6、最高投标限价：</w:t>
      </w:r>
      <w:r>
        <w:rPr>
          <w:rFonts w:hint="eastAsia" w:asciiTheme="minorEastAsia" w:hAnsiTheme="minorEastAsia" w:eastAsiaTheme="minorEastAsia" w:cstheme="minorEastAsia"/>
          <w:color w:val="333333"/>
          <w:sz w:val="24"/>
          <w:szCs w:val="24"/>
          <w:lang w:val="en-US" w:eastAsia="zh-CN"/>
        </w:rPr>
        <w:t>5</w:t>
      </w:r>
      <w:r>
        <w:rPr>
          <w:rFonts w:hint="eastAsia" w:asciiTheme="minorEastAsia" w:hAnsiTheme="minorEastAsia" w:eastAsiaTheme="minorEastAsia" w:cstheme="minorEastAsia"/>
          <w:color w:val="333333"/>
          <w:sz w:val="24"/>
          <w:szCs w:val="24"/>
        </w:rPr>
        <w:t>万元</w:t>
      </w:r>
    </w:p>
    <w:p>
      <w:pPr>
        <w:shd w:val="clear" w:color="000000" w:fill="FFFFFF"/>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7、项目概况：实现对全网涉</w:t>
      </w:r>
      <w:r>
        <w:rPr>
          <w:rFonts w:hint="eastAsia" w:asciiTheme="minorEastAsia" w:hAnsiTheme="minorEastAsia" w:eastAsiaTheme="minorEastAsia" w:cstheme="minorEastAsia"/>
          <w:color w:val="000000"/>
          <w:sz w:val="24"/>
          <w:szCs w:val="24"/>
          <w:lang w:eastAsia="zh-CN"/>
        </w:rPr>
        <w:t>铜陵学院</w:t>
      </w:r>
      <w:r>
        <w:rPr>
          <w:rFonts w:hint="eastAsia" w:asciiTheme="minorEastAsia" w:hAnsiTheme="minorEastAsia" w:eastAsiaTheme="minorEastAsia" w:cstheme="minorEastAsia"/>
          <w:color w:val="000000"/>
          <w:sz w:val="24"/>
          <w:szCs w:val="24"/>
        </w:rPr>
        <w:t>舆情的及时预警监测和对学校网站群、新媒体平台合规性审查</w:t>
      </w:r>
      <w:r>
        <w:rPr>
          <w:rFonts w:hint="eastAsia" w:asciiTheme="minorEastAsia" w:hAnsiTheme="minorEastAsia" w:eastAsiaTheme="minorEastAsia" w:cstheme="minorEastAsia"/>
          <w:color w:val="000000"/>
          <w:sz w:val="24"/>
          <w:szCs w:val="24"/>
          <w:lang w:eastAsia="zh-CN"/>
        </w:rPr>
        <w:t>等</w:t>
      </w:r>
      <w:r>
        <w:rPr>
          <w:rFonts w:hint="eastAsia" w:asciiTheme="minorEastAsia" w:hAnsiTheme="minorEastAsia" w:eastAsiaTheme="minorEastAsia" w:cstheme="minorEastAsia"/>
          <w:color w:val="000000"/>
          <w:sz w:val="24"/>
          <w:szCs w:val="24"/>
        </w:rPr>
        <w:t>。</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8、标段（包别）划分：一个标段</w:t>
      </w:r>
    </w:p>
    <w:p>
      <w:pPr>
        <w:shd w:val="clear" w:color="000000" w:fill="FFFFFF"/>
        <w:spacing w:line="360" w:lineRule="auto"/>
        <w:ind w:firstLine="643"/>
        <w:jc w:val="left"/>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b/>
          <w:color w:val="333333"/>
          <w:sz w:val="28"/>
          <w:szCs w:val="28"/>
        </w:rPr>
        <w:t>二、</w:t>
      </w:r>
      <w:r>
        <w:rPr>
          <w:rFonts w:hint="eastAsia" w:asciiTheme="minorEastAsia" w:hAnsiTheme="minorEastAsia" w:eastAsiaTheme="minorEastAsia" w:cstheme="minorEastAsia"/>
          <w:b/>
          <w:color w:val="333333"/>
          <w:sz w:val="28"/>
          <w:szCs w:val="28"/>
          <w:lang w:eastAsia="zh-CN"/>
        </w:rPr>
        <w:t>投标人</w:t>
      </w:r>
      <w:r>
        <w:rPr>
          <w:rFonts w:hint="eastAsia" w:asciiTheme="minorEastAsia" w:hAnsiTheme="minorEastAsia" w:eastAsiaTheme="minorEastAsia" w:cstheme="minorEastAsia"/>
          <w:b/>
          <w:color w:val="333333"/>
          <w:sz w:val="28"/>
          <w:szCs w:val="28"/>
        </w:rPr>
        <w:t>资格</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须符合《中华人民共和国政府采购法》第二十二条规定；</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具有独立承担民事责任的能力，经营范围覆盖本次采购内容，提供法人或其他组织的营业执照复印件加盖公章； </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存在以下不良信用记录情形之一的，不得推荐为中标候选人，不得确定为中标人：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被人民法院列入失信被执行人的；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或其法定代表人或拟派项目经理（项目负责人）被人民检察院列入行贿犯罪档案的；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被工商行政管理部门列入企业经营异常名录的；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被税务部门列入重大税收违法案件当事人名单的；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被政府采购监管部门列入政府采购严重违法失信行为记录名单的。 </w:t>
      </w:r>
    </w:p>
    <w:p>
      <w:pPr>
        <w:keepNext w:val="0"/>
        <w:keepLines w:val="0"/>
        <w:pageBreakBefore w:val="0"/>
        <w:widowControl/>
        <w:shd w:val="clear" w:color="auto" w:fill="FFFFFF"/>
        <w:kinsoku/>
        <w:wordWrap/>
        <w:overflowPunct/>
        <w:topLinePunct w:val="0"/>
        <w:autoSpaceDE/>
        <w:autoSpaceDN/>
        <w:bidi w:val="0"/>
        <w:spacing w:line="500" w:lineRule="exact"/>
        <w:ind w:firstLine="562" w:firstLineChars="200"/>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color w:val="333333"/>
          <w:sz w:val="28"/>
          <w:szCs w:val="28"/>
        </w:rPr>
        <w:t>三、</w:t>
      </w:r>
      <w:r>
        <w:rPr>
          <w:rFonts w:hint="eastAsia" w:asciiTheme="minorEastAsia" w:hAnsiTheme="minorEastAsia" w:eastAsiaTheme="minorEastAsia" w:cstheme="minorEastAsia"/>
          <w:b/>
          <w:bCs/>
          <w:color w:val="auto"/>
          <w:kern w:val="0"/>
          <w:sz w:val="24"/>
          <w:szCs w:val="24"/>
          <w:highlight w:val="none"/>
        </w:rPr>
        <w:t>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1、获取时间：2024年元月3日至投标截止期前。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1.标书递交时间：凡符合投标资格、有意向的投标单位，均为被采购对象。请有意参与投标报价的单位于2024年元月10日上午11：00前。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2.递交地点：铜陵学院翠湖校区图书馆楼806，联系人：胡老师（13955931061）。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C00000"/>
          <w:kern w:val="0"/>
          <w:sz w:val="24"/>
          <w:szCs w:val="24"/>
          <w:highlight w:val="none"/>
          <w:lang w:val="en-US" w:eastAsia="zh-CN"/>
        </w:rPr>
        <w:t>（因校园管理要求，请投标人在2024年元月10日上午8:30-11:00期间投递投标函，其它时段不接收）递交投标文件。</w:t>
      </w:r>
    </w:p>
    <w:p>
      <w:pPr>
        <w:shd w:val="clear" w:color="000000" w:fill="FFFFFF"/>
        <w:spacing w:line="360" w:lineRule="auto"/>
        <w:ind w:firstLine="640"/>
        <w:jc w:val="left"/>
        <w:rPr>
          <w:rFonts w:hint="eastAsia" w:asciiTheme="minorEastAsia" w:hAnsiTheme="minorEastAsia" w:eastAsiaTheme="minorEastAsia" w:cstheme="minorEastAsia"/>
          <w:b/>
          <w:color w:val="333333"/>
          <w:sz w:val="28"/>
          <w:szCs w:val="28"/>
        </w:rPr>
      </w:pPr>
      <w:r>
        <w:rPr>
          <w:rFonts w:hint="eastAsia" w:asciiTheme="minorEastAsia" w:hAnsiTheme="minorEastAsia" w:eastAsiaTheme="minorEastAsia" w:cstheme="minorEastAsia"/>
          <w:b/>
          <w:color w:val="333333"/>
          <w:sz w:val="28"/>
          <w:szCs w:val="28"/>
        </w:rPr>
        <w:t>五、联系方法</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项目单位：铜陵学院 </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地址：铜陵市铜官区翠湖四路 </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联系人：程老师 </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电话：0562-5881058</w:t>
      </w:r>
    </w:p>
    <w:p>
      <w:pPr>
        <w:shd w:val="clear" w:color="000000" w:fill="FFFFFF"/>
        <w:spacing w:line="360" w:lineRule="auto"/>
        <w:ind w:firstLine="6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sz w:val="24"/>
          <w:szCs w:val="24"/>
        </w:rPr>
        <w:t>技术业务咨询：</w:t>
      </w:r>
      <w:r>
        <w:rPr>
          <w:rFonts w:hint="eastAsia" w:asciiTheme="minorEastAsia" w:hAnsiTheme="minorEastAsia" w:eastAsiaTheme="minorEastAsia" w:cstheme="minorEastAsia"/>
          <w:sz w:val="24"/>
          <w:szCs w:val="24"/>
        </w:rPr>
        <w:t>铜陵学院</w:t>
      </w:r>
      <w:r>
        <w:rPr>
          <w:rFonts w:hint="eastAsia" w:asciiTheme="minorEastAsia" w:hAnsiTheme="minorEastAsia" w:eastAsiaTheme="minorEastAsia" w:cstheme="minorEastAsia"/>
          <w:sz w:val="24"/>
          <w:szCs w:val="24"/>
          <w:lang w:eastAsia="zh-CN"/>
        </w:rPr>
        <w:t>宣传部</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钱</w:t>
      </w:r>
      <w:r>
        <w:rPr>
          <w:rFonts w:hint="eastAsia" w:asciiTheme="minorEastAsia" w:hAnsiTheme="minorEastAsia" w:eastAsiaTheme="minorEastAsia" w:cstheme="minorEastAsia"/>
          <w:sz w:val="24"/>
          <w:szCs w:val="24"/>
        </w:rPr>
        <w:t>老师（</w:t>
      </w:r>
      <w:r>
        <w:rPr>
          <w:rFonts w:hint="eastAsia" w:asciiTheme="minorEastAsia" w:hAnsiTheme="minorEastAsia" w:eastAsiaTheme="minorEastAsia" w:cstheme="minorEastAsia"/>
          <w:sz w:val="24"/>
          <w:szCs w:val="24"/>
          <w:lang w:val="en-US" w:eastAsia="zh-CN"/>
        </w:rPr>
        <w:t>0562-5881964</w:t>
      </w:r>
      <w:r>
        <w:rPr>
          <w:rFonts w:hint="eastAsia" w:asciiTheme="minorEastAsia" w:hAnsiTheme="minorEastAsia" w:eastAsiaTheme="minorEastAsia" w:cstheme="minorEastAsia"/>
          <w:sz w:val="24"/>
          <w:szCs w:val="24"/>
        </w:rPr>
        <w:t>）</w:t>
      </w:r>
    </w:p>
    <w:p>
      <w:pPr>
        <w:shd w:val="clear" w:color="000000" w:fill="FFFFFF"/>
        <w:spacing w:line="360" w:lineRule="auto"/>
        <w:ind w:firstLine="643"/>
        <w:jc w:val="left"/>
        <w:rPr>
          <w:rFonts w:hint="eastAsia" w:asciiTheme="minorEastAsia" w:hAnsiTheme="minorEastAsia" w:eastAsiaTheme="minorEastAsia" w:cstheme="minorEastAsia"/>
          <w:b/>
          <w:color w:val="333333"/>
          <w:sz w:val="28"/>
          <w:szCs w:val="28"/>
          <w:lang w:eastAsia="zh-CN"/>
        </w:rPr>
      </w:pPr>
      <w:r>
        <w:rPr>
          <w:rFonts w:hint="eastAsia" w:asciiTheme="minorEastAsia" w:hAnsiTheme="minorEastAsia" w:eastAsiaTheme="minorEastAsia" w:cstheme="minorEastAsia"/>
          <w:b/>
          <w:color w:val="333333"/>
          <w:sz w:val="28"/>
          <w:szCs w:val="28"/>
          <w:lang w:eastAsia="zh-CN"/>
        </w:rPr>
        <w:t>六</w:t>
      </w:r>
      <w:r>
        <w:rPr>
          <w:rFonts w:hint="eastAsia" w:asciiTheme="minorEastAsia" w:hAnsiTheme="minorEastAsia" w:eastAsiaTheme="minorEastAsia" w:cstheme="minorEastAsia"/>
          <w:b/>
          <w:color w:val="333333"/>
          <w:sz w:val="28"/>
          <w:szCs w:val="28"/>
        </w:rPr>
        <w:t>、</w:t>
      </w:r>
      <w:r>
        <w:rPr>
          <w:rFonts w:hint="eastAsia" w:asciiTheme="minorEastAsia" w:hAnsiTheme="minorEastAsia" w:eastAsiaTheme="minorEastAsia" w:cstheme="minorEastAsia"/>
          <w:b/>
          <w:color w:val="333333"/>
          <w:sz w:val="28"/>
          <w:szCs w:val="28"/>
          <w:lang w:eastAsia="zh-CN"/>
        </w:rPr>
        <w:t>投标</w:t>
      </w:r>
      <w:r>
        <w:rPr>
          <w:rFonts w:hint="eastAsia" w:asciiTheme="minorEastAsia" w:hAnsiTheme="minorEastAsia" w:eastAsiaTheme="minorEastAsia" w:cstheme="minorEastAsia"/>
          <w:b/>
          <w:color w:val="333333"/>
          <w:sz w:val="28"/>
          <w:szCs w:val="28"/>
        </w:rPr>
        <w:t>保证金</w:t>
      </w:r>
      <w:r>
        <w:rPr>
          <w:rFonts w:hint="eastAsia" w:asciiTheme="minorEastAsia" w:hAnsiTheme="minorEastAsia" w:eastAsiaTheme="minorEastAsia" w:cstheme="minorEastAsia"/>
          <w:b/>
          <w:color w:val="333333"/>
          <w:sz w:val="28"/>
          <w:szCs w:val="28"/>
          <w:lang w:eastAsia="zh-CN"/>
        </w:rPr>
        <w:t>（无）</w:t>
      </w: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b/>
          <w:sz w:val="32"/>
          <w:szCs w:val="32"/>
        </w:rPr>
        <w:sectPr>
          <w:headerReference r:id="rId4" w:type="first"/>
          <w:headerReference r:id="rId3" w:type="default"/>
          <w:footerReference r:id="rId5" w:type="default"/>
          <w:pgSz w:w="11906" w:h="16838"/>
          <w:pgMar w:top="1440" w:right="1599" w:bottom="1440" w:left="1803" w:header="851" w:footer="992" w:gutter="0"/>
          <w:pgNumType w:start="1"/>
          <w:cols w:space="720" w:num="1"/>
          <w:titlePg/>
          <w:docGrid w:type="lines" w:linePitch="319" w:charSpace="0"/>
        </w:sectPr>
      </w:pPr>
    </w:p>
    <w:p>
      <w:pPr>
        <w:pStyle w:val="57"/>
        <w:numPr>
          <w:ilvl w:val="0"/>
          <w:numId w:val="0"/>
        </w:numPr>
        <w:tabs>
          <w:tab w:val="left" w:pos="420"/>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第一章 </w:t>
      </w:r>
      <w:r>
        <w:rPr>
          <w:rFonts w:hint="eastAsia" w:asciiTheme="minorEastAsia" w:hAnsiTheme="minorEastAsia" w:eastAsiaTheme="minorEastAsia" w:cstheme="minorEastAsia"/>
          <w:sz w:val="28"/>
          <w:szCs w:val="28"/>
          <w:lang w:eastAsia="zh-CN"/>
        </w:rPr>
        <w:t>市场比选</w:t>
      </w:r>
      <w:r>
        <w:rPr>
          <w:rFonts w:hint="eastAsia" w:asciiTheme="minorEastAsia" w:hAnsiTheme="minorEastAsia" w:eastAsiaTheme="minorEastAsia" w:cstheme="minorEastAsia"/>
          <w:sz w:val="28"/>
          <w:szCs w:val="28"/>
        </w:rPr>
        <w:t>书</w:t>
      </w:r>
    </w:p>
    <w:p>
      <w:pPr>
        <w:pStyle w:val="61"/>
        <w:wordWrap w:val="0"/>
        <w:jc w:val="center"/>
        <w:rPr>
          <w:rFonts w:hint="eastAsia" w:asciiTheme="minorEastAsia" w:hAnsiTheme="minorEastAsia" w:eastAsiaTheme="minorEastAsia" w:cstheme="minorEastAsia"/>
          <w:color w:val="000000"/>
        </w:rPr>
      </w:pPr>
      <w:bookmarkStart w:id="0" w:name="_Toc338398713"/>
      <w:bookmarkStart w:id="1" w:name="_Toc272141464"/>
      <w:bookmarkStart w:id="2" w:name="_Toc383776342"/>
      <w:r>
        <w:rPr>
          <w:rFonts w:hint="eastAsia" w:asciiTheme="minorEastAsia" w:hAnsiTheme="minorEastAsia" w:eastAsiaTheme="minorEastAsia" w:cstheme="minorEastAsia"/>
        </w:rPr>
        <w:t>一、</w:t>
      </w:r>
      <w:r>
        <w:rPr>
          <w:rFonts w:hint="eastAsia" w:asciiTheme="minorEastAsia" w:hAnsiTheme="minorEastAsia" w:eastAsiaTheme="minorEastAsia" w:cstheme="minorEastAsia"/>
          <w:lang w:eastAsia="zh-CN"/>
        </w:rPr>
        <w:t>投标</w:t>
      </w:r>
      <w:r>
        <w:rPr>
          <w:rFonts w:hint="eastAsia" w:asciiTheme="minorEastAsia" w:hAnsiTheme="minorEastAsia" w:eastAsiaTheme="minorEastAsia" w:cstheme="minorEastAsia"/>
        </w:rPr>
        <w:t>响应</w:t>
      </w:r>
      <w:r>
        <w:rPr>
          <w:rFonts w:hint="eastAsia" w:asciiTheme="minorEastAsia" w:hAnsiTheme="minorEastAsia" w:eastAsiaTheme="minorEastAsia" w:cstheme="minorEastAsia"/>
          <w:lang w:eastAsia="zh-CN"/>
        </w:rPr>
        <w:t>投标人</w:t>
      </w:r>
      <w:r>
        <w:rPr>
          <w:rFonts w:hint="eastAsia" w:asciiTheme="minorEastAsia" w:hAnsiTheme="minorEastAsia" w:eastAsiaTheme="minorEastAsia" w:cstheme="minorEastAsia"/>
        </w:rPr>
        <w:t>须知前附表</w:t>
      </w:r>
      <w:bookmarkEnd w:id="0"/>
      <w:bookmarkEnd w:id="1"/>
      <w:bookmarkEnd w:id="2"/>
    </w:p>
    <w:tbl>
      <w:tblPr>
        <w:tblStyle w:val="35"/>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1"/>
        <w:gridCol w:w="2982"/>
        <w:gridCol w:w="58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12"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序号</w:t>
            </w:r>
          </w:p>
        </w:tc>
        <w:tc>
          <w:tcPr>
            <w:tcW w:w="2982" w:type="dxa"/>
            <w:tcBorders>
              <w:top w:val="single" w:color="auto" w:sz="12"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条款名称</w:t>
            </w:r>
          </w:p>
        </w:tc>
        <w:tc>
          <w:tcPr>
            <w:tcW w:w="5831" w:type="dxa"/>
            <w:tcBorders>
              <w:top w:val="single" w:color="auto" w:sz="12"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说明和要求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预算控制数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b/>
                <w:color w:val="000000"/>
                <w:lang w:val="en-US" w:eastAsia="zh-CN"/>
              </w:rPr>
              <w:t>5</w:t>
            </w:r>
            <w:r>
              <w:rPr>
                <w:rFonts w:hint="eastAsia" w:asciiTheme="minorEastAsia" w:hAnsiTheme="minorEastAsia" w:eastAsiaTheme="minorEastAsia" w:cstheme="minorEastAsia"/>
                <w:b/>
                <w:color w:val="000000"/>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投标人资格要求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招标方式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lang w:eastAsia="zh-CN"/>
              </w:rPr>
            </w:pPr>
            <w:r>
              <w:rPr>
                <w:rFonts w:hint="eastAsia" w:asciiTheme="minorEastAsia" w:hAnsiTheme="minorEastAsia" w:eastAsiaTheme="minorEastAsia" w:cstheme="minorEastAsia"/>
                <w:color w:val="000000"/>
                <w:lang w:eastAsia="zh-CN"/>
              </w:rPr>
              <w:t>市场比选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招标范围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详见项目需求所载明内容。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5</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评标方法</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综合评分法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b w:val="0"/>
                <w:bCs/>
                <w:color w:val="000000"/>
                <w:sz w:val="24"/>
                <w:szCs w:val="24"/>
                <w:highlight w:val="none"/>
                <w:lang w:val="en-US" w:eastAsia="zh-CN" w:bidi="ar-SA"/>
              </w:rPr>
            </w:pPr>
            <w:r>
              <w:rPr>
                <w:rFonts w:hint="eastAsia" w:asciiTheme="minorEastAsia" w:hAnsiTheme="minorEastAsia" w:eastAsiaTheme="minorEastAsia" w:cstheme="minorEastAsia"/>
                <w:b w:val="0"/>
                <w:bCs/>
                <w:color w:val="000000"/>
                <w:highlight w:val="none"/>
              </w:rPr>
              <w:t>服务期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b w:val="0"/>
                <w:bCs/>
                <w:color w:val="000000"/>
                <w:sz w:val="24"/>
                <w:szCs w:val="24"/>
                <w:highlight w:val="none"/>
                <w:lang w:val="en-US" w:eastAsia="zh-CN" w:bidi="ar-SA"/>
              </w:rPr>
            </w:pPr>
            <w:r>
              <w:rPr>
                <w:rFonts w:hint="eastAsia" w:asciiTheme="minorEastAsia" w:hAnsiTheme="minorEastAsia" w:eastAsiaTheme="minorEastAsia" w:cstheme="minorEastAsia"/>
                <w:b w:val="0"/>
                <w:bCs/>
                <w:color w:val="000000"/>
                <w:highlight w:val="none"/>
              </w:rPr>
              <w:t>自合同签订之日起</w:t>
            </w:r>
            <w:r>
              <w:rPr>
                <w:rFonts w:hint="eastAsia" w:asciiTheme="minorEastAsia" w:hAnsiTheme="minorEastAsia" w:eastAsiaTheme="minorEastAsia" w:cstheme="minorEastAsia"/>
                <w:b w:val="0"/>
                <w:bCs/>
                <w:color w:val="000000"/>
                <w:highlight w:val="none"/>
                <w:lang w:val="en-US" w:eastAsia="zh-CN"/>
              </w:rPr>
              <w:t>一年，服务期期满双方合作满意可以续签下一年度合同，最多续约二年。合同采取1+1+1模式签订</w:t>
            </w:r>
            <w:r>
              <w:rPr>
                <w:rFonts w:hint="eastAsia" w:asciiTheme="minorEastAsia" w:hAnsiTheme="minorEastAsia" w:eastAsiaTheme="minorEastAsia" w:cstheme="minorEastAsia"/>
                <w:b w:val="0"/>
                <w:bCs/>
                <w:color w:val="00000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b w:val="0"/>
                <w:bCs/>
                <w:color w:val="000000"/>
                <w:highlight w:val="none"/>
              </w:rPr>
            </w:pPr>
            <w:r>
              <w:rPr>
                <w:rFonts w:hint="eastAsia" w:asciiTheme="minorEastAsia" w:hAnsiTheme="minorEastAsia" w:eastAsiaTheme="minorEastAsia" w:cstheme="minorEastAsia"/>
                <w:b w:val="0"/>
                <w:bCs/>
                <w:color w:val="000000"/>
                <w:highlight w:val="none"/>
              </w:rPr>
              <w:t>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质量要求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是否接受联合体投标</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投标人对招标文件</w:t>
            </w:r>
          </w:p>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提出质疑的时间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投标截止时间10日前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是否接受分包履约</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构成招标文件的其他文件</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招标文件的澄清、修改书为招标文件的有效组成部分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投标有效期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60天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履约保证金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2" w:hRule="atLeast"/>
          <w:jc w:val="center"/>
        </w:trPr>
        <w:tc>
          <w:tcPr>
            <w:tcW w:w="821"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15</w:t>
            </w:r>
          </w:p>
        </w:tc>
        <w:tc>
          <w:tcPr>
            <w:tcW w:w="2982"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投标文件份数</w:t>
            </w:r>
          </w:p>
        </w:tc>
        <w:tc>
          <w:tcPr>
            <w:tcW w:w="5831" w:type="dxa"/>
            <w:tcBorders>
              <w:top w:val="single" w:color="auto" w:sz="6" w:space="0"/>
              <w:left w:val="single" w:color="auto" w:sz="6" w:space="0"/>
              <w:bottom w:val="single" w:color="auto" w:sz="6" w:space="0"/>
              <w:right w:val="single" w:color="auto" w:sz="12" w:space="0"/>
            </w:tcBorders>
            <w:shd w:val="clear" w:color="auto" w:fill="FFFFFF"/>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正本1份、副本1份</w:t>
            </w:r>
            <w:r>
              <w:rPr>
                <w:rFonts w:hint="eastAsia" w:asciiTheme="minorEastAsia" w:hAnsiTheme="minorEastAsia" w:eastAsiaTheme="minorEastAsia" w:cstheme="minorEastAsia"/>
                <w:lang w:val="zh-CN"/>
              </w:rPr>
              <w:t>；</w:t>
            </w:r>
            <w:r>
              <w:rPr>
                <w:rFonts w:hint="eastAsia" w:asciiTheme="minorEastAsia" w:hAnsiTheme="minorEastAsia" w:eastAsiaTheme="minorEastAsia" w:cstheme="minorEastAsia"/>
              </w:rPr>
              <w:t>正本与副本单独或一起封装</w:t>
            </w:r>
            <w:r>
              <w:rPr>
                <w:rFonts w:hint="eastAsia" w:asciiTheme="minorEastAsia" w:hAnsiTheme="minorEastAsia" w:eastAsiaTheme="minorEastAsia" w:cstheme="minorEastAsia"/>
                <w:lang w:val="zh-CN"/>
              </w:rPr>
              <w:t>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8"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公示网站</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铜陵学院网(http://www.tlu.edu.cn)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投标截止时间及开标时间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付款方式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15"/>
              <w:spacing w:line="420" w:lineRule="exact"/>
              <w:ind w:firstLine="0" w:firstLineChars="0"/>
              <w:jc w:val="left"/>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sz w:val="24"/>
                <w:szCs w:val="24"/>
              </w:rPr>
              <w:t>本项目不支付预付款。项目实施完成并经甲方验收认可合格后，在10工作日内向乙方一次性支付合同价款。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9"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费用承担</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投标人参加投标活动发生的一切费用均自理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合同签订时间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ind w:firstLine="480" w:firstLineChars="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lang w:eastAsia="zh-CN"/>
              </w:rPr>
              <w:t>公示结束后，</w:t>
            </w:r>
            <w:r>
              <w:rPr>
                <w:rFonts w:hint="eastAsia" w:asciiTheme="minorEastAsia" w:hAnsiTheme="minorEastAsia" w:eastAsiaTheme="minorEastAsia" w:cstheme="minorEastAsia"/>
                <w:color w:val="000000"/>
              </w:rPr>
              <w:t>中标人应在3日内领取中标通知书，领取后</w:t>
            </w:r>
            <w:r>
              <w:rPr>
                <w:rFonts w:hint="eastAsia" w:asciiTheme="minorEastAsia" w:hAnsiTheme="minorEastAsia" w:eastAsiaTheme="minorEastAsia" w:cstheme="minorEastAsia"/>
                <w:color w:val="000000"/>
                <w:lang w:val="en-US" w:eastAsia="zh-CN"/>
              </w:rPr>
              <w:t>5</w:t>
            </w:r>
            <w:r>
              <w:rPr>
                <w:rFonts w:hint="eastAsia" w:asciiTheme="minorEastAsia" w:hAnsiTheme="minorEastAsia" w:eastAsiaTheme="minorEastAsia" w:cstheme="minorEastAsia"/>
                <w:color w:val="000000"/>
              </w:rPr>
              <w:t>天内与招标单位签订合同，逾期不领取中标通知书或不签订合同的，顺延至第二中标人或重新招标。</w:t>
            </w:r>
          </w:p>
        </w:tc>
      </w:tr>
    </w:tbl>
    <w:p>
      <w:pPr>
        <w:snapToGrid w:val="0"/>
        <w:spacing w:line="360" w:lineRule="auto"/>
        <w:jc w:val="both"/>
        <w:rPr>
          <w:rFonts w:hint="eastAsia" w:asciiTheme="minorEastAsia" w:hAnsiTheme="minorEastAsia" w:eastAsiaTheme="minorEastAsia" w:cstheme="minorEastAsia"/>
          <w:b/>
          <w:sz w:val="28"/>
          <w:szCs w:val="28"/>
        </w:rPr>
      </w:pP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w:t>
      </w:r>
      <w:r>
        <w:rPr>
          <w:rFonts w:hint="eastAsia" w:asciiTheme="minorEastAsia" w:hAnsiTheme="minorEastAsia" w:eastAsiaTheme="minorEastAsia" w:cstheme="minorEastAsia"/>
          <w:b/>
          <w:sz w:val="28"/>
          <w:szCs w:val="28"/>
          <w:lang w:eastAsia="zh-CN"/>
        </w:rPr>
        <w:t>投标人</w:t>
      </w:r>
      <w:r>
        <w:rPr>
          <w:rFonts w:hint="eastAsia" w:asciiTheme="minorEastAsia" w:hAnsiTheme="minorEastAsia" w:eastAsiaTheme="minorEastAsia" w:cstheme="minorEastAsia"/>
          <w:b/>
          <w:sz w:val="28"/>
          <w:szCs w:val="28"/>
        </w:rPr>
        <w:t>须知</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（一）总则</w:t>
      </w:r>
    </w:p>
    <w:p>
      <w:pPr>
        <w:snapToGrid w:val="0"/>
        <w:spacing w:line="360" w:lineRule="auto"/>
        <w:ind w:firstLine="482"/>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（以下简称</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）资格要求</w:t>
      </w:r>
    </w:p>
    <w:p>
      <w:pPr>
        <w:snapToGrid w:val="0"/>
        <w:spacing w:line="360" w:lineRule="auto"/>
        <w:ind w:firstLine="48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见磋商公告</w:t>
      </w:r>
      <w:r>
        <w:rPr>
          <w:rFonts w:hint="eastAsia" w:asciiTheme="minorEastAsia" w:hAnsiTheme="minorEastAsia" w:eastAsiaTheme="minorEastAsia" w:cstheme="minorEastAsia"/>
          <w:sz w:val="24"/>
          <w:szCs w:val="24"/>
          <w:lang w:val="en-US" w:eastAsia="zh-CN"/>
        </w:rPr>
        <w:t xml:space="preserve">  </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注：本文件中规定提供的复印件须装订入</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响应书正、副本中。</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响应费用</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必须自行承担所有与参加</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有关的一切费用。不论</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的结果如何，采购人在任何情况下均无义务和责任承担这些费用。</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w:t>
      </w:r>
      <w:r>
        <w:rPr>
          <w:rFonts w:hint="eastAsia" w:asciiTheme="minorEastAsia" w:hAnsiTheme="minorEastAsia" w:eastAsiaTheme="minorEastAsia" w:cstheme="minorEastAsia"/>
          <w:b/>
          <w:sz w:val="28"/>
          <w:szCs w:val="28"/>
          <w:lang w:eastAsia="zh-CN"/>
        </w:rPr>
        <w:t>市场比选</w:t>
      </w:r>
      <w:r>
        <w:rPr>
          <w:rFonts w:hint="eastAsia" w:asciiTheme="minorEastAsia" w:hAnsiTheme="minorEastAsia" w:eastAsiaTheme="minorEastAsia" w:cstheme="minorEastAsia"/>
          <w:b/>
          <w:sz w:val="28"/>
          <w:szCs w:val="28"/>
        </w:rPr>
        <w:t>文件</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应认真阅读和充分理解</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文件中所有的内容。如果</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没有满足</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文件的有关要求，其风险由</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自行承担。</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文件的澄清</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可以要求采购单位对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文件中的有关问题进行答疑、澄清。</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文件如有疑问，应在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文件要求的截止时间前以书面形式（如传真、信件、电报等）通知采购人和采购代理机构。</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文件的修改</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5.1</w:t>
      </w:r>
      <w:r>
        <w:rPr>
          <w:rFonts w:hint="eastAsia" w:asciiTheme="minorEastAsia" w:hAnsiTheme="minorEastAsia" w:eastAsiaTheme="minorEastAsia" w:cstheme="minorEastAsia"/>
          <w:sz w:val="24"/>
          <w:szCs w:val="24"/>
        </w:rPr>
        <w:t>在某些情况下，采购人可能对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文件进行修改。</w:t>
      </w:r>
    </w:p>
    <w:p>
      <w:pPr>
        <w:snapToGrid w:val="0"/>
        <w:spacing w:line="360" w:lineRule="auto"/>
        <w:ind w:firstLine="482"/>
        <w:rPr>
          <w:rFonts w:hint="eastAsia" w:asciiTheme="minorEastAsia" w:hAnsiTheme="minorEastAsia" w:eastAsiaTheme="minorEastAsia" w:cstheme="minorEastAsia"/>
          <w:color w:val="171616"/>
          <w:sz w:val="24"/>
          <w:szCs w:val="24"/>
        </w:rPr>
      </w:pPr>
      <w:r>
        <w:rPr>
          <w:rFonts w:hint="eastAsia" w:asciiTheme="minorEastAsia" w:hAnsiTheme="minorEastAsia" w:eastAsiaTheme="minorEastAsia" w:cstheme="minorEastAsia"/>
          <w:b/>
          <w:color w:val="171616"/>
          <w:sz w:val="24"/>
          <w:szCs w:val="24"/>
        </w:rPr>
        <w:t>5.2</w:t>
      </w:r>
      <w:r>
        <w:rPr>
          <w:rFonts w:hint="eastAsia" w:asciiTheme="minorEastAsia" w:hAnsiTheme="minorEastAsia" w:eastAsiaTheme="minorEastAsia" w:cstheme="minorEastAsia"/>
          <w:color w:val="171616"/>
          <w:sz w:val="24"/>
          <w:szCs w:val="24"/>
        </w:rPr>
        <w:t>采购人对</w:t>
      </w:r>
      <w:r>
        <w:rPr>
          <w:rFonts w:hint="eastAsia" w:asciiTheme="minorEastAsia" w:hAnsiTheme="minorEastAsia" w:eastAsiaTheme="minorEastAsia" w:cstheme="minorEastAsia"/>
          <w:color w:val="171616"/>
          <w:sz w:val="24"/>
          <w:szCs w:val="24"/>
          <w:lang w:eastAsia="zh-CN"/>
        </w:rPr>
        <w:t>市场比选</w:t>
      </w:r>
      <w:r>
        <w:rPr>
          <w:rFonts w:hint="eastAsia" w:asciiTheme="minorEastAsia" w:hAnsiTheme="minorEastAsia" w:eastAsiaTheme="minorEastAsia" w:cstheme="minorEastAsia"/>
          <w:color w:val="171616"/>
          <w:sz w:val="24"/>
          <w:szCs w:val="24"/>
        </w:rPr>
        <w:t>文件的修改，将在铜陵学院网(http://www.tlu.edu.cn)“通知公告”栏以“补充公告”的形式公布通知所有投标人，并对</w:t>
      </w:r>
      <w:r>
        <w:rPr>
          <w:rFonts w:hint="eastAsia" w:asciiTheme="minorEastAsia" w:hAnsiTheme="minorEastAsia" w:eastAsiaTheme="minorEastAsia" w:cstheme="minorEastAsia"/>
          <w:color w:val="171616"/>
          <w:sz w:val="24"/>
          <w:szCs w:val="24"/>
          <w:lang w:eastAsia="zh-CN"/>
        </w:rPr>
        <w:t>投标人</w:t>
      </w:r>
      <w:r>
        <w:rPr>
          <w:rFonts w:hint="eastAsia" w:asciiTheme="minorEastAsia" w:hAnsiTheme="minorEastAsia" w:eastAsiaTheme="minorEastAsia" w:cstheme="minorEastAsia"/>
          <w:color w:val="171616"/>
          <w:sz w:val="24"/>
          <w:szCs w:val="24"/>
        </w:rPr>
        <w:t>具有约束力。</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5.3</w:t>
      </w:r>
      <w:r>
        <w:rPr>
          <w:rFonts w:hint="eastAsia" w:asciiTheme="minorEastAsia" w:hAnsiTheme="minorEastAsia" w:eastAsiaTheme="minorEastAsia" w:cstheme="minorEastAsia"/>
          <w:sz w:val="24"/>
          <w:szCs w:val="24"/>
        </w:rPr>
        <w:t>为使</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有充分时间对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文件的修改部分进行研究或由于其他原因，采购人可以决定延长</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响应截止日期，并以前款方式将变更时间通知所有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响应书的编制</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响应的语言及度量衡单位</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响应书、以及</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与采购单位就</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响应的所有往来函电，均须使用简体中文。</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6.2</w:t>
      </w:r>
      <w:r>
        <w:rPr>
          <w:rFonts w:hint="eastAsia" w:asciiTheme="minorEastAsia" w:hAnsiTheme="minorEastAsia" w:eastAsiaTheme="minorEastAsia" w:cstheme="minorEastAsia"/>
          <w:sz w:val="24"/>
          <w:szCs w:val="24"/>
        </w:rPr>
        <w:t>除</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文件中另有规定外，</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响应书所使用的度量衡均须采用法定计量单位。</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7.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响应书构成</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7.1 </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响应书应包括本</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文件规定的全部内容。</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必须对其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响应书的真实性与准确性负责。</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一旦成为成交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响应书将作为合同的重要组成部分。</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7.3</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不得擅自对</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文件的格式、条款和技术要求进行修改。否则，其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时有可能被认为是未对</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文件做出实质性的响应而中止对其作进一步的评审。</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响应报价</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8.1</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响应报价应清楚地标明</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拟提供服务的名称、单报价。只允许有一个方案、一个报价，多方案、多报价的磋商响应将不被接受。</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报价表上的价格是验收价格，其总价即为履行合同的固定价格。</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8.3</w:t>
      </w:r>
      <w:r>
        <w:rPr>
          <w:rFonts w:hint="eastAsia" w:asciiTheme="minorEastAsia" w:hAnsiTheme="minorEastAsia" w:eastAsiaTheme="minorEastAsia" w:cstheme="minorEastAsia"/>
          <w:sz w:val="24"/>
          <w:szCs w:val="24"/>
        </w:rPr>
        <w:t>　技术要求中规定的服务、售后服务（质保期内）等一切费用应包括在报价中（本</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文件中有特殊规定的除外）。</w:t>
      </w:r>
    </w:p>
    <w:p>
      <w:pPr>
        <w:snapToGrid w:val="0"/>
        <w:spacing w:line="360" w:lineRule="auto"/>
        <w:ind w:firstLine="482"/>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24"/>
          <w:szCs w:val="24"/>
        </w:rPr>
        <w:t>8.4</w:t>
      </w:r>
      <w:r>
        <w:rPr>
          <w:rFonts w:hint="eastAsia" w:asciiTheme="minorEastAsia" w:hAnsiTheme="minorEastAsia" w:eastAsiaTheme="minorEastAsia" w:cstheme="minorEastAsia"/>
          <w:sz w:val="24"/>
          <w:szCs w:val="24"/>
        </w:rPr>
        <w:t>投标人的投标报价，应是完成招标项目招标合同条款上全部费用，包括：垃圾清运费、税金、风险费、招标代理费等所有费用。</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8.5</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响应货币：</w:t>
      </w:r>
      <w:r>
        <w:rPr>
          <w:rFonts w:hint="eastAsia" w:asciiTheme="minorEastAsia" w:hAnsiTheme="minorEastAsia" w:eastAsiaTheme="minorEastAsia" w:cstheme="minorEastAsia"/>
          <w:b/>
          <w:sz w:val="24"/>
          <w:szCs w:val="24"/>
          <w:lang w:eastAsia="zh-CN"/>
        </w:rPr>
        <w:t>（如有）</w:t>
      </w:r>
      <w:r>
        <w:rPr>
          <w:rFonts w:hint="eastAsia" w:asciiTheme="minorEastAsia" w:hAnsiTheme="minorEastAsia" w:eastAsiaTheme="minorEastAsia" w:cstheme="minorEastAsia"/>
          <w:sz w:val="24"/>
          <w:szCs w:val="24"/>
        </w:rPr>
        <w:t>须以人民币报价。</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9．证明</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合格的资格文件</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在其磋商响应书中，应包括证明其有资格参加磋商和成交后有能力履行合同的资质证明文件。</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必须具有履行合同所必需的能力。</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响应保证金（见</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须知前附表）。</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响应书份数和签署</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11.1 </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应准备</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须知前附表规定份数的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响应书。每份</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响应书须清楚地标明“正本”或“副本”字样，正本与副本必须一致；若正本与副本不一致，以正本为准。</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响应书的正本和所有的副本均需打印，由</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的法定代表人或其授权代表正确签署。授权代表须将以书面形式出具的“法定代表人授权证书”附在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响应书上。</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11.3</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响应书不得行间插字、涂改或增删。如有修改错漏处，必须由</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的法定代表人或其授权代表签字或盖章。</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响应书的密封和标记</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应将磋商响应书的正本和副本一起用包装袋封装好。封装应该严密、不易破损。封口处应盖有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公章或授权代表签字。</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响应书包装袋上必须清楚写明项目的名称、项目编号、</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全称。</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12．3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响应书不得活页装订，否则响应无效。</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响应书的递交</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响应书超过时间递交的将被拒绝。</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响应书有下列情形之一的，采购人将不予受理：</w:t>
      </w:r>
    </w:p>
    <w:p>
      <w:pPr>
        <w:snapToGrid w:val="0"/>
        <w:spacing w:line="360" w:lineRule="auto"/>
        <w:ind w:firstLine="4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13.1</w:t>
      </w:r>
      <w:r>
        <w:rPr>
          <w:rFonts w:hint="eastAsia" w:asciiTheme="minorEastAsia" w:hAnsiTheme="minorEastAsia" w:eastAsiaTheme="minorEastAsia" w:cstheme="minorEastAsia"/>
          <w:sz w:val="24"/>
          <w:szCs w:val="24"/>
        </w:rPr>
        <w:t>逾期送达的或者未送达指定地点的；</w:t>
      </w:r>
    </w:p>
    <w:p>
      <w:pPr>
        <w:snapToGrid w:val="0"/>
        <w:spacing w:line="360" w:lineRule="auto"/>
        <w:ind w:firstLine="477"/>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13.2</w:t>
      </w:r>
      <w:r>
        <w:rPr>
          <w:rFonts w:hint="eastAsia" w:asciiTheme="minorEastAsia" w:hAnsiTheme="minorEastAsia" w:eastAsiaTheme="minorEastAsia" w:cstheme="minorEastAsia"/>
          <w:sz w:val="24"/>
          <w:szCs w:val="24"/>
        </w:rPr>
        <w:t>未按</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文件要求包装、密封和标记的。</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14．</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响应书的修改和撤回</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递交</w:t>
      </w:r>
      <w:r>
        <w:rPr>
          <w:rFonts w:hint="eastAsia" w:asciiTheme="minorEastAsia" w:hAnsiTheme="minorEastAsia" w:eastAsiaTheme="minorEastAsia" w:cstheme="minorEastAsia"/>
          <w:sz w:val="24"/>
          <w:szCs w:val="24"/>
          <w:lang w:eastAsia="zh-CN"/>
        </w:rPr>
        <w:t>投标文件</w:t>
      </w:r>
      <w:r>
        <w:rPr>
          <w:rFonts w:hint="eastAsia" w:asciiTheme="minorEastAsia" w:hAnsiTheme="minorEastAsia" w:eastAsiaTheme="minorEastAsia" w:cstheme="minorEastAsia"/>
          <w:sz w:val="24"/>
          <w:szCs w:val="24"/>
        </w:rPr>
        <w:t>后，可以在规定的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响应截止时间前修改或撤回其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响应书。但这种修改和撤回，必须以书面形式通知采购人。补充修改的内容与响应文件不一致的，以补充、修改的内容为准。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修改书或撤回通知书，应由法定代表人或其授权代表签署，并按规定进行密封、标记和提交。</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15．</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现场</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lang w:eastAsia="zh-CN"/>
        </w:rPr>
        <w:t>铜陵学院</w:t>
      </w:r>
      <w:r>
        <w:rPr>
          <w:rFonts w:hint="eastAsia" w:asciiTheme="minorEastAsia" w:hAnsiTheme="minorEastAsia" w:eastAsiaTheme="minorEastAsia" w:cstheme="minorEastAsia"/>
          <w:sz w:val="24"/>
          <w:szCs w:val="24"/>
        </w:rPr>
        <w:t>。</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16．评审</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16.1评审程序</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小组由采购人依法组建，成员人数为3人或以上单数。</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小组首先对</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的资格进行审查，资格审查不通过的，将不得进入</w:t>
      </w:r>
      <w:r>
        <w:rPr>
          <w:rFonts w:hint="eastAsia" w:asciiTheme="minorEastAsia" w:hAnsiTheme="minorEastAsia" w:eastAsiaTheme="minorEastAsia" w:cstheme="minorEastAsia"/>
          <w:sz w:val="24"/>
          <w:szCs w:val="24"/>
          <w:lang w:eastAsia="zh-CN"/>
        </w:rPr>
        <w:t>评审</w:t>
      </w:r>
      <w:r>
        <w:rPr>
          <w:rFonts w:hint="eastAsia" w:asciiTheme="minorEastAsia" w:hAnsiTheme="minorEastAsia" w:eastAsiaTheme="minorEastAsia" w:cstheme="minorEastAsia"/>
          <w:sz w:val="24"/>
          <w:szCs w:val="24"/>
        </w:rPr>
        <w:t>。</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小组对</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提交的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响应书及样品（如有）进行审查，为</w:t>
      </w:r>
      <w:r>
        <w:rPr>
          <w:rFonts w:hint="eastAsia" w:asciiTheme="minorEastAsia" w:hAnsiTheme="minorEastAsia" w:eastAsiaTheme="minorEastAsia" w:cstheme="minorEastAsia"/>
          <w:sz w:val="24"/>
          <w:szCs w:val="24"/>
          <w:lang w:eastAsia="zh-CN"/>
        </w:rPr>
        <w:t>评审</w:t>
      </w:r>
      <w:r>
        <w:rPr>
          <w:rFonts w:hint="eastAsia" w:asciiTheme="minorEastAsia" w:hAnsiTheme="minorEastAsia" w:eastAsiaTheme="minorEastAsia" w:cstheme="minorEastAsia"/>
          <w:sz w:val="24"/>
          <w:szCs w:val="24"/>
        </w:rPr>
        <w:t>做好准备工作。</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16.1.1 资格审查</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小组确定，以下情形的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属于无效响应：</w:t>
      </w:r>
    </w:p>
    <w:tbl>
      <w:tblPr>
        <w:tblStyle w:val="35"/>
        <w:tblW w:w="9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5"/>
        <w:gridCol w:w="1208"/>
        <w:gridCol w:w="4684"/>
        <w:gridCol w:w="3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序号</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合格条件</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投标资格合格条件标准</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6"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1</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比选响应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9"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p>
        </w:tc>
        <w:tc>
          <w:tcPr>
            <w:tcW w:w="1208"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4684"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3103"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提供营业执照或事业单位法人证书副本或其它相应证件扫描件（包含复印件或影印件）和投标函，并加盖投标单位公章装订在比选响应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val="0"/>
              <w:autoSpaceDE w:val="0"/>
              <w:autoSpaceDN w:val="0"/>
              <w:adjustRightInd w:val="0"/>
              <w:spacing w:before="132" w:line="24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至投标截止日，未被铜陵市公共资源交易监管部门记录的不良行为累计分值在 10 分（含）-15 分（不含），且最近一次不良行为记录公布日距开标日未超过 3 个月；</w:t>
            </w:r>
          </w:p>
          <w:p>
            <w:pPr>
              <w:widowControl w:val="0"/>
              <w:autoSpaceDE w:val="0"/>
              <w:autoSpaceDN w:val="0"/>
              <w:adjustRightInd w:val="0"/>
              <w:spacing w:before="132" w:line="24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至投标截止日，未被铜陵市公共资源交易监管部门记不良行为记录累计分值在 15 分（含）-20 分（不含），且最近一次不良行为记录公布日距开标日未超过 6 个月；</w:t>
            </w:r>
          </w:p>
          <w:p>
            <w:pPr>
              <w:widowControl w:val="0"/>
              <w:autoSpaceDE w:val="0"/>
              <w:autoSpaceDN w:val="0"/>
              <w:adjustRightInd w:val="0"/>
              <w:spacing w:before="132" w:line="24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至投标截止日，未被铜陵市公共资源交易监管部门记不良行为记录累计分值达 20 分（含）以上，且最近一次不良行为记录公布日距开标日未超过 12 个月。</w:t>
            </w:r>
          </w:p>
        </w:tc>
        <w:tc>
          <w:tcPr>
            <w:tcW w:w="3103"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val="0"/>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0"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4</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wordWrap w:val="0"/>
              <w:autoSpaceDE w:val="0"/>
              <w:autoSpaceDN w:val="0"/>
              <w:adjustRightInd w:val="0"/>
              <w:spacing w:line="3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（1）在招标文件规定的投标时间截止前未有效提交投标文件的；</w:t>
            </w:r>
          </w:p>
          <w:p>
            <w:pPr>
              <w:widowControl w:val="0"/>
              <w:wordWrap w:val="0"/>
              <w:autoSpaceDE w:val="0"/>
              <w:autoSpaceDN w:val="0"/>
              <w:adjustRightInd w:val="0"/>
              <w:spacing w:line="3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（2）投标文件符合招标文件密封、标记、递交等的相应要求；</w:t>
            </w:r>
          </w:p>
          <w:p>
            <w:pPr>
              <w:widowControl w:val="0"/>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5</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6</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质量标准要求、服务期响应、售后服务体系与维保等内容满足比选文件的实质性要求。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75"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（2）不满足招标文件第8、11.3、21条以及其它招标公告、招标文件列明的必须满足的要求的。</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执行比选文件要求</w:t>
            </w:r>
          </w:p>
        </w:tc>
      </w:tr>
    </w:tbl>
    <w:p>
      <w:pPr>
        <w:snapToGrid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16.1.2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响应书及样品（如有）</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开始前，</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小组将认真审查</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提交的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响应书，了解其与</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文件要求是否有偏离，并对照本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文件规定评判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是否合格。审查完</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响应书后，对合格</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提供的样品(如有)进行检验。</w:t>
      </w:r>
    </w:p>
    <w:p>
      <w:pPr>
        <w:snapToGrid w:val="0"/>
        <w:spacing w:line="360" w:lineRule="auto"/>
        <w:ind w:firstLine="482"/>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 xml:space="preserve">16.1.3 </w:t>
      </w:r>
      <w:r>
        <w:rPr>
          <w:rFonts w:hint="eastAsia" w:asciiTheme="minorEastAsia" w:hAnsiTheme="minorEastAsia" w:eastAsiaTheme="minorEastAsia" w:cstheme="minorEastAsia"/>
          <w:b/>
          <w:sz w:val="24"/>
          <w:szCs w:val="24"/>
          <w:lang w:eastAsia="zh-CN"/>
        </w:rPr>
        <w:t>评标</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1、在掌握了</w:t>
      </w:r>
      <w:r>
        <w:rPr>
          <w:rFonts w:hint="eastAsia" w:asciiTheme="minorEastAsia" w:hAnsiTheme="minorEastAsia" w:eastAsiaTheme="minorEastAsia" w:cstheme="minorEastAsia"/>
          <w:sz w:val="24"/>
          <w:szCs w:val="24"/>
          <w:lang w:eastAsia="zh-CN"/>
        </w:rPr>
        <w:t>投标人投标</w:t>
      </w:r>
      <w:r>
        <w:rPr>
          <w:rFonts w:hint="eastAsia" w:asciiTheme="minorEastAsia" w:hAnsiTheme="minorEastAsia" w:eastAsiaTheme="minorEastAsia" w:cstheme="minorEastAsia"/>
          <w:sz w:val="24"/>
          <w:szCs w:val="24"/>
        </w:rPr>
        <w:t>响应书及样品的基本情况后，</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小组将与</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分别进行</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过程中，</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小组可以根据</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文件和</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情况实质性变动采购需求中的技术、服务要求以及合同草案条款，实质性变动内容是</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文件的有效组成部分。实质性变动的内容，经采购人代表确认。</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16.1.4 报价</w:t>
      </w:r>
    </w:p>
    <w:p>
      <w:pPr>
        <w:numPr>
          <w:ilvl w:val="0"/>
          <w:numId w:val="0"/>
        </w:num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响应报价超过项目预算控制数或不按规定格式进行报价的属于无效响应。报价表应按要求填写并装订入响应文件内。</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16.1.5成交候选人</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小组应当根据综合评分情况，按照评审得分由高到低顺序推荐</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名成交候选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，并编写评审报告。评审得分相同的，按照最后报价由低到高的顺序推荐。</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17. 经</w:t>
      </w:r>
      <w:r>
        <w:rPr>
          <w:rFonts w:hint="eastAsia" w:asciiTheme="minorEastAsia" w:hAnsiTheme="minorEastAsia" w:eastAsiaTheme="minorEastAsia" w:cstheme="minorEastAsia"/>
          <w:b/>
          <w:sz w:val="24"/>
          <w:szCs w:val="24"/>
          <w:lang w:eastAsia="zh-CN"/>
        </w:rPr>
        <w:t>评标</w:t>
      </w:r>
      <w:r>
        <w:rPr>
          <w:rFonts w:hint="eastAsia" w:asciiTheme="minorEastAsia" w:hAnsiTheme="minorEastAsia" w:eastAsiaTheme="minorEastAsia" w:cstheme="minorEastAsia"/>
          <w:b/>
          <w:sz w:val="24"/>
          <w:szCs w:val="24"/>
        </w:rPr>
        <w:t>小组确定，有以下情形的</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视为不合格</w:t>
      </w:r>
      <w:bookmarkStart w:id="11" w:name="_GoBack"/>
      <w:bookmarkEnd w:id="11"/>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，其</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响应将被否决：</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1）不符合招标公告规定的（证明材料：复印件加盖公章）；</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响应书未加盖单位印章和法定代表人（或授权委托人）签章（签字）的；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3）所提供的货物/服务/工程清单缺少的；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4）关键性商务、技术参数以及相关要求不能得到真正满足的；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5）样品不符合要求的（如有）；</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报价超过项目预算控制数或不按规定格式进行报价的属于无效报价。</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7）其它不满足本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文件要求和法定应当否决的情形。</w:t>
      </w:r>
    </w:p>
    <w:p>
      <w:pPr>
        <w:snapToGrid w:val="0"/>
        <w:spacing w:line="360" w:lineRule="auto"/>
        <w:jc w:val="center"/>
        <w:rPr>
          <w:rFonts w:hint="eastAsia" w:asciiTheme="minorEastAsia" w:hAnsiTheme="minorEastAsia" w:eastAsiaTheme="minorEastAsia" w:cstheme="minorEastAsia"/>
          <w:b/>
          <w:sz w:val="30"/>
          <w:szCs w:val="30"/>
        </w:rPr>
      </w:pPr>
    </w:p>
    <w:p>
      <w:pPr>
        <w:snapToGrid w:val="0"/>
        <w:spacing w:line="360" w:lineRule="auto"/>
        <w:jc w:val="center"/>
        <w:rPr>
          <w:rFonts w:hint="eastAsia" w:asciiTheme="minorEastAsia" w:hAnsiTheme="minorEastAsia" w:eastAsiaTheme="minorEastAsia" w:cstheme="minorEastAsia"/>
          <w:b/>
          <w:sz w:val="30"/>
          <w:szCs w:val="30"/>
        </w:rPr>
      </w:pPr>
    </w:p>
    <w:p>
      <w:pPr>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（五）</w:t>
      </w:r>
      <w:r>
        <w:rPr>
          <w:rFonts w:hint="eastAsia" w:asciiTheme="minorEastAsia" w:hAnsiTheme="minorEastAsia" w:eastAsiaTheme="minorEastAsia" w:cstheme="minorEastAsia"/>
          <w:b/>
          <w:sz w:val="30"/>
          <w:szCs w:val="30"/>
          <w:lang w:eastAsia="zh-CN"/>
        </w:rPr>
        <w:t>采购</w:t>
      </w:r>
      <w:r>
        <w:rPr>
          <w:rFonts w:hint="eastAsia" w:asciiTheme="minorEastAsia" w:hAnsiTheme="minorEastAsia" w:eastAsiaTheme="minorEastAsia" w:cstheme="minorEastAsia"/>
          <w:b/>
          <w:sz w:val="30"/>
          <w:szCs w:val="30"/>
        </w:rPr>
        <w:t>办法</w:t>
      </w:r>
    </w:p>
    <w:p>
      <w:pPr>
        <w:pStyle w:val="3"/>
        <w:tabs>
          <w:tab w:val="left" w:pos="432"/>
        </w:tabs>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综合评分部分（满分100分）</w:t>
      </w:r>
      <w:bookmarkStart w:id="3" w:name="_Toc383776348"/>
    </w:p>
    <w:p>
      <w:pPr>
        <w:pStyle w:val="3"/>
        <w:tabs>
          <w:tab w:val="left" w:pos="432"/>
        </w:tabs>
        <w:spacing w:line="360" w:lineRule="auto"/>
        <w:ind w:firstLine="480" w:firstLineChars="20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本项目综合评分满分为100分，其中：技术资信分值占总分值的权重为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价格分值占总分值的权重为</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%。具体评分细则如下：</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20" w:firstLineChars="0"/>
        <w:textAlignment w:val="auto"/>
        <w:outlineLvl w:val="0"/>
        <w:rPr>
          <w:rFonts w:hint="eastAsia" w:asciiTheme="minorEastAsia" w:hAnsiTheme="minorEastAsia" w:eastAsiaTheme="minorEastAsia" w:cstheme="minorEastAsia"/>
          <w:b/>
          <w:bCs/>
          <w:kern w:val="0"/>
          <w:sz w:val="30"/>
          <w:szCs w:val="30"/>
          <w:lang w:val="en-US" w:eastAsia="zh-CN" w:bidi="ar-SA"/>
        </w:rPr>
      </w:pPr>
      <w:r>
        <w:rPr>
          <w:rFonts w:hint="eastAsia" w:asciiTheme="minorEastAsia" w:hAnsiTheme="minorEastAsia" w:eastAsiaTheme="minorEastAsia" w:cstheme="minorEastAsia"/>
          <w:b/>
          <w:bCs/>
          <w:sz w:val="21"/>
          <w:szCs w:val="21"/>
          <w:lang w:val="en-US" w:eastAsia="zh-CN"/>
        </w:rPr>
        <w:t>评分标准</w:t>
      </w:r>
    </w:p>
    <w:tbl>
      <w:tblPr>
        <w:tblStyle w:val="35"/>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276"/>
        <w:gridCol w:w="5616"/>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类别</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评分内容</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评分标准</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技术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资信分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w:t>
            </w:r>
            <w:r>
              <w:rPr>
                <w:rFonts w:hint="eastAsia" w:asciiTheme="minorEastAsia" w:hAnsiTheme="minorEastAsia" w:eastAsiaTheme="minorEastAsia" w:cstheme="minorEastAsia"/>
                <w:b/>
                <w:bCs/>
                <w:kern w:val="2"/>
                <w:sz w:val="21"/>
                <w:szCs w:val="21"/>
                <w:lang w:val="en-US" w:eastAsia="zh-CN"/>
              </w:rPr>
              <w:t>7</w:t>
            </w:r>
            <w:r>
              <w:rPr>
                <w:rFonts w:hint="eastAsia" w:asciiTheme="minorEastAsia" w:hAnsiTheme="minorEastAsia" w:eastAsiaTheme="minorEastAsia" w:cstheme="minorEastAsia"/>
                <w:b/>
                <w:bCs/>
                <w:kern w:val="2"/>
                <w:sz w:val="21"/>
                <w:szCs w:val="21"/>
              </w:rPr>
              <w:t>0分）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rPr>
            </w:pPr>
            <w:r>
              <w:rPr>
                <w:rFonts w:hint="eastAsia" w:asciiTheme="minorEastAsia" w:hAnsiTheme="minorEastAsia" w:eastAsiaTheme="minorEastAsia" w:cstheme="minorEastAsia"/>
                <w:color w:val="000000"/>
                <w:kern w:val="2"/>
                <w:sz w:val="21"/>
                <w:szCs w:val="21"/>
                <w:lang w:val="en-US" w:eastAsia="zh-CN"/>
              </w:rPr>
              <w:t>舆情监测服务方案</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根据投标人针对本项目提供的舆情监测方案（内容包括但不限于搭建舆情监测系统、提供监测技术支持、监测数据支撑、舆情预警信息等），根据投标人对采购人项目现状和需求是否有充分的理解和把握，对服务目标是否有清晰的描述和全面的解决方案。是否具备满足全省舆情分析使用特征、平台运行性能、可管理性，综合评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1）对需求和现状有充分理解，解决方案全面，平台功能完善，满足舆情分析使用得8-10分；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2）对需求理解较充分，方案较详细，得4-7分；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3）服务方案一般，缺少部分服务内容的得1-3分；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4）差或未提供的不得分。</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0-1</w:t>
            </w:r>
            <w:r>
              <w:rPr>
                <w:rFonts w:hint="eastAsia" w:asciiTheme="minorEastAsia" w:hAnsiTheme="minorEastAsia" w:eastAsiaTheme="minorEastAsia" w:cstheme="minorEastAsia"/>
                <w:bCs/>
                <w:kern w:val="2"/>
                <w:sz w:val="21"/>
                <w:szCs w:val="21"/>
                <w:lang w:val="en-US" w:eastAsia="zh-CN"/>
              </w:rPr>
              <w:t>0</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rPr>
            </w:pPr>
            <w:r>
              <w:rPr>
                <w:rFonts w:hint="eastAsia" w:asciiTheme="minorEastAsia" w:hAnsiTheme="minorEastAsia" w:eastAsiaTheme="minorEastAsia" w:cstheme="minorEastAsia"/>
                <w:color w:val="000000"/>
                <w:kern w:val="2"/>
                <w:sz w:val="21"/>
                <w:szCs w:val="21"/>
                <w:lang w:val="en-US" w:eastAsia="zh-CN"/>
              </w:rPr>
              <w:t>舆情报告服务方案</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投标人提供舆情报告服务（报告类型包括月报、年报服务），人工报告要求分析准确，切中要点，言简意赅。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响应文件提供以往舆情报告样例，综合评分：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1）服务方案完全满足要求得4-5分；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2）服务方案及人员配备基本满足的得2-3分；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3）服务方案一般，缺少部分服务内容的得1分；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kern w:val="2"/>
                <w:sz w:val="21"/>
                <w:szCs w:val="21"/>
                <w:lang w:val="en-US" w:eastAsia="zh-CN" w:bidi="zh-CN"/>
              </w:rPr>
            </w:pPr>
            <w:r>
              <w:rPr>
                <w:rFonts w:hint="eastAsia" w:asciiTheme="minorEastAsia" w:hAnsiTheme="minorEastAsia" w:eastAsiaTheme="minorEastAsia" w:cstheme="minorEastAsia"/>
                <w:color w:val="000000"/>
                <w:kern w:val="2"/>
                <w:sz w:val="21"/>
                <w:szCs w:val="21"/>
                <w:lang w:val="en-US" w:eastAsia="zh-CN"/>
              </w:rPr>
              <w:t>4）差或未提供的不得分。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2、投标人参与报送的舆情服务报告被省级以上宣传部评为“优秀稿件”荣誉证书的，得5分，</w:t>
            </w:r>
            <w:r>
              <w:rPr>
                <w:rFonts w:hint="eastAsia" w:asciiTheme="minorEastAsia" w:hAnsiTheme="minorEastAsia" w:eastAsiaTheme="minorEastAsia" w:cstheme="minorEastAsia"/>
                <w:b/>
                <w:bCs/>
                <w:color w:val="000000"/>
                <w:kern w:val="2"/>
                <w:sz w:val="21"/>
                <w:szCs w:val="21"/>
                <w:lang w:val="en-US" w:eastAsia="zh-CN"/>
              </w:rPr>
              <w:t>响应文件中须提供证书扫描件，未提供不得分。</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w:t>
            </w:r>
            <w:r>
              <w:rPr>
                <w:rFonts w:hint="eastAsia" w:asciiTheme="minorEastAsia" w:hAnsiTheme="minorEastAsia" w:eastAsiaTheme="minorEastAsia" w:cstheme="minorEastAsia"/>
                <w:bCs/>
                <w:kern w:val="2"/>
                <w:sz w:val="21"/>
                <w:szCs w:val="21"/>
                <w:lang w:val="en-US" w:eastAsia="zh-CN"/>
              </w:rPr>
              <w:t>10</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2" w:hRule="atLeast"/>
          <w:jc w:val="center"/>
        </w:trPr>
        <w:tc>
          <w:tcPr>
            <w:tcW w:w="129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危机应对、内容审校、培训服务方案</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1、根据投标人针对突发事件，能够配合采购人处理负面舆情并提供相关舆情处置方案，从完整性、合理性、科学性等方面进行横向评议，综合评分：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1）服务方案全面、清晰的得4-5分；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2）服务方案较详细，得2-3分；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3）服务方案一般，缺少部分内容的得1分；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4）差或未提供的不得分。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2、根据投标人针对内容审校服务的理解和定位，服务方案与采购需求的响应程度，综合评分：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1）服务方案全面、清晰的得4-5分；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2）服务方案较详细，得2-3分；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3）服务方案一般，缺少部分内容的得1分；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4）差或未提供的不得分。</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w:t>
            </w:r>
            <w:r>
              <w:rPr>
                <w:rFonts w:hint="eastAsia" w:asciiTheme="minorEastAsia" w:hAnsiTheme="minorEastAsia" w:eastAsiaTheme="minorEastAsia" w:cstheme="minorEastAsia"/>
                <w:bCs/>
                <w:kern w:val="2"/>
                <w:sz w:val="21"/>
                <w:szCs w:val="21"/>
                <w:lang w:val="en-US" w:eastAsia="zh-CN"/>
              </w:rPr>
              <w:t>10</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29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服务团队</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1、根据投标人的服务团队人员名单数量及投入服务团队的综合素质，综合评分：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1）服务团队人员充足，人员综合能力高，方案详细可行的，得4-5分；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2）人员综合能力尚可，方案较详细，得2-3分；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3）人员综合能力及方案有待完善，得1分；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4）方案差或未提供方案的，不得分。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2、拟派项目负责人具有PMP项目管理师证书得2分；具有注册信息安全工程师得2分；具有信息安全保障人员认证证书得2分，本小项满分得6分，</w:t>
            </w:r>
            <w:r>
              <w:rPr>
                <w:rFonts w:hint="eastAsia" w:asciiTheme="minorEastAsia" w:hAnsiTheme="minorEastAsia" w:eastAsiaTheme="minorEastAsia" w:cstheme="minorEastAsia"/>
                <w:b/>
                <w:bCs/>
                <w:color w:val="000000"/>
                <w:kern w:val="2"/>
                <w:sz w:val="21"/>
                <w:szCs w:val="21"/>
                <w:lang w:val="en-US" w:eastAsia="zh-CN"/>
              </w:rPr>
              <w:t>响应文件中须提供有效的证书扫描件。</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b/>
                <w:bCs/>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3、拟派舆情分析负责人具有工业和信息化部NITS信息技术舆情信息分级高级测评证书的得2分；具有省级宣传部门颁发的“优秀个人”荣誉证书的得2分，本小项满分4分，</w:t>
            </w:r>
            <w:r>
              <w:rPr>
                <w:rFonts w:hint="eastAsia" w:asciiTheme="minorEastAsia" w:hAnsiTheme="minorEastAsia" w:eastAsiaTheme="minorEastAsia" w:cstheme="minorEastAsia"/>
                <w:b/>
                <w:bCs/>
                <w:color w:val="000000"/>
                <w:kern w:val="2"/>
                <w:sz w:val="21"/>
                <w:szCs w:val="21"/>
                <w:lang w:val="en-US" w:eastAsia="zh-CN"/>
              </w:rPr>
              <w:t>响应文件中须提供有效的证书扫描件。</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b/>
                <w:bCs/>
                <w:color w:val="000000"/>
                <w:kern w:val="2"/>
                <w:sz w:val="21"/>
                <w:szCs w:val="21"/>
                <w:lang w:val="en-US" w:eastAsia="zh-CN"/>
              </w:rPr>
              <w:t>注：响应文件中须提供服务团队人员配备表（包含人员姓名、岗位、资质证书）及投标人为其缴纳的近三个月的社保凭证。</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w:t>
            </w:r>
            <w:r>
              <w:rPr>
                <w:rFonts w:hint="eastAsia" w:asciiTheme="minorEastAsia" w:hAnsiTheme="minorEastAsia" w:eastAsiaTheme="minorEastAsia" w:cstheme="minorEastAsia"/>
                <w:bCs/>
                <w:kern w:val="2"/>
                <w:sz w:val="21"/>
                <w:szCs w:val="21"/>
                <w:lang w:val="en-US" w:eastAsia="zh-CN"/>
              </w:rPr>
              <w:t>15</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jc w:val="center"/>
        </w:trPr>
        <w:tc>
          <w:tcPr>
            <w:tcW w:w="129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投标人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资质</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1、为保障系统稳定不间断运行，投标人具有ITSS信息技术服务运行维护标准符合性证书的得3分；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2、为保证用户单位网络舆情信息保密以及信息安全，投标人具有涉密信息系统集成证书的得3分；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3、投标人具有质量管理体系认证证书、信息技术服务管理体系认证证书、信息安全管理体系认证证书，每提供一个得3分，满分9分。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b/>
                <w:bCs/>
                <w:color w:val="000000"/>
                <w:kern w:val="2"/>
                <w:sz w:val="21"/>
                <w:szCs w:val="21"/>
                <w:lang w:val="en-US" w:eastAsia="zh-CN"/>
              </w:rPr>
              <w:t>注：响应文件须提供有效证书扫描件。</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w:t>
            </w:r>
            <w:r>
              <w:rPr>
                <w:rFonts w:hint="eastAsia" w:asciiTheme="minorEastAsia" w:hAnsiTheme="minorEastAsia" w:eastAsiaTheme="minorEastAsia" w:cstheme="minorEastAsia"/>
                <w:bCs/>
                <w:kern w:val="2"/>
                <w:sz w:val="21"/>
                <w:szCs w:val="21"/>
                <w:lang w:val="en-US" w:eastAsia="zh-CN"/>
              </w:rPr>
              <w:t>15</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129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类似业绩</w:t>
            </w:r>
          </w:p>
        </w:tc>
        <w:tc>
          <w:tcPr>
            <w:tcW w:w="5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自2020年1月1日以来（以合同签订时间为准，含正在履约的业绩），具有政府机构、高校教育舆情监测和智能审校服务业绩的，每提供一个得1分，满分5分。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color w:val="000000"/>
                <w:kern w:val="2"/>
                <w:sz w:val="21"/>
                <w:szCs w:val="21"/>
                <w:lang w:val="en-US" w:eastAsia="zh-CN"/>
              </w:rPr>
              <w:t>自2020年1月1日以来投标人提供的舆情监测服务获得省级及以上政府机构、企事业单位的用户满意评价，每提供一个得1分，满分5分。</w:t>
            </w:r>
          </w:p>
          <w:p>
            <w:pPr>
              <w:keepNext w:val="0"/>
              <w:keepLines w:val="0"/>
              <w:pageBreakBefore w:val="0"/>
              <w:widowControl w:val="0"/>
              <w:kinsoku/>
              <w:wordWrap/>
              <w:overflowPunct/>
              <w:topLinePunct w:val="0"/>
              <w:autoSpaceDE/>
              <w:autoSpaceDN/>
              <w:bidi w:val="0"/>
              <w:adjustRightInd/>
              <w:snapToGrid/>
              <w:spacing w:line="240" w:lineRule="auto"/>
              <w:ind w:left="34"/>
              <w:textAlignment w:val="auto"/>
              <w:rPr>
                <w:rFonts w:hint="eastAsia" w:asciiTheme="minorEastAsia" w:hAnsiTheme="minorEastAsia" w:eastAsiaTheme="minorEastAsia" w:cstheme="minorEastAsia"/>
                <w:color w:val="000000"/>
                <w:kern w:val="2"/>
                <w:sz w:val="21"/>
                <w:szCs w:val="21"/>
                <w:lang w:val="en-US" w:eastAsia="zh-CN"/>
              </w:rPr>
            </w:pPr>
            <w:r>
              <w:rPr>
                <w:rFonts w:hint="eastAsia" w:asciiTheme="minorEastAsia" w:hAnsiTheme="minorEastAsia" w:eastAsiaTheme="minorEastAsia" w:cstheme="minorEastAsia"/>
                <w:b/>
                <w:bCs/>
                <w:color w:val="000000"/>
                <w:kern w:val="2"/>
                <w:sz w:val="21"/>
                <w:szCs w:val="21"/>
                <w:lang w:val="en-US" w:eastAsia="zh-CN"/>
              </w:rPr>
              <w:t>注：响应文件中须提供业绩合同扫描件或复印件，如合同中无法体现时间或项目内容的，须另附业主盖章的相关证明文件。</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0-</w:t>
            </w:r>
            <w:r>
              <w:rPr>
                <w:rFonts w:hint="eastAsia" w:asciiTheme="minorEastAsia" w:hAnsiTheme="minorEastAsia" w:eastAsiaTheme="minorEastAsia" w:cstheme="minorEastAsia"/>
                <w:bCs/>
                <w:kern w:val="2"/>
                <w:sz w:val="21"/>
                <w:szCs w:val="21"/>
                <w:lang w:val="en-US" w:eastAsia="zh-CN"/>
              </w:rPr>
              <w:t>10</w:t>
            </w:r>
            <w:r>
              <w:rPr>
                <w:rFonts w:hint="eastAsia" w:asciiTheme="minorEastAsia" w:hAnsiTheme="minorEastAsia" w:eastAsiaTheme="minorEastAsia" w:cstheme="minorEastAsia"/>
                <w:bCs/>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价格分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1"/>
                <w:szCs w:val="21"/>
              </w:rPr>
            </w:pPr>
            <w:r>
              <w:rPr>
                <w:rFonts w:hint="eastAsia" w:asciiTheme="minorEastAsia" w:hAnsiTheme="minorEastAsia" w:eastAsiaTheme="minorEastAsia" w:cstheme="minorEastAsia"/>
                <w:b/>
                <w:bCs/>
                <w:kern w:val="2"/>
                <w:sz w:val="21"/>
                <w:szCs w:val="21"/>
              </w:rPr>
              <w:t>（</w:t>
            </w:r>
            <w:r>
              <w:rPr>
                <w:rFonts w:hint="eastAsia" w:asciiTheme="minorEastAsia" w:hAnsiTheme="minorEastAsia" w:eastAsiaTheme="minorEastAsia" w:cstheme="minorEastAsia"/>
                <w:b/>
                <w:bCs/>
                <w:kern w:val="2"/>
                <w:sz w:val="21"/>
                <w:szCs w:val="21"/>
                <w:lang w:val="en-US" w:eastAsia="zh-CN"/>
              </w:rPr>
              <w:t>30</w:t>
            </w:r>
            <w:r>
              <w:rPr>
                <w:rFonts w:hint="eastAsia" w:asciiTheme="minorEastAsia" w:hAnsiTheme="minorEastAsia" w:eastAsiaTheme="minorEastAsia" w:cstheme="minorEastAsia"/>
                <w:b/>
                <w:bCs/>
                <w:kern w:val="2"/>
                <w:sz w:val="21"/>
                <w:szCs w:val="21"/>
              </w:rPr>
              <w:t xml:space="preserve"> 分）</w:t>
            </w:r>
          </w:p>
        </w:tc>
        <w:tc>
          <w:tcPr>
            <w:tcW w:w="802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评标基准价：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评标基准价为各有效报价的算术平均值。</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二、得分计算方法：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1、有效投标报价等于评标基准价的，得满分30 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2、有效投标报价比评标基准价每高1%扣减 1分，不足 1%的按直线插入法等比例计算得分，最多扣 10 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kern w:val="2"/>
                <w:sz w:val="21"/>
                <w:szCs w:val="21"/>
                <w:lang w:val="en-US" w:eastAsia="zh-CN" w:bidi="ar-SA"/>
              </w:rPr>
            </w:pPr>
            <w:r>
              <w:rPr>
                <w:rFonts w:hint="eastAsia" w:asciiTheme="minorEastAsia" w:hAnsiTheme="minorEastAsia" w:eastAsiaTheme="minorEastAsia" w:cstheme="minorEastAsia"/>
                <w:bCs/>
                <w:color w:val="000000"/>
                <w:kern w:val="2"/>
                <w:sz w:val="21"/>
                <w:szCs w:val="21"/>
                <w:lang w:val="en-US" w:eastAsia="zh-CN" w:bidi="ar-SA"/>
              </w:rPr>
              <w:t>3、当有效投标报价比评标基准价每低 1%扣减0.5 分，不足 1%的按直线插入法等比例计算得分，最多扣 10 分。</w:t>
            </w:r>
          </w:p>
        </w:tc>
      </w:tr>
    </w:tbl>
    <w:p>
      <w:pPr>
        <w:spacing w:line="360" w:lineRule="auto"/>
        <w:ind w:firstLine="482"/>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备注：1、上述要求中涉及到的各种证书、报告及证明文件等材料均须将复印件附在标书内；</w:t>
      </w:r>
    </w:p>
    <w:p>
      <w:pPr>
        <w:pStyle w:val="2"/>
        <w:spacing w:line="360" w:lineRule="auto"/>
        <w:ind w:firstLine="964" w:firstLineChars="400"/>
        <w:rPr>
          <w:rFonts w:hint="eastAsia" w:asciiTheme="minorEastAsia" w:hAnsiTheme="minorEastAsia" w:eastAsiaTheme="minorEastAsia" w:cstheme="minorEastAsia"/>
          <w:b/>
        </w:rPr>
      </w:pPr>
      <w:r>
        <w:rPr>
          <w:rFonts w:hint="eastAsia" w:asciiTheme="minorEastAsia" w:hAnsiTheme="minorEastAsia" w:eastAsiaTheme="minorEastAsia" w:cstheme="minorEastAsia"/>
          <w:b/>
          <w:color w:val="000000"/>
        </w:rPr>
        <w:t>2、未提供复印件的、提供的资料与评分项内规定的名称或内容不一致的均按未提供处理；</w:t>
      </w:r>
    </w:p>
    <w:p>
      <w:pPr>
        <w:snapToGrid w:val="0"/>
        <w:spacing w:line="360" w:lineRule="auto"/>
        <w:rPr>
          <w:rFonts w:hint="eastAsia" w:asciiTheme="minorEastAsia" w:hAnsiTheme="minorEastAsia" w:eastAsiaTheme="minorEastAsia" w:cstheme="minorEastAsia"/>
          <w:b/>
          <w:sz w:val="30"/>
          <w:szCs w:val="30"/>
        </w:rPr>
      </w:pPr>
    </w:p>
    <w:p>
      <w:pPr>
        <w:snapToGrid w:val="0"/>
        <w:spacing w:line="360" w:lineRule="auto"/>
        <w:ind w:firstLine="1807"/>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（六）合同的签订、履行及验收</w:t>
      </w:r>
      <w:bookmarkEnd w:id="3"/>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20．合同的签订、履行及验收</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20.1签订合同</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20.1.1成交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在收到《成交通知书》后，应在磋商文件规定的时间内与采购人签订合同。由于成交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的原因逾期未签订合同的，将视为放弃成交，取消其成交资格并将按相关规定进行处理。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20.1.2具体采购时，采购人不得向成交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提出任何不合理的要求，作为签订合同的条件，不得与成交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私下订立背离合同实质性内容的任何协议，所签订的合同不得对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文件和成交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磋商响应书作实质性修改</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20.2履行合同</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与采购人签订合同后，合同双方应严格执行合同条款，履行合同规定的义务，保证合同的顺利完成。</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20.2.2在合同履行过程中，如发生合同纠纷，合同双方应按照《合同法》的有关规定进行处理。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20.3验收：成交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交货时，由采购人依据合同组织验收。</w:t>
      </w:r>
    </w:p>
    <w:p>
      <w:pPr>
        <w:snapToGrid w:val="0"/>
        <w:spacing w:line="360" w:lineRule="auto"/>
        <w:ind w:firstLine="482"/>
        <w:jc w:val="center"/>
        <w:rPr>
          <w:rFonts w:hint="eastAsia" w:asciiTheme="minorEastAsia" w:hAnsiTheme="minorEastAsia" w:eastAsiaTheme="minorEastAsia" w:cstheme="minorEastAsia"/>
          <w:b/>
          <w:sz w:val="24"/>
          <w:szCs w:val="24"/>
        </w:rPr>
      </w:pPr>
      <w:bookmarkStart w:id="4" w:name="_Toc383776349"/>
    </w:p>
    <w:p>
      <w:pPr>
        <w:pStyle w:val="34"/>
        <w:rPr>
          <w:rFonts w:hint="eastAsia" w:asciiTheme="minorEastAsia" w:hAnsiTheme="minorEastAsia" w:eastAsiaTheme="minorEastAsia" w:cstheme="minorEastAsia"/>
        </w:rPr>
      </w:pPr>
    </w:p>
    <w:p>
      <w:pPr>
        <w:snapToGrid w:val="0"/>
        <w:spacing w:line="360" w:lineRule="auto"/>
        <w:rPr>
          <w:rFonts w:hint="eastAsia" w:asciiTheme="minorEastAsia" w:hAnsiTheme="minorEastAsia" w:eastAsiaTheme="minorEastAsia" w:cstheme="minorEastAsia"/>
          <w:b/>
          <w:sz w:val="30"/>
          <w:szCs w:val="30"/>
        </w:rPr>
      </w:pPr>
    </w:p>
    <w:p>
      <w:pPr>
        <w:snapToGrid w:val="0"/>
        <w:spacing w:line="360" w:lineRule="auto"/>
        <w:ind w:firstLine="602"/>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（七）质疑</w:t>
      </w:r>
      <w:bookmarkEnd w:id="4"/>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21．质疑</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对答复内容不满意的或受理单位未在规定时间内作出答复的，可在答复期满后十五个工作日内向相关行政部门提出投诉。</w:t>
      </w:r>
    </w:p>
    <w:p>
      <w:pPr>
        <w:snapToGrid w:val="0"/>
        <w:spacing w:line="360" w:lineRule="auto"/>
        <w:ind w:firstLine="480"/>
        <w:jc w:val="left"/>
        <w:rPr>
          <w:rFonts w:hint="eastAsia" w:asciiTheme="minorEastAsia" w:hAnsiTheme="minorEastAsia" w:eastAsiaTheme="minorEastAsia" w:cstheme="minorEastAsia"/>
          <w:b/>
          <w:sz w:val="30"/>
          <w:szCs w:val="30"/>
        </w:rPr>
        <w:sectPr>
          <w:pgSz w:w="11906" w:h="16838"/>
          <w:pgMar w:top="1440" w:right="1800" w:bottom="1440" w:left="180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铜陵学院舆情监测服务和网</w:t>
      </w:r>
      <w:r>
        <w:rPr>
          <w:rFonts w:hint="eastAsia" w:asciiTheme="minorEastAsia" w:hAnsiTheme="minorEastAsia" w:eastAsiaTheme="minorEastAsia" w:cstheme="minorEastAsia"/>
          <w:b/>
          <w:sz w:val="28"/>
          <w:szCs w:val="28"/>
          <w:lang w:val="en-US" w:eastAsia="zh-CN"/>
        </w:rPr>
        <w:t>络巡查</w:t>
      </w:r>
      <w:r>
        <w:rPr>
          <w:rFonts w:hint="eastAsia" w:asciiTheme="minorEastAsia" w:hAnsiTheme="minorEastAsia" w:eastAsiaTheme="minorEastAsia" w:cstheme="minorEastAsia"/>
          <w:b/>
          <w:sz w:val="28"/>
          <w:szCs w:val="28"/>
        </w:rPr>
        <w:t>服务项目</w:t>
      </w: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采购需求</w:t>
      </w:r>
    </w:p>
    <w:p>
      <w:pPr>
        <w:keepNext w:val="0"/>
        <w:keepLines w:val="0"/>
        <w:pageBreakBefore w:val="0"/>
        <w:numPr>
          <w:ilvl w:val="0"/>
          <w:numId w:val="5"/>
        </w:numPr>
        <w:kinsoku/>
        <w:wordWrap/>
        <w:overflowPunct/>
        <w:topLinePunct w:val="0"/>
        <w:autoSpaceDE/>
        <w:autoSpaceDN/>
        <w:bidi w:val="0"/>
        <w:adjustRightInd w:val="0"/>
        <w:snapToGrid w:val="0"/>
        <w:spacing w:line="520" w:lineRule="exact"/>
        <w:ind w:firstLine="482"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项目基本情况</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480" w:firstLineChars="20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rPr>
        <w:t>要求用以实现对全网涉校舆情的及时预警监测</w:t>
      </w:r>
      <w:r>
        <w:rPr>
          <w:rFonts w:hint="eastAsia" w:asciiTheme="minorEastAsia" w:hAnsiTheme="minorEastAsia" w:eastAsiaTheme="minorEastAsia" w:cstheme="minorEastAsia"/>
          <w:b w:val="0"/>
          <w:bCs/>
          <w:sz w:val="24"/>
          <w:szCs w:val="24"/>
          <w:lang w:val="en-US" w:eastAsia="zh-CN"/>
        </w:rPr>
        <w:t>和对学校网站群、新媒体平台合规性审查。</w:t>
      </w:r>
    </w:p>
    <w:p>
      <w:pPr>
        <w:keepNext w:val="0"/>
        <w:keepLines w:val="0"/>
        <w:pageBreakBefore w:val="0"/>
        <w:numPr>
          <w:ilvl w:val="0"/>
          <w:numId w:val="5"/>
        </w:numPr>
        <w:kinsoku/>
        <w:wordWrap/>
        <w:overflowPunct/>
        <w:topLinePunct w:val="0"/>
        <w:autoSpaceDE/>
        <w:autoSpaceDN/>
        <w:bidi w:val="0"/>
        <w:adjustRightInd w:val="0"/>
        <w:snapToGrid w:val="0"/>
        <w:spacing w:line="520" w:lineRule="exact"/>
        <w:ind w:firstLine="482"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技术方案或服务的内容、范围</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1.人工监测（7*24小时）与平台监测相结合的形式7×24小时全天候的监测、筛选、分析和数据统计，并以人工报送的方式发送到指定位置。需提供自主研发的舆情监测系统，且系统具备舆情大屏功能。</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2.监测范围包括网络媒体、垂直类网站、微博、微信、APP、贴吧、论坛、报刊、新闻评论、博客、短视频等（如小红书、抖音）主流媒体全面覆盖。</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3.发现涉及负面舆情、紧急事件类的信息，30分钟内发送预警短信传送给学校，便于快速了解情况，进行处置，并根据学校舆情工作需求提供相关舆情研判分析材料和同类高校相似案例分析。</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4.定时定量提供舆情分析报告，应当包括但不限于：舆情日报、周报、月报、季报、半年报、年报以及重大舆情事件专项分析报告。</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5.定期对重点舆情事件进行回顾、复盘、研判、分析，通过数据分析总结探索同类事件的规律，对负面舆情信息进行采集、汇总，对热度较高的重要舆情进行分析，提出针对性建议和工作总结报告。</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学校发生重大舆情时，应当做到：在2小时内报送专题分析报告，提供全天候舆情处置咨询服务；组织行业专家共同研判，对舆情引导、信息发布等工作环节给出建设性意见，并协助学校在重点媒体平台进行信息发布；提供负面舆情处置方案，为学校决策作参考；充分利用舆情公司现有资源，协助学校对部分热度高的帖子进行技术处理和跟帖引导，有效维护学校社会公信力和办学声誉。</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7.能够为学校提供意识形态领域风险防范、意识形态半年报、年报等相关数据统计、分析等材料。</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能够对铜陵学院网站群（包括校园网主页和各级各类二级网站、专题网站等）、学校各级各类新媒体平台（包括但不限于微信公众号、微博、抖音等）所有开放内容进行全天候24小时内容合规性审查服务，及时发现错误信息、表述不规范等内容，筛查原始问题数据。每年定期开展全平台内容合规性筛查。</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9.每年定期为学校网络舆情工作队伍开展工作培训。</w:t>
      </w:r>
    </w:p>
    <w:p>
      <w:pPr>
        <w:keepNext w:val="0"/>
        <w:keepLines w:val="0"/>
        <w:pageBreakBefore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10.为确保服务及时有效，投标人应拥有较强的技术队伍，能提供快速的服务响应，且有三年以上舆情监测经验的资深舆情分析师。</w:t>
      </w:r>
    </w:p>
    <w:p>
      <w:pPr>
        <w:bidi w:val="0"/>
        <w:rPr>
          <w:rFonts w:hint="eastAsia" w:asciiTheme="minorEastAsia" w:hAnsiTheme="minorEastAsia" w:eastAsiaTheme="minorEastAsia" w:cstheme="minorEastAsia"/>
        </w:rPr>
      </w:pPr>
    </w:p>
    <w:p>
      <w:pPr>
        <w:snapToGrid w:val="0"/>
        <w:spacing w:line="360" w:lineRule="auto"/>
        <w:ind w:firstLine="3012"/>
        <w:rPr>
          <w:rFonts w:hint="eastAsia" w:asciiTheme="minorEastAsia" w:hAnsiTheme="minorEastAsia" w:eastAsiaTheme="minorEastAsia" w:cstheme="minorEastAsia"/>
          <w:b/>
          <w:sz w:val="30"/>
          <w:szCs w:val="30"/>
        </w:rPr>
      </w:pPr>
    </w:p>
    <w:p>
      <w:pPr>
        <w:pStyle w:val="34"/>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pStyle w:val="13"/>
        <w:rPr>
          <w:rFonts w:hint="eastAsia" w:asciiTheme="minorEastAsia" w:hAnsiTheme="minorEastAsia" w:eastAsiaTheme="minorEastAsia" w:cstheme="minorEastAsia"/>
          <w:b/>
          <w:sz w:val="30"/>
          <w:szCs w:val="30"/>
        </w:rPr>
      </w:pPr>
    </w:p>
    <w:p>
      <w:pPr>
        <w:snapToGrid w:val="0"/>
        <w:spacing w:line="360" w:lineRule="auto"/>
        <w:ind w:firstLine="3012"/>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 xml:space="preserve">第三章 </w:t>
      </w:r>
      <w:r>
        <w:rPr>
          <w:rFonts w:hint="eastAsia" w:asciiTheme="minorEastAsia" w:hAnsiTheme="minorEastAsia" w:eastAsiaTheme="minorEastAsia" w:cstheme="minorEastAsia"/>
          <w:b/>
          <w:sz w:val="30"/>
          <w:szCs w:val="30"/>
          <w:lang w:eastAsia="zh-CN"/>
        </w:rPr>
        <w:t>投标</w:t>
      </w:r>
      <w:r>
        <w:rPr>
          <w:rFonts w:hint="eastAsia" w:asciiTheme="minorEastAsia" w:hAnsiTheme="minorEastAsia" w:eastAsiaTheme="minorEastAsia" w:cstheme="minorEastAsia"/>
          <w:b/>
          <w:sz w:val="30"/>
          <w:szCs w:val="30"/>
        </w:rPr>
        <w:t>响应书</w:t>
      </w: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封面</w:t>
      </w:r>
    </w:p>
    <w:p>
      <w:pPr>
        <w:spacing w:line="360" w:lineRule="auto"/>
        <w:ind w:firstLine="1650"/>
        <w:rPr>
          <w:rFonts w:hint="eastAsia" w:asciiTheme="minorEastAsia" w:hAnsiTheme="minorEastAsia" w:eastAsiaTheme="minorEastAsia" w:cstheme="minorEastAsia"/>
          <w:sz w:val="30"/>
          <w:szCs w:val="30"/>
        </w:rPr>
      </w:pPr>
    </w:p>
    <w:p>
      <w:pPr>
        <w:spacing w:line="360" w:lineRule="auto"/>
        <w:ind w:firstLine="3614"/>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项目编号：</w:t>
      </w:r>
    </w:p>
    <w:p>
      <w:pPr>
        <w:spacing w:line="360" w:lineRule="auto"/>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ind w:firstLine="560"/>
        <w:rPr>
          <w:rFonts w:hint="eastAsia" w:asciiTheme="minorEastAsia" w:hAnsiTheme="minorEastAsia" w:eastAsiaTheme="minorEastAsia" w:cstheme="minorEastAsia"/>
          <w:color w:val="000000"/>
          <w:sz w:val="28"/>
          <w:szCs w:val="28"/>
          <w:u w:val="single"/>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color w:val="000000"/>
          <w:sz w:val="28"/>
          <w:szCs w:val="28"/>
          <w:u w:val="single"/>
          <w:lang w:eastAsia="zh-CN"/>
        </w:rPr>
        <w:t>铜陵学院舆情监测服务和网络巡查服务</w:t>
      </w:r>
    </w:p>
    <w:p>
      <w:pPr>
        <w:spacing w:line="360" w:lineRule="auto"/>
        <w:ind w:firstLine="560"/>
        <w:rPr>
          <w:rFonts w:hint="eastAsia" w:asciiTheme="minorEastAsia" w:hAnsiTheme="minorEastAsia" w:eastAsiaTheme="minorEastAsia" w:cstheme="minorEastAsia"/>
          <w:sz w:val="28"/>
          <w:szCs w:val="28"/>
        </w:rPr>
      </w:pPr>
    </w:p>
    <w:p>
      <w:pPr>
        <w:spacing w:line="360" w:lineRule="auto"/>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投标人</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（盖章）</w:t>
      </w:r>
    </w:p>
    <w:p>
      <w:pPr>
        <w:spacing w:line="360" w:lineRule="auto"/>
        <w:ind w:firstLine="560"/>
        <w:rPr>
          <w:rFonts w:hint="eastAsia" w:asciiTheme="minorEastAsia" w:hAnsiTheme="minorEastAsia" w:eastAsiaTheme="minorEastAsia" w:cstheme="minorEastAsia"/>
          <w:sz w:val="28"/>
          <w:szCs w:val="28"/>
        </w:rPr>
      </w:pPr>
    </w:p>
    <w:p>
      <w:pPr>
        <w:spacing w:line="360" w:lineRule="auto"/>
        <w:ind w:firstLine="560"/>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法人或授权委托人：</w:t>
      </w:r>
      <w:r>
        <w:rPr>
          <w:rFonts w:hint="eastAsia" w:asciiTheme="minorEastAsia" w:hAnsiTheme="minorEastAsia" w:eastAsiaTheme="minorEastAsia" w:cstheme="minorEastAsia"/>
          <w:sz w:val="28"/>
          <w:szCs w:val="28"/>
          <w:u w:val="single"/>
        </w:rPr>
        <w:t>（签字或盖章）</w:t>
      </w: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年    月     日</w:t>
      </w:r>
    </w:p>
    <w:p>
      <w:pPr>
        <w:spacing w:line="360" w:lineRule="auto"/>
        <w:ind w:firstLine="3300"/>
        <w:jc w:val="center"/>
        <w:rPr>
          <w:rFonts w:hint="eastAsia" w:asciiTheme="minorEastAsia" w:hAnsiTheme="minorEastAsia" w:eastAsiaTheme="minorEastAsia" w:cstheme="minorEastAsia"/>
          <w:sz w:val="30"/>
          <w:szCs w:val="30"/>
        </w:rPr>
      </w:pPr>
    </w:p>
    <w:p>
      <w:pPr>
        <w:spacing w:line="360" w:lineRule="auto"/>
        <w:ind w:firstLine="3300"/>
        <w:jc w:val="center"/>
        <w:rPr>
          <w:rFonts w:hint="eastAsia" w:asciiTheme="minorEastAsia" w:hAnsiTheme="minorEastAsia" w:eastAsiaTheme="minorEastAsia" w:cstheme="minorEastAsia"/>
          <w:sz w:val="30"/>
          <w:szCs w:val="30"/>
        </w:rPr>
      </w:pPr>
    </w:p>
    <w:p>
      <w:pPr>
        <w:pStyle w:val="78"/>
        <w:spacing w:line="360" w:lineRule="auto"/>
        <w:ind w:firstLine="0" w:firstLineChars="0"/>
        <w:jc w:val="center"/>
        <w:rPr>
          <w:rFonts w:hint="eastAsia" w:ascii="宋体" w:hAnsi="宋体" w:eastAsia="宋体" w:cs="宋体"/>
          <w:color w:val="auto"/>
          <w:highlight w:val="none"/>
        </w:rPr>
      </w:pPr>
      <w:r>
        <w:rPr>
          <w:rFonts w:hint="eastAsia" w:asciiTheme="minorEastAsia" w:hAnsiTheme="minorEastAsia" w:eastAsiaTheme="minorEastAsia" w:cstheme="minorEastAsia"/>
        </w:rPr>
        <w:br w:type="page"/>
      </w:r>
      <w:r>
        <w:rPr>
          <w:rFonts w:hint="eastAsia" w:ascii="宋体" w:hAnsi="宋体" w:eastAsia="宋体" w:cs="宋体"/>
          <w:color w:val="auto"/>
          <w:highlight w:val="none"/>
        </w:rPr>
        <w:t>目　　录</w:t>
      </w:r>
    </w:p>
    <w:p>
      <w:pPr>
        <w:pStyle w:val="78"/>
        <w:spacing w:line="360" w:lineRule="auto"/>
        <w:ind w:firstLine="0" w:firstLineChars="0"/>
        <w:jc w:val="center"/>
        <w:rPr>
          <w:rFonts w:hint="eastAsia" w:ascii="宋体" w:hAnsi="宋体" w:eastAsia="宋体" w:cs="宋体"/>
          <w:color w:val="auto"/>
          <w:highlight w:val="none"/>
        </w:rPr>
      </w:pP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一、资格、技术商务部分</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1、需要提供的资质证明文件</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响应授权书</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响应函</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4、项目实施方案</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5、履行合同所必需的设备专业技术能力证明文件</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6、售后服务</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7、业绩证明材料</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8、</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文件要求的其他材料</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二、报价部分</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1、报价表</w:t>
      </w: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wordWrap w:val="0"/>
        <w:spacing w:line="360" w:lineRule="auto"/>
        <w:ind w:firstLine="0" w:firstLineChars="0"/>
        <w:rPr>
          <w:rFonts w:hint="eastAsia" w:ascii="宋体" w:hAnsi="宋体" w:eastAsia="宋体" w:cs="宋体"/>
          <w:b w:val="0"/>
          <w:color w:val="auto"/>
          <w:highlight w:val="none"/>
        </w:rPr>
      </w:pPr>
    </w:p>
    <w:p>
      <w:pPr>
        <w:pStyle w:val="78"/>
        <w:spacing w:line="360" w:lineRule="auto"/>
        <w:ind w:firstLine="0" w:firstLineChars="0"/>
        <w:jc w:val="both"/>
        <w:rPr>
          <w:rFonts w:hint="eastAsia" w:ascii="宋体" w:hAnsi="宋体" w:eastAsia="宋体" w:cs="宋体"/>
          <w:color w:val="auto"/>
          <w:highlight w:val="none"/>
        </w:rPr>
      </w:pPr>
    </w:p>
    <w:p>
      <w:pPr>
        <w:pStyle w:val="78"/>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78"/>
        <w:spacing w:line="360" w:lineRule="auto"/>
        <w:ind w:firstLine="0" w:firstLineChars="0"/>
        <w:rPr>
          <w:rFonts w:hint="eastAsia" w:ascii="宋体" w:hAnsi="宋体" w:eastAsia="宋体" w:cs="宋体"/>
          <w:color w:val="auto"/>
          <w:sz w:val="24"/>
          <w:szCs w:val="24"/>
          <w:highlight w:val="none"/>
        </w:rPr>
      </w:pPr>
    </w:p>
    <w:p>
      <w:pPr>
        <w:widowControl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1、需要提供的资质证明文件（复印件）</w:t>
      </w:r>
    </w:p>
    <w:p>
      <w:pPr>
        <w:widowControl w:val="0"/>
        <w:spacing w:line="360" w:lineRule="auto"/>
        <w:ind w:firstLine="480" w:firstLineChars="200"/>
        <w:rPr>
          <w:rFonts w:hint="eastAsia" w:ascii="宋体" w:hAnsi="宋体" w:eastAsia="宋体" w:cs="宋体"/>
          <w:color w:val="auto"/>
          <w:kern w:val="2"/>
          <w:sz w:val="24"/>
          <w:szCs w:val="24"/>
          <w:highlight w:val="none"/>
        </w:rPr>
      </w:pPr>
    </w:p>
    <w:p>
      <w:pPr>
        <w:widowControl w:val="0"/>
        <w:ind w:left="420" w:firstLine="640" w:firstLineChars="200"/>
        <w:jc w:val="both"/>
        <w:rPr>
          <w:rFonts w:hint="eastAsia" w:ascii="宋体" w:hAnsi="宋体" w:eastAsia="宋体" w:cs="宋体"/>
          <w:kern w:val="2"/>
          <w:sz w:val="32"/>
          <w:szCs w:val="20"/>
          <w:lang w:val="en-US" w:eastAsia="zh-CN" w:bidi="ar-SA"/>
        </w:rPr>
      </w:pP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响应授权书</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致</w:t>
      </w:r>
      <w:r>
        <w:rPr>
          <w:rFonts w:hint="eastAsia" w:ascii="宋体" w:hAnsi="宋体" w:eastAsia="宋体" w:cs="宋体"/>
          <w:color w:val="auto"/>
          <w:kern w:val="2"/>
          <w:sz w:val="24"/>
          <w:szCs w:val="24"/>
          <w:highlight w:val="none"/>
          <w:u w:val="single"/>
        </w:rPr>
        <w:t xml:space="preserve">         （采购单位名称）</w:t>
      </w:r>
      <w:r>
        <w:rPr>
          <w:rFonts w:hint="eastAsia" w:ascii="宋体" w:hAnsi="宋体" w:eastAsia="宋体" w:cs="宋体"/>
          <w:color w:val="auto"/>
          <w:kern w:val="2"/>
          <w:sz w:val="24"/>
          <w:szCs w:val="24"/>
          <w:highlight w:val="none"/>
        </w:rPr>
        <w:t>：</w:t>
      </w:r>
    </w:p>
    <w:p>
      <w:pPr>
        <w:widowControl w:val="0"/>
        <w:spacing w:line="48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本授权书声明：</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eastAsia="zh-CN"/>
        </w:rPr>
        <w:t>比选</w:t>
      </w:r>
      <w:r>
        <w:rPr>
          <w:rFonts w:hint="eastAsia" w:ascii="宋体" w:hAnsi="宋体" w:eastAsia="宋体" w:cs="宋体"/>
          <w:color w:val="auto"/>
          <w:kern w:val="2"/>
          <w:sz w:val="24"/>
          <w:szCs w:val="24"/>
          <w:highlight w:val="none"/>
          <w:u w:val="single"/>
        </w:rPr>
        <w:t>响应人名称）</w:t>
      </w:r>
      <w:r>
        <w:rPr>
          <w:rFonts w:hint="eastAsia" w:ascii="宋体" w:hAnsi="宋体" w:eastAsia="宋体" w:cs="宋体"/>
          <w:color w:val="auto"/>
          <w:kern w:val="2"/>
          <w:sz w:val="24"/>
          <w:szCs w:val="24"/>
          <w:highlight w:val="none"/>
        </w:rPr>
        <w:t>授权本单位</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eastAsia="zh-CN"/>
        </w:rPr>
        <w:t>比选</w:t>
      </w:r>
      <w:r>
        <w:rPr>
          <w:rFonts w:hint="eastAsia" w:ascii="宋体" w:hAnsi="宋体" w:eastAsia="宋体" w:cs="宋体"/>
          <w:color w:val="auto"/>
          <w:kern w:val="2"/>
          <w:sz w:val="24"/>
          <w:szCs w:val="24"/>
          <w:highlight w:val="none"/>
          <w:u w:val="single"/>
        </w:rPr>
        <w:t>响应人授权代表姓名、职务）</w:t>
      </w:r>
      <w:r>
        <w:rPr>
          <w:rFonts w:hint="eastAsia" w:ascii="宋体" w:hAnsi="宋体" w:eastAsia="宋体" w:cs="宋体"/>
          <w:color w:val="auto"/>
          <w:kern w:val="2"/>
          <w:sz w:val="24"/>
          <w:szCs w:val="24"/>
          <w:highlight w:val="none"/>
        </w:rPr>
        <w:t>代表本单位参加</w:t>
      </w:r>
      <w:r>
        <w:rPr>
          <w:rFonts w:hint="eastAsia" w:ascii="宋体" w:hAnsi="宋体" w:eastAsia="宋体" w:cs="宋体"/>
          <w:color w:val="auto"/>
          <w:kern w:val="2"/>
          <w:sz w:val="24"/>
          <w:szCs w:val="24"/>
          <w:highlight w:val="none"/>
          <w:u w:val="single"/>
        </w:rPr>
        <w:t xml:space="preserve">             （项目全称）</w:t>
      </w:r>
      <w:r>
        <w:rPr>
          <w:rFonts w:hint="eastAsia" w:ascii="宋体" w:hAnsi="宋体" w:eastAsia="宋体" w:cs="宋体"/>
          <w:color w:val="auto"/>
          <w:kern w:val="2"/>
          <w:sz w:val="24"/>
          <w:szCs w:val="24"/>
          <w:highlight w:val="none"/>
        </w:rPr>
        <w:t>项目</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响应活动,全权代表本公司处理</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响应过程的一切事宜，包括但不限于：</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响应、参与开标、</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、合同签署、合同执行等。</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响应人授权代表在</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响应过程中所签署的一切文件和处理与之有关的一切事务，本公司均予以认可并对此承担责任。</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响应人授权代表无转委托权。特此授权。</w:t>
      </w:r>
    </w:p>
    <w:p>
      <w:pPr>
        <w:widowControl w:val="0"/>
        <w:spacing w:line="360" w:lineRule="auto"/>
        <w:ind w:firstLine="480" w:firstLineChars="200"/>
        <w:rPr>
          <w:rFonts w:hint="eastAsia" w:ascii="宋体" w:hAnsi="宋体" w:eastAsia="宋体" w:cs="宋体"/>
          <w:color w:val="auto"/>
          <w:kern w:val="2"/>
          <w:sz w:val="24"/>
          <w:szCs w:val="24"/>
          <w:highlight w:val="none"/>
        </w:rPr>
      </w:pPr>
    </w:p>
    <w:p>
      <w:pPr>
        <w:widowControl w:val="0"/>
        <w:spacing w:line="360" w:lineRule="auto"/>
        <w:ind w:firstLine="482" w:firstLineChars="200"/>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本授权书自出具之日起生效。</w:t>
      </w:r>
    </w:p>
    <w:p>
      <w:pPr>
        <w:widowControl w:val="0"/>
        <w:spacing w:line="360" w:lineRule="auto"/>
        <w:ind w:firstLine="482" w:firstLineChars="200"/>
        <w:rPr>
          <w:rFonts w:hint="eastAsia" w:ascii="宋体" w:hAnsi="宋体" w:eastAsia="宋体" w:cs="宋体"/>
          <w:b/>
          <w:bCs/>
          <w:color w:val="auto"/>
          <w:kern w:val="2"/>
          <w:sz w:val="24"/>
          <w:szCs w:val="24"/>
          <w:highlight w:val="none"/>
        </w:rPr>
      </w:pPr>
    </w:p>
    <w:p>
      <w:pPr>
        <w:widowControl w:val="0"/>
        <w:spacing w:line="360" w:lineRule="auto"/>
        <w:ind w:firstLine="482" w:firstLineChars="200"/>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特此声明。</w:t>
      </w:r>
    </w:p>
    <w:p>
      <w:pPr>
        <w:widowControl w:val="0"/>
        <w:spacing w:line="360" w:lineRule="auto"/>
        <w:ind w:firstLine="42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                                   </w:t>
      </w:r>
    </w:p>
    <w:p>
      <w:pPr>
        <w:widowControl w:val="0"/>
        <w:spacing w:line="360" w:lineRule="auto"/>
        <w:ind w:firstLine="420" w:firstLineChars="200"/>
        <w:rPr>
          <w:rFonts w:hint="eastAsia" w:ascii="宋体" w:hAnsi="宋体" w:eastAsia="宋体" w:cs="宋体"/>
          <w:color w:val="auto"/>
          <w:kern w:val="2"/>
          <w:szCs w:val="24"/>
          <w:highlight w:val="none"/>
        </w:rPr>
      </w:pPr>
    </w:p>
    <w:p>
      <w:pPr>
        <w:widowControl w:val="0"/>
        <w:spacing w:line="360" w:lineRule="auto"/>
        <w:ind w:firstLine="420" w:firstLineChars="200"/>
        <w:rPr>
          <w:rFonts w:hint="eastAsia" w:ascii="宋体" w:hAnsi="宋体" w:eastAsia="宋体" w:cs="宋体"/>
          <w:color w:val="auto"/>
          <w:kern w:val="2"/>
          <w:szCs w:val="24"/>
          <w:highlight w:val="none"/>
        </w:rPr>
      </w:pPr>
    </w:p>
    <w:p>
      <w:pPr>
        <w:widowControl w:val="0"/>
        <w:spacing w:line="360" w:lineRule="auto"/>
        <w:ind w:firstLine="2880" w:firstLineChars="1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响应人</w:t>
      </w:r>
      <w:r>
        <w:rPr>
          <w:rFonts w:hint="eastAsia" w:ascii="宋体" w:hAnsi="宋体" w:eastAsia="宋体" w:cs="宋体"/>
          <w:color w:val="auto"/>
          <w:kern w:val="2"/>
          <w:sz w:val="24"/>
          <w:szCs w:val="24"/>
          <w:highlight w:val="none"/>
          <w:lang w:eastAsia="zh-CN"/>
        </w:rPr>
        <w:t>（授权代表人）</w:t>
      </w:r>
      <w:r>
        <w:rPr>
          <w:rFonts w:hint="eastAsia" w:ascii="宋体" w:hAnsi="宋体" w:eastAsia="宋体" w:cs="宋体"/>
          <w:color w:val="auto"/>
          <w:kern w:val="2"/>
          <w:sz w:val="24"/>
          <w:szCs w:val="24"/>
          <w:highlight w:val="none"/>
        </w:rPr>
        <w:t>签章：</w:t>
      </w:r>
    </w:p>
    <w:p>
      <w:pPr>
        <w:widowControl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                           </w:t>
      </w:r>
    </w:p>
    <w:p>
      <w:pPr>
        <w:widowControl w:val="0"/>
        <w:spacing w:line="360" w:lineRule="auto"/>
        <w:ind w:firstLine="3360" w:firstLineChars="14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  日    期：</w:t>
      </w:r>
    </w:p>
    <w:p>
      <w:pPr>
        <w:pStyle w:val="78"/>
        <w:spacing w:line="360" w:lineRule="auto"/>
        <w:ind w:left="0" w:leftChars="0" w:firstLine="0" w:firstLineChars="0"/>
        <w:rPr>
          <w:rFonts w:hint="eastAsia" w:ascii="宋体" w:hAnsi="宋体" w:eastAsia="宋体" w:cs="宋体"/>
          <w:color w:val="auto"/>
          <w:highlight w:val="none"/>
        </w:rPr>
      </w:pPr>
    </w:p>
    <w:p>
      <w:pPr>
        <w:pStyle w:val="78"/>
        <w:spacing w:line="360" w:lineRule="auto"/>
        <w:ind w:left="0" w:leftChars="0" w:firstLine="0" w:firstLineChars="0"/>
        <w:rPr>
          <w:rFonts w:hint="eastAsia" w:ascii="宋体" w:hAnsi="宋体" w:eastAsia="宋体" w:cs="宋体"/>
          <w:color w:val="auto"/>
          <w:highlight w:val="none"/>
        </w:rPr>
      </w:pPr>
    </w:p>
    <w:p>
      <w:pPr>
        <w:pStyle w:val="78"/>
        <w:numPr>
          <w:ilvl w:val="0"/>
          <w:numId w:val="0"/>
        </w:num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比选</w:t>
      </w:r>
      <w:r>
        <w:rPr>
          <w:rFonts w:hint="eastAsia" w:ascii="宋体" w:hAnsi="宋体" w:eastAsia="宋体" w:cs="宋体"/>
          <w:color w:val="auto"/>
          <w:highlight w:val="none"/>
        </w:rPr>
        <w:t>响应函格式</w:t>
      </w:r>
    </w:p>
    <w:p>
      <w:pPr>
        <w:pStyle w:val="78"/>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1、根据贵方</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lang w:eastAsia="zh-CN"/>
        </w:rPr>
        <w:t>市场比选公告</w:t>
      </w:r>
      <w:r>
        <w:rPr>
          <w:rFonts w:hint="eastAsia" w:ascii="宋体" w:hAnsi="宋体" w:eastAsia="宋体" w:cs="宋体"/>
          <w:color w:val="auto"/>
          <w:kern w:val="2"/>
          <w:sz w:val="24"/>
          <w:szCs w:val="24"/>
          <w:highlight w:val="none"/>
        </w:rPr>
        <w:t>，我们决定参加贵方组织的</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项目的</w:t>
      </w:r>
      <w:r>
        <w:rPr>
          <w:rFonts w:hint="eastAsia" w:ascii="宋体" w:hAnsi="宋体" w:eastAsia="宋体" w:cs="宋体"/>
          <w:color w:val="auto"/>
          <w:kern w:val="2"/>
          <w:sz w:val="24"/>
          <w:szCs w:val="24"/>
          <w:highlight w:val="none"/>
          <w:lang w:eastAsia="zh-CN"/>
        </w:rPr>
        <w:t>市场比选</w:t>
      </w:r>
      <w:r>
        <w:rPr>
          <w:rFonts w:hint="eastAsia" w:ascii="宋体" w:hAnsi="宋体" w:eastAsia="宋体" w:cs="宋体"/>
          <w:color w:val="auto"/>
          <w:kern w:val="2"/>
          <w:sz w:val="24"/>
          <w:szCs w:val="24"/>
          <w:highlight w:val="none"/>
        </w:rPr>
        <w:t>采购活动。我方授权</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(姓名和职务)代表我方</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响应单位的名称）全权处理本项目</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响应的有关事宜。</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idowControl w:val="0"/>
        <w:wordWrap w:val="0"/>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5、至投标截止日，我方未被铜陵市公共资源交易监管部门记不良行为记录累计分值在 15 分（含）-20 分（不含），且最近一次不良行为记录公布日距开标日未超过 6 个月；</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6、至投标截止日，我方未被铜陵市公共资源交易监管部门记不良行为记录累计分值达 20 分（含）以上，且最近一次不良行为记录公布日距开标日未超过 12 个月。</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7</w:t>
      </w:r>
      <w:r>
        <w:rPr>
          <w:rFonts w:hint="eastAsia" w:ascii="宋体" w:hAnsi="宋体" w:eastAsia="宋体" w:cs="宋体"/>
          <w:color w:val="auto"/>
          <w:kern w:val="2"/>
          <w:sz w:val="24"/>
          <w:szCs w:val="24"/>
          <w:highlight w:val="none"/>
        </w:rPr>
        <w:t>、我方愿意按照采购文件规定的各项要求，向采购人提供所需的货物与服务。</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、一旦我方中标，我方将严格履行合同规定的责任和义务。</w:t>
      </w:r>
    </w:p>
    <w:p>
      <w:pPr>
        <w:widowControl w:val="0"/>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9</w:t>
      </w:r>
      <w:r>
        <w:rPr>
          <w:rFonts w:hint="eastAsia" w:ascii="宋体" w:hAnsi="宋体" w:eastAsia="宋体" w:cs="宋体"/>
          <w:color w:val="auto"/>
          <w:kern w:val="2"/>
          <w:sz w:val="24"/>
          <w:szCs w:val="24"/>
          <w:highlight w:val="none"/>
        </w:rPr>
        <w:t>、我方同意按照</w:t>
      </w:r>
      <w:r>
        <w:rPr>
          <w:rFonts w:hint="eastAsia" w:ascii="宋体" w:hAnsi="宋体" w:eastAsia="宋体" w:cs="宋体"/>
          <w:color w:val="auto"/>
          <w:kern w:val="2"/>
          <w:sz w:val="24"/>
          <w:szCs w:val="24"/>
          <w:highlight w:val="none"/>
          <w:lang w:val="en-US" w:eastAsia="zh-CN"/>
        </w:rPr>
        <w:t>比选</w:t>
      </w:r>
      <w:r>
        <w:rPr>
          <w:rFonts w:hint="eastAsia" w:ascii="宋体" w:hAnsi="宋体" w:eastAsia="宋体" w:cs="宋体"/>
          <w:color w:val="auto"/>
          <w:kern w:val="2"/>
          <w:sz w:val="24"/>
          <w:szCs w:val="24"/>
          <w:highlight w:val="none"/>
        </w:rPr>
        <w:t>文件的要求，向贵方递交投标保证金。并且承诺，在投标有效期内如果我方撤回投标书或中标后拒绝签订合同，我方将放弃要求贵方退还该投标保证金的权力。</w:t>
      </w:r>
    </w:p>
    <w:p>
      <w:pPr>
        <w:widowControl w:val="0"/>
        <w:tabs>
          <w:tab w:val="left" w:pos="840"/>
        </w:tabs>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、我方愿意提供贵方可能另外要求的、与</w:t>
      </w:r>
      <w:r>
        <w:rPr>
          <w:rFonts w:hint="eastAsia" w:ascii="宋体" w:hAnsi="宋体" w:eastAsia="宋体" w:cs="宋体"/>
          <w:color w:val="auto"/>
          <w:kern w:val="2"/>
          <w:sz w:val="24"/>
          <w:szCs w:val="24"/>
          <w:highlight w:val="none"/>
          <w:lang w:eastAsia="zh-CN"/>
        </w:rPr>
        <w:t>比选</w:t>
      </w:r>
      <w:r>
        <w:rPr>
          <w:rFonts w:hint="eastAsia" w:ascii="宋体" w:hAnsi="宋体" w:eastAsia="宋体" w:cs="宋体"/>
          <w:color w:val="auto"/>
          <w:kern w:val="2"/>
          <w:sz w:val="24"/>
          <w:szCs w:val="24"/>
          <w:highlight w:val="none"/>
        </w:rPr>
        <w:t>响应有关的文件资料，并保证我方已提供和将要提供的文件是真实的、准确的。</w:t>
      </w:r>
    </w:p>
    <w:p>
      <w:pPr>
        <w:widowControl w:val="0"/>
        <w:tabs>
          <w:tab w:val="left" w:pos="0"/>
          <w:tab w:val="left" w:pos="840"/>
        </w:tabs>
        <w:wordWrap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11</w:t>
      </w:r>
      <w:r>
        <w:rPr>
          <w:rFonts w:hint="eastAsia" w:ascii="宋体" w:hAnsi="宋体" w:eastAsia="宋体" w:cs="宋体"/>
          <w:color w:val="auto"/>
          <w:kern w:val="2"/>
          <w:sz w:val="24"/>
          <w:szCs w:val="24"/>
          <w:highlight w:val="none"/>
        </w:rPr>
        <w:t>、我方完全理解贵方不一定将合同授予最低报价（折扣）的</w:t>
      </w: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w:t>
      </w:r>
    </w:p>
    <w:p>
      <w:pPr>
        <w:widowControl w:val="0"/>
        <w:tabs>
          <w:tab w:val="left" w:pos="0"/>
          <w:tab w:val="left" w:pos="840"/>
        </w:tabs>
        <w:wordWrap w:val="0"/>
        <w:spacing w:line="360" w:lineRule="auto"/>
        <w:rPr>
          <w:rFonts w:hint="eastAsia" w:ascii="宋体" w:hAnsi="宋体" w:eastAsia="宋体" w:cs="宋体"/>
          <w:color w:val="auto"/>
          <w:kern w:val="2"/>
          <w:sz w:val="24"/>
          <w:szCs w:val="24"/>
          <w:highlight w:val="none"/>
        </w:rPr>
      </w:pPr>
    </w:p>
    <w:p>
      <w:pPr>
        <w:widowControl w:val="0"/>
        <w:spacing w:after="120"/>
        <w:jc w:val="both"/>
        <w:rPr>
          <w:rFonts w:hint="eastAsia" w:ascii="宋体" w:hAnsi="宋体" w:eastAsia="宋体" w:cs="宋体"/>
          <w:color w:val="auto"/>
          <w:kern w:val="2"/>
          <w:sz w:val="22"/>
          <w:szCs w:val="24"/>
          <w:lang w:val="en-US" w:eastAsia="zh-CN" w:bidi="ar-SA"/>
        </w:rPr>
      </w:pPr>
    </w:p>
    <w:p>
      <w:pPr>
        <w:pStyle w:val="78"/>
        <w:spacing w:line="360" w:lineRule="auto"/>
        <w:ind w:right="980" w:firstLine="422"/>
        <w:jc w:val="center"/>
        <w:rPr>
          <w:rFonts w:hint="eastAsia" w:ascii="宋体" w:hAnsi="宋体" w:eastAsia="宋体" w:cs="宋体"/>
          <w:color w:val="auto"/>
          <w:sz w:val="24"/>
          <w:szCs w:val="24"/>
          <w:highlight w:val="none"/>
        </w:rPr>
      </w:pPr>
      <w:bookmarkStart w:id="5" w:name="_Toc400805871"/>
      <w:bookmarkStart w:id="6" w:name="_Toc393705366"/>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eastAsia="zh-CN"/>
        </w:rPr>
        <w:t>投标人</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78"/>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p>
    <w:p>
      <w:pPr>
        <w:pStyle w:val="78"/>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5"/>
      <w:bookmarkEnd w:id="6"/>
    </w:p>
    <w:p>
      <w:pPr>
        <w:widowControl w:val="0"/>
        <w:autoSpaceDN w:val="0"/>
        <w:spacing w:after="156" w:line="360" w:lineRule="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（一）</w:t>
      </w:r>
      <w:r>
        <w:rPr>
          <w:rFonts w:hint="eastAsia" w:ascii="宋体" w:hAnsi="宋体" w:eastAsia="宋体" w:cs="宋体"/>
          <w:b/>
          <w:color w:val="auto"/>
          <w:kern w:val="2"/>
          <w:sz w:val="24"/>
          <w:szCs w:val="24"/>
          <w:highlight w:val="none"/>
          <w:lang w:eastAsia="zh-CN"/>
        </w:rPr>
        <w:t>投标人</w:t>
      </w:r>
      <w:r>
        <w:rPr>
          <w:rFonts w:hint="eastAsia" w:ascii="宋体" w:hAnsi="宋体" w:eastAsia="宋体" w:cs="宋体"/>
          <w:b/>
          <w:color w:val="auto"/>
          <w:kern w:val="2"/>
          <w:sz w:val="24"/>
          <w:szCs w:val="24"/>
          <w:highlight w:val="none"/>
        </w:rPr>
        <w:t>简介</w:t>
      </w:r>
    </w:p>
    <w:p>
      <w:pPr>
        <w:widowControl w:val="0"/>
        <w:autoSpaceDN w:val="0"/>
        <w:spacing w:after="156" w:line="360" w:lineRule="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（二）项目实施方案</w:t>
      </w:r>
    </w:p>
    <w:p>
      <w:pPr>
        <w:pStyle w:val="78"/>
        <w:spacing w:line="360" w:lineRule="auto"/>
        <w:ind w:firstLine="0" w:firstLineChars="0"/>
        <w:rPr>
          <w:rFonts w:hint="eastAsia" w:ascii="宋体" w:hAnsi="宋体" w:eastAsia="宋体" w:cs="宋体"/>
          <w:color w:val="auto"/>
          <w:sz w:val="24"/>
          <w:szCs w:val="24"/>
          <w:highlight w:val="none"/>
        </w:rPr>
      </w:pPr>
      <w:bookmarkStart w:id="7" w:name="_Toc400805872"/>
      <w:bookmarkStart w:id="8" w:name="_Toc393705367"/>
      <w:r>
        <w:rPr>
          <w:rFonts w:hint="eastAsia" w:ascii="宋体" w:hAnsi="宋体" w:eastAsia="宋体" w:cs="宋体"/>
          <w:color w:val="auto"/>
          <w:sz w:val="24"/>
          <w:szCs w:val="24"/>
          <w:highlight w:val="none"/>
        </w:rPr>
        <w:t>5、履行合同所必需的设备专业技术能力证明</w:t>
      </w:r>
      <w:bookmarkEnd w:id="7"/>
      <w:bookmarkEnd w:id="8"/>
    </w:p>
    <w:p>
      <w:pPr>
        <w:widowControl w:val="0"/>
        <w:wordWrap w:val="0"/>
        <w:spacing w:line="360" w:lineRule="auto"/>
        <w:jc w:val="center"/>
        <w:rPr>
          <w:rFonts w:hint="eastAsia" w:ascii="宋体" w:hAnsi="宋体" w:eastAsia="宋体" w:cs="宋体"/>
          <w:color w:val="auto"/>
          <w:kern w:val="2"/>
          <w:szCs w:val="24"/>
          <w:highlight w:val="none"/>
        </w:rPr>
      </w:pPr>
      <w:r>
        <w:rPr>
          <w:rFonts w:hint="eastAsia" w:ascii="宋体" w:hAnsi="宋体" w:eastAsia="宋体" w:cs="宋体"/>
          <w:b/>
          <w:bCs/>
          <w:color w:val="auto"/>
          <w:kern w:val="2"/>
          <w:sz w:val="24"/>
          <w:szCs w:val="24"/>
          <w:highlight w:val="none"/>
        </w:rPr>
        <w:t>（1）服务本项目主要人员一览表</w:t>
      </w:r>
    </w:p>
    <w:tbl>
      <w:tblPr>
        <w:tblStyle w:val="35"/>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类别</w:t>
            </w:r>
          </w:p>
        </w:tc>
        <w:tc>
          <w:tcPr>
            <w:tcW w:w="1081" w:type="dxa"/>
            <w:vMerge w:val="restart"/>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姓名</w:t>
            </w:r>
          </w:p>
        </w:tc>
        <w:tc>
          <w:tcPr>
            <w:tcW w:w="1081" w:type="dxa"/>
            <w:vMerge w:val="restart"/>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职务</w:t>
            </w:r>
          </w:p>
        </w:tc>
        <w:tc>
          <w:tcPr>
            <w:tcW w:w="1781" w:type="dxa"/>
            <w:vMerge w:val="restart"/>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职称或执业资格</w:t>
            </w:r>
          </w:p>
        </w:tc>
        <w:tc>
          <w:tcPr>
            <w:tcW w:w="1102" w:type="dxa"/>
            <w:vMerge w:val="restart"/>
            <w:vAlign w:val="center"/>
          </w:tcPr>
          <w:p>
            <w:pPr>
              <w:widowControl w:val="0"/>
              <w:wordWrap w:val="0"/>
              <w:spacing w:line="360" w:lineRule="auto"/>
              <w:jc w:val="center"/>
              <w:rPr>
                <w:rFonts w:hint="eastAsia" w:ascii="宋体" w:hAnsi="宋体" w:eastAsia="宋体" w:cs="宋体"/>
                <w:color w:val="auto"/>
                <w:kern w:val="2"/>
                <w:szCs w:val="21"/>
                <w:highlight w:val="none"/>
                <w:lang w:eastAsia="zh-CN"/>
              </w:rPr>
            </w:pPr>
            <w:r>
              <w:rPr>
                <w:rFonts w:hint="eastAsia" w:ascii="宋体" w:hAnsi="宋体" w:eastAsia="宋体" w:cs="宋体"/>
                <w:color w:val="auto"/>
                <w:kern w:val="2"/>
                <w:szCs w:val="21"/>
                <w:highlight w:val="none"/>
                <w:lang w:val="en-US" w:eastAsia="zh-CN"/>
              </w:rPr>
              <w:t>身份证</w:t>
            </w:r>
          </w:p>
        </w:tc>
        <w:tc>
          <w:tcPr>
            <w:tcW w:w="4022" w:type="dxa"/>
            <w:gridSpan w:val="2"/>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名称</w:t>
            </w: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项目负责人</w:t>
            </w: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团队成员</w:t>
            </w: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idowControl w:val="0"/>
              <w:wordWrap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其它</w:t>
            </w: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0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781"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10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1622"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c>
          <w:tcPr>
            <w:tcW w:w="2400" w:type="dxa"/>
            <w:vAlign w:val="center"/>
          </w:tcPr>
          <w:p>
            <w:pPr>
              <w:widowControl w:val="0"/>
              <w:wordWrap w:val="0"/>
              <w:spacing w:line="360" w:lineRule="auto"/>
              <w:jc w:val="center"/>
              <w:rPr>
                <w:rFonts w:hint="eastAsia" w:ascii="宋体" w:hAnsi="宋体" w:eastAsia="宋体" w:cs="宋体"/>
                <w:color w:val="auto"/>
                <w:kern w:val="2"/>
                <w:szCs w:val="21"/>
                <w:highlight w:val="none"/>
              </w:rPr>
            </w:pPr>
          </w:p>
        </w:tc>
      </w:tr>
    </w:tbl>
    <w:p>
      <w:pPr>
        <w:widowControl w:val="0"/>
        <w:wordWrap w:val="0"/>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注：证件应附复印件，</w:t>
      </w: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对其真实性负法律责任。</w:t>
      </w:r>
    </w:p>
    <w:p>
      <w:pPr>
        <w:pStyle w:val="78"/>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widowControl w:val="0"/>
        <w:spacing w:line="440" w:lineRule="exact"/>
        <w:rPr>
          <w:rFonts w:hint="eastAsia" w:ascii="宋体" w:hAnsi="宋体" w:eastAsia="宋体" w:cs="宋体"/>
          <w:b/>
          <w:color w:val="auto"/>
          <w:kern w:val="2"/>
          <w:sz w:val="28"/>
          <w:szCs w:val="28"/>
          <w:highlight w:val="none"/>
        </w:rPr>
      </w:pPr>
    </w:p>
    <w:p>
      <w:pPr>
        <w:widowControl w:val="0"/>
        <w:spacing w:line="440" w:lineRule="exact"/>
        <w:rPr>
          <w:rFonts w:hint="eastAsia" w:ascii="宋体" w:hAnsi="宋体" w:eastAsia="宋体" w:cs="宋体"/>
          <w:b/>
          <w:color w:val="auto"/>
          <w:kern w:val="2"/>
          <w:sz w:val="28"/>
          <w:szCs w:val="28"/>
          <w:highlight w:val="none"/>
        </w:rPr>
      </w:pPr>
    </w:p>
    <w:p>
      <w:pPr>
        <w:widowControl w:val="0"/>
        <w:spacing w:line="440" w:lineRule="exact"/>
        <w:rPr>
          <w:rFonts w:hint="eastAsia" w:ascii="宋体" w:hAnsi="宋体" w:eastAsia="宋体" w:cs="宋体"/>
          <w:color w:val="auto"/>
          <w:kern w:val="2"/>
          <w:sz w:val="28"/>
          <w:szCs w:val="28"/>
          <w:highlight w:val="none"/>
        </w:rPr>
      </w:pPr>
      <w:r>
        <w:rPr>
          <w:rFonts w:hint="eastAsia" w:ascii="宋体" w:hAnsi="宋体" w:eastAsia="宋体" w:cs="宋体"/>
          <w:b/>
          <w:color w:val="auto"/>
          <w:kern w:val="2"/>
          <w:sz w:val="28"/>
          <w:szCs w:val="28"/>
          <w:highlight w:val="none"/>
        </w:rPr>
        <w:t>6、售后服务</w:t>
      </w:r>
    </w:p>
    <w:p>
      <w:pPr>
        <w:widowControl w:val="0"/>
        <w:spacing w:line="440" w:lineRule="exact"/>
        <w:rPr>
          <w:rFonts w:hint="eastAsia" w:ascii="宋体" w:hAnsi="宋体" w:eastAsia="宋体" w:cs="宋体"/>
          <w:color w:val="auto"/>
          <w:kern w:val="2"/>
          <w:szCs w:val="21"/>
          <w:highlight w:val="none"/>
        </w:rPr>
      </w:pPr>
    </w:p>
    <w:p>
      <w:pPr>
        <w:widowControl w:val="0"/>
        <w:spacing w:line="540" w:lineRule="exact"/>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售后服务能力一览表</w:t>
      </w:r>
    </w:p>
    <w:tbl>
      <w:tblPr>
        <w:tblStyle w:val="35"/>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widowControl w:val="0"/>
              <w:spacing w:line="400" w:lineRule="exact"/>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详细地址</w:t>
            </w:r>
          </w:p>
        </w:tc>
        <w:tc>
          <w:tcPr>
            <w:tcW w:w="3061" w:type="dxa"/>
            <w:vAlign w:val="center"/>
          </w:tcPr>
          <w:p>
            <w:pPr>
              <w:widowControl w:val="0"/>
              <w:spacing w:line="400" w:lineRule="exact"/>
              <w:ind w:left="103" w:leftChars="49"/>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服务人员名单</w:t>
            </w:r>
          </w:p>
        </w:tc>
        <w:tc>
          <w:tcPr>
            <w:tcW w:w="2883" w:type="dxa"/>
            <w:vAlign w:val="center"/>
          </w:tcPr>
          <w:p>
            <w:pPr>
              <w:widowControl w:val="0"/>
              <w:spacing w:line="400" w:lineRule="exact"/>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固定联系电话</w:t>
            </w:r>
          </w:p>
        </w:tc>
        <w:tc>
          <w:tcPr>
            <w:tcW w:w="1211" w:type="dxa"/>
            <w:vAlign w:val="center"/>
          </w:tcPr>
          <w:p>
            <w:pPr>
              <w:widowControl w:val="0"/>
              <w:spacing w:line="400" w:lineRule="exact"/>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3061"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2883"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1211" w:type="dxa"/>
            <w:vAlign w:val="center"/>
          </w:tcPr>
          <w:p>
            <w:pPr>
              <w:widowControl w:val="0"/>
              <w:spacing w:line="400" w:lineRule="exact"/>
              <w:jc w:val="center"/>
              <w:rPr>
                <w:rFonts w:hint="eastAsia" w:ascii="宋体" w:hAnsi="宋体" w:eastAsia="宋体" w:cs="宋体"/>
                <w:color w:val="auto"/>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3061"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2883" w:type="dxa"/>
            <w:vAlign w:val="center"/>
          </w:tcPr>
          <w:p>
            <w:pPr>
              <w:widowControl w:val="0"/>
              <w:spacing w:line="400" w:lineRule="exact"/>
              <w:jc w:val="center"/>
              <w:rPr>
                <w:rFonts w:hint="eastAsia" w:ascii="宋体" w:hAnsi="宋体" w:eastAsia="宋体" w:cs="宋体"/>
                <w:color w:val="auto"/>
                <w:kern w:val="2"/>
                <w:szCs w:val="21"/>
                <w:highlight w:val="none"/>
              </w:rPr>
            </w:pPr>
          </w:p>
        </w:tc>
        <w:tc>
          <w:tcPr>
            <w:tcW w:w="1211" w:type="dxa"/>
            <w:vAlign w:val="center"/>
          </w:tcPr>
          <w:p>
            <w:pPr>
              <w:widowControl w:val="0"/>
              <w:spacing w:line="400" w:lineRule="exact"/>
              <w:jc w:val="center"/>
              <w:rPr>
                <w:rFonts w:hint="eastAsia" w:ascii="宋体" w:hAnsi="宋体" w:eastAsia="宋体" w:cs="宋体"/>
                <w:color w:val="auto"/>
                <w:kern w:val="2"/>
                <w:szCs w:val="21"/>
                <w:highlight w:val="none"/>
              </w:rPr>
            </w:pPr>
          </w:p>
        </w:tc>
      </w:tr>
    </w:tbl>
    <w:p>
      <w:pPr>
        <w:pStyle w:val="78"/>
        <w:ind w:firstLine="0" w:firstLineChars="0"/>
        <w:rPr>
          <w:rFonts w:hint="eastAsia" w:ascii="宋体" w:hAnsi="宋体" w:eastAsia="宋体" w:cs="宋体"/>
          <w:bCs w:val="0"/>
          <w:color w:val="auto"/>
          <w:highlight w:val="none"/>
        </w:rPr>
      </w:pPr>
      <w:bookmarkStart w:id="9" w:name="_Toc400805873"/>
      <w:bookmarkStart w:id="10" w:name="_Toc393705369"/>
      <w:r>
        <w:rPr>
          <w:rFonts w:hint="eastAsia" w:ascii="宋体" w:hAnsi="宋体" w:eastAsia="宋体" w:cs="宋体"/>
          <w:bCs w:val="0"/>
          <w:color w:val="auto"/>
          <w:highlight w:val="none"/>
        </w:rPr>
        <w:t>7、业绩证明材料（如有）</w:t>
      </w:r>
    </w:p>
    <w:p>
      <w:pPr>
        <w:pStyle w:val="78"/>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w:t>
      </w:r>
      <w:r>
        <w:rPr>
          <w:rFonts w:hint="eastAsia" w:ascii="宋体" w:hAnsi="宋体" w:eastAsia="宋体" w:cs="宋体"/>
          <w:bCs w:val="0"/>
          <w:color w:val="auto"/>
          <w:highlight w:val="none"/>
          <w:lang w:eastAsia="zh-CN"/>
        </w:rPr>
        <w:t>比选</w:t>
      </w:r>
      <w:r>
        <w:rPr>
          <w:rFonts w:hint="eastAsia" w:ascii="宋体" w:hAnsi="宋体" w:eastAsia="宋体" w:cs="宋体"/>
          <w:bCs w:val="0"/>
          <w:color w:val="auto"/>
          <w:highlight w:val="none"/>
        </w:rPr>
        <w:t>文件要求的其它材料</w:t>
      </w:r>
      <w:bookmarkEnd w:id="9"/>
      <w:bookmarkEnd w:id="10"/>
    </w:p>
    <w:p>
      <w:pPr>
        <w:spacing w:line="360" w:lineRule="auto"/>
        <w:rPr>
          <w:rFonts w:hint="eastAsia" w:asciiTheme="minorEastAsia" w:hAnsiTheme="minorEastAsia" w:eastAsiaTheme="minorEastAsia" w:cstheme="minorEastAsia"/>
          <w:sz w:val="28"/>
          <w:szCs w:val="28"/>
        </w:rPr>
      </w:pPr>
    </w:p>
    <w:p>
      <w:pPr>
        <w:spacing w:line="360" w:lineRule="auto"/>
        <w:ind w:firstLine="2108"/>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lang w:eastAsia="zh-CN"/>
        </w:rPr>
        <w:t>二、投标</w:t>
      </w:r>
      <w:r>
        <w:rPr>
          <w:rFonts w:hint="eastAsia" w:asciiTheme="minorEastAsia" w:hAnsiTheme="minorEastAsia" w:eastAsiaTheme="minorEastAsia" w:cstheme="minorEastAsia"/>
          <w:b/>
          <w:sz w:val="30"/>
          <w:szCs w:val="30"/>
        </w:rPr>
        <w:t>报价表（格式）</w:t>
      </w:r>
    </w:p>
    <w:p>
      <w:pPr>
        <w:spacing w:line="360" w:lineRule="auto"/>
        <w:jc w:val="left"/>
        <w:rPr>
          <w:rFonts w:hint="eastAsia" w:asciiTheme="minorEastAsia" w:hAnsiTheme="minorEastAsia" w:eastAsiaTheme="minorEastAsia" w:cstheme="minorEastAsia"/>
          <w:sz w:val="30"/>
          <w:szCs w:val="30"/>
          <w:u w:val="single"/>
        </w:rPr>
      </w:pPr>
    </w:p>
    <w:tbl>
      <w:tblPr>
        <w:tblStyle w:val="35"/>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58"/>
        <w:gridCol w:w="5160"/>
        <w:gridCol w:w="3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0"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516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项目内容</w:t>
            </w:r>
          </w:p>
        </w:tc>
        <w:tc>
          <w:tcPr>
            <w:tcW w:w="322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4"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516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sz w:val="24"/>
                <w:szCs w:val="24"/>
              </w:rPr>
              <w:t>铜陵学院舆情监测服务和网</w:t>
            </w:r>
            <w:r>
              <w:rPr>
                <w:rFonts w:hint="eastAsia" w:asciiTheme="minorEastAsia" w:hAnsiTheme="minorEastAsia" w:eastAsiaTheme="minorEastAsia" w:cstheme="minorEastAsia"/>
                <w:b w:val="0"/>
                <w:bCs/>
                <w:sz w:val="24"/>
                <w:szCs w:val="24"/>
                <w:lang w:val="en-US" w:eastAsia="zh-CN"/>
              </w:rPr>
              <w:t>络巡查</w:t>
            </w:r>
            <w:r>
              <w:rPr>
                <w:rFonts w:hint="eastAsia" w:asciiTheme="minorEastAsia" w:hAnsiTheme="minorEastAsia" w:eastAsiaTheme="minorEastAsia" w:cstheme="minorEastAsia"/>
                <w:b w:val="0"/>
                <w:bCs/>
                <w:sz w:val="24"/>
                <w:szCs w:val="24"/>
              </w:rPr>
              <w:t>服务</w:t>
            </w:r>
          </w:p>
        </w:tc>
        <w:tc>
          <w:tcPr>
            <w:tcW w:w="322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ind w:firstLine="1100"/>
              <w:jc w:val="left"/>
              <w:rPr>
                <w:rFonts w:hint="eastAsia" w:asciiTheme="minorEastAsia" w:hAnsiTheme="minorEastAsia" w:eastAsiaTheme="minorEastAsia" w:cstheme="minorEastAsia"/>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2"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合计</w:t>
            </w:r>
          </w:p>
        </w:tc>
        <w:tc>
          <w:tcPr>
            <w:tcW w:w="838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其他说明：</w:t>
            </w:r>
          </w:p>
        </w:tc>
        <w:tc>
          <w:tcPr>
            <w:tcW w:w="838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1、本投标报价必须以人民币的形式表示。</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2、投标总报价包括完成本项目所需的一切费用。</w:t>
            </w:r>
          </w:p>
        </w:tc>
      </w:tr>
    </w:tbl>
    <w:p>
      <w:pPr>
        <w:spacing w:line="360" w:lineRule="auto"/>
        <w:ind w:firstLine="600"/>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单位名称：</w:t>
      </w:r>
    </w:p>
    <w:p>
      <w:pPr>
        <w:spacing w:line="360" w:lineRule="auto"/>
        <w:rPr>
          <w:rFonts w:hint="eastAsia" w:asciiTheme="minorEastAsia" w:hAnsiTheme="minorEastAsia" w:eastAsiaTheme="minorEastAsia" w:cstheme="minorEastAsia"/>
          <w:sz w:val="24"/>
          <w:szCs w:val="24"/>
        </w:rPr>
      </w:pPr>
    </w:p>
    <w:p>
      <w:pPr>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法人或被授权人（签字或盖章）：</w:t>
      </w:r>
    </w:p>
    <w:p>
      <w:pPr>
        <w:spacing w:line="360" w:lineRule="auto"/>
        <w:jc w:val="left"/>
        <w:rPr>
          <w:rFonts w:hint="eastAsia" w:asciiTheme="minorEastAsia" w:hAnsiTheme="minorEastAsia" w:eastAsiaTheme="minorEastAsia" w:cstheme="minorEastAsia"/>
          <w:sz w:val="24"/>
          <w:szCs w:val="24"/>
        </w:rPr>
      </w:pPr>
    </w:p>
    <w:p>
      <w:pPr>
        <w:spacing w:line="360" w:lineRule="auto"/>
        <w:jc w:val="left"/>
        <w:rPr>
          <w:rFonts w:hint="eastAsia" w:asciiTheme="minorEastAsia" w:hAnsiTheme="minorEastAsia" w:eastAsiaTheme="minorEastAsia" w:cstheme="minorEastAsia"/>
          <w:sz w:val="24"/>
          <w:szCs w:val="24"/>
        </w:rPr>
      </w:pPr>
    </w:p>
    <w:p>
      <w:pPr>
        <w:spacing w:line="360" w:lineRule="auto"/>
        <w:ind w:firstLine="3840" w:firstLineChars="16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FFFFFFF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napToGrid w:val="0"/>
      <w:jc w:val="center"/>
    </w:pPr>
    <w:r>
      <w:fldChar w:fldCharType="begin"/>
    </w:r>
    <w:r>
      <w:instrText xml:space="preserve">PAGE  \* MERGEFORMAT</w:instrText>
    </w:r>
    <w:r>
      <w:fldChar w:fldCharType="separate"/>
    </w:r>
    <w:r>
      <w:t>2</w:t>
    </w:r>
    <w:r>
      <w:fldChar w:fldCharType="end"/>
    </w:r>
  </w:p>
  <w:p>
    <w:pPr>
      <w:pStyle w:val="22"/>
      <w:snapToGrid w:val="0"/>
      <w:ind w:right="36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000000" w:sz="0" w:space="0"/>
      </w:pBdr>
      <w:snapToGri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000000" w:sz="0" w:space="0"/>
      </w:pBdr>
      <w:snapToGri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5F4D3"/>
    <w:multiLevelType w:val="singleLevel"/>
    <w:tmpl w:val="8015F4D3"/>
    <w:lvl w:ilvl="0" w:tentative="0">
      <w:start w:val="1"/>
      <w:numFmt w:val="chineseCounting"/>
      <w:suff w:val="nothing"/>
      <w:lvlText w:val="%1、"/>
      <w:lvlJc w:val="left"/>
      <w:pPr>
        <w:ind w:left="0" w:firstLine="420"/>
      </w:pPr>
      <w:rPr>
        <w:rFonts w:hint="eastAsia"/>
      </w:rPr>
    </w:lvl>
  </w:abstractNum>
  <w:abstractNum w:abstractNumId="1">
    <w:nsid w:val="8CBAD165"/>
    <w:multiLevelType w:val="singleLevel"/>
    <w:tmpl w:val="8CBAD165"/>
    <w:lvl w:ilvl="0" w:tentative="0">
      <w:start w:val="1"/>
      <w:numFmt w:val="chineseCounting"/>
      <w:suff w:val="nothing"/>
      <w:lvlText w:val="%1、"/>
      <w:lvlJc w:val="left"/>
      <w:rPr>
        <w:rFonts w:hint="eastAsia"/>
      </w:rPr>
    </w:lvl>
  </w:abstractNum>
  <w:abstractNum w:abstractNumId="2">
    <w:nsid w:val="2F000000"/>
    <w:multiLevelType w:val="multilevel"/>
    <w:tmpl w:val="2F000000"/>
    <w:lvl w:ilvl="0" w:tentative="0">
      <w:start w:val="1"/>
      <w:numFmt w:val="decimal"/>
      <w:pStyle w:val="57"/>
      <w:suff w:val="nothing"/>
      <w:lvlText w:val="%1、"/>
      <w:lvlJc w:val="left"/>
      <w:rPr>
        <w:w w:val="100"/>
        <w:sz w:val="20"/>
        <w:szCs w:val="20"/>
        <w:shd w:val="clear" w:color="auto" w:fill="auto"/>
      </w:rPr>
    </w:lvl>
    <w:lvl w:ilvl="1" w:tentative="0">
      <w:start w:val="1"/>
      <w:numFmt w:val="decimal"/>
      <w:suff w:val="nothing"/>
      <w:lvlText w:val="%1、"/>
      <w:lvlJc w:val="left"/>
      <w:rPr>
        <w:w w:val="100"/>
        <w:sz w:val="20"/>
        <w:szCs w:val="20"/>
        <w:shd w:val="clear" w:color="auto" w:fill="auto"/>
      </w:rPr>
    </w:lvl>
    <w:lvl w:ilvl="2" w:tentative="0">
      <w:start w:val="1"/>
      <w:numFmt w:val="decimal"/>
      <w:suff w:val="nothing"/>
      <w:lvlText w:val="%1、"/>
      <w:lvlJc w:val="left"/>
      <w:rPr>
        <w:w w:val="100"/>
        <w:sz w:val="20"/>
        <w:szCs w:val="20"/>
        <w:shd w:val="clear" w:color="auto" w:fill="auto"/>
      </w:rPr>
    </w:lvl>
    <w:lvl w:ilvl="3" w:tentative="0">
      <w:start w:val="1"/>
      <w:numFmt w:val="decimal"/>
      <w:suff w:val="nothing"/>
      <w:lvlText w:val="%1、"/>
      <w:lvlJc w:val="left"/>
      <w:rPr>
        <w:w w:val="100"/>
        <w:sz w:val="20"/>
        <w:szCs w:val="20"/>
        <w:shd w:val="clear" w:color="auto" w:fill="auto"/>
      </w:rPr>
    </w:lvl>
    <w:lvl w:ilvl="4" w:tentative="0">
      <w:start w:val="1"/>
      <w:numFmt w:val="decimal"/>
      <w:suff w:val="nothing"/>
      <w:lvlText w:val="%1、"/>
      <w:lvlJc w:val="left"/>
      <w:rPr>
        <w:w w:val="100"/>
        <w:sz w:val="20"/>
        <w:szCs w:val="20"/>
        <w:shd w:val="clear" w:color="auto" w:fill="auto"/>
      </w:rPr>
    </w:lvl>
    <w:lvl w:ilvl="5" w:tentative="0">
      <w:start w:val="1"/>
      <w:numFmt w:val="decimal"/>
      <w:suff w:val="nothing"/>
      <w:lvlText w:val="%1、"/>
      <w:lvlJc w:val="left"/>
      <w:rPr>
        <w:w w:val="100"/>
        <w:sz w:val="20"/>
        <w:szCs w:val="20"/>
        <w:shd w:val="clear" w:color="auto" w:fill="auto"/>
      </w:rPr>
    </w:lvl>
    <w:lvl w:ilvl="6" w:tentative="0">
      <w:start w:val="1"/>
      <w:numFmt w:val="decimal"/>
      <w:suff w:val="nothing"/>
      <w:lvlText w:val="%1、"/>
      <w:lvlJc w:val="left"/>
      <w:rPr>
        <w:w w:val="100"/>
        <w:sz w:val="20"/>
        <w:szCs w:val="20"/>
        <w:shd w:val="clear" w:color="auto" w:fill="auto"/>
      </w:rPr>
    </w:lvl>
    <w:lvl w:ilvl="7" w:tentative="0">
      <w:start w:val="1"/>
      <w:numFmt w:val="decimal"/>
      <w:suff w:val="nothing"/>
      <w:lvlText w:val="%1、"/>
      <w:lvlJc w:val="left"/>
      <w:rPr>
        <w:w w:val="100"/>
        <w:sz w:val="20"/>
        <w:szCs w:val="20"/>
        <w:shd w:val="clear" w:color="auto" w:fill="auto"/>
      </w:rPr>
    </w:lvl>
    <w:lvl w:ilvl="8" w:tentative="0">
      <w:start w:val="1"/>
      <w:numFmt w:val="decimal"/>
      <w:suff w:val="nothing"/>
      <w:lvlText w:val="%1、"/>
      <w:lvlJc w:val="left"/>
      <w:rPr>
        <w:w w:val="100"/>
        <w:sz w:val="20"/>
        <w:szCs w:val="20"/>
        <w:shd w:val="clear" w:color="auto" w:fill="auto"/>
      </w:rPr>
    </w:lvl>
  </w:abstractNum>
  <w:abstractNum w:abstractNumId="3">
    <w:nsid w:val="65D73FAF"/>
    <w:multiLevelType w:val="singleLevel"/>
    <w:tmpl w:val="65D73FAF"/>
    <w:lvl w:ilvl="0" w:tentative="0">
      <w:start w:val="1"/>
      <w:numFmt w:val="chineseCounting"/>
      <w:suff w:val="nothing"/>
      <w:lvlText w:val="%1、"/>
      <w:lvlJc w:val="left"/>
      <w:rPr>
        <w:rFonts w:hint="eastAsia"/>
      </w:rPr>
    </w:lvl>
  </w:abstractNum>
  <w:abstractNum w:abstractNumId="4">
    <w:nsid w:val="759BFF57"/>
    <w:multiLevelType w:val="singleLevel"/>
    <w:tmpl w:val="759BFF57"/>
    <w:lvl w:ilvl="0" w:tentative="0">
      <w:start w:val="1"/>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zViYTA1YWNmYmEwMTFhY2VkZjFmMzY2OWMzYzU2Y2UifQ=="/>
  </w:docVars>
  <w:rsids>
    <w:rsidRoot w:val="00681BC8"/>
    <w:rsid w:val="000B1C02"/>
    <w:rsid w:val="000D0672"/>
    <w:rsid w:val="00110AB4"/>
    <w:rsid w:val="002B36BB"/>
    <w:rsid w:val="003414D9"/>
    <w:rsid w:val="003B7E5E"/>
    <w:rsid w:val="003E7FCD"/>
    <w:rsid w:val="00497AB8"/>
    <w:rsid w:val="004B6AD0"/>
    <w:rsid w:val="00681BC8"/>
    <w:rsid w:val="006B6BD6"/>
    <w:rsid w:val="00863F6B"/>
    <w:rsid w:val="009D6E80"/>
    <w:rsid w:val="00B1488B"/>
    <w:rsid w:val="00B50C91"/>
    <w:rsid w:val="00BA4D7A"/>
    <w:rsid w:val="00C64061"/>
    <w:rsid w:val="00DF2728"/>
    <w:rsid w:val="00E5430C"/>
    <w:rsid w:val="00F264E3"/>
    <w:rsid w:val="00F4137D"/>
    <w:rsid w:val="00F83CA6"/>
    <w:rsid w:val="00FE70AB"/>
    <w:rsid w:val="04022607"/>
    <w:rsid w:val="05FC2EAD"/>
    <w:rsid w:val="09565C05"/>
    <w:rsid w:val="0FA12600"/>
    <w:rsid w:val="10386925"/>
    <w:rsid w:val="11A762C5"/>
    <w:rsid w:val="13207779"/>
    <w:rsid w:val="138055EC"/>
    <w:rsid w:val="15F11C59"/>
    <w:rsid w:val="185558D5"/>
    <w:rsid w:val="1D1125A5"/>
    <w:rsid w:val="217659DD"/>
    <w:rsid w:val="288151E5"/>
    <w:rsid w:val="29911CEE"/>
    <w:rsid w:val="2AA84B08"/>
    <w:rsid w:val="2BA61671"/>
    <w:rsid w:val="2DF00D6D"/>
    <w:rsid w:val="2E301307"/>
    <w:rsid w:val="30A95D0D"/>
    <w:rsid w:val="328E41AE"/>
    <w:rsid w:val="34425D2A"/>
    <w:rsid w:val="3AF14118"/>
    <w:rsid w:val="3FD039E1"/>
    <w:rsid w:val="40122285"/>
    <w:rsid w:val="40DC68A2"/>
    <w:rsid w:val="443C3C9C"/>
    <w:rsid w:val="4C9149E5"/>
    <w:rsid w:val="4F0C216C"/>
    <w:rsid w:val="4F9179F7"/>
    <w:rsid w:val="50856C8D"/>
    <w:rsid w:val="51DD1DC6"/>
    <w:rsid w:val="52D2705A"/>
    <w:rsid w:val="530A38B1"/>
    <w:rsid w:val="55A06E1A"/>
    <w:rsid w:val="5D752343"/>
    <w:rsid w:val="5D7978EF"/>
    <w:rsid w:val="612D77F0"/>
    <w:rsid w:val="64416B09"/>
    <w:rsid w:val="666F7767"/>
    <w:rsid w:val="6BF13617"/>
    <w:rsid w:val="6CC5776E"/>
    <w:rsid w:val="6D522236"/>
    <w:rsid w:val="6FB846B1"/>
    <w:rsid w:val="70FD7B7E"/>
    <w:rsid w:val="74693C99"/>
    <w:rsid w:val="792D0B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name="toc 1"/>
    <w:lsdException w:qFormat="1" w:unhideWhenUsed="0" w:uiPriority="29"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18"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imes New Roman" w:hAnsi="Times New Roman" w:eastAsia="Times New Roman" w:cs="黑体"/>
      <w:sz w:val="21"/>
      <w:szCs w:val="21"/>
      <w:lang w:val="en-US" w:eastAsia="zh-CN" w:bidi="ar-SA"/>
    </w:rPr>
  </w:style>
  <w:style w:type="paragraph" w:styleId="3">
    <w:name w:val="heading 1"/>
    <w:next w:val="1"/>
    <w:autoRedefine/>
    <w:qFormat/>
    <w:uiPriority w:val="7"/>
    <w:pPr>
      <w:jc w:val="both"/>
      <w:outlineLvl w:val="0"/>
    </w:pPr>
    <w:rPr>
      <w:rFonts w:ascii="Times New Roman" w:hAnsi="Times New Roman" w:eastAsia="Times New Roman" w:cs="黑体"/>
      <w:sz w:val="28"/>
      <w:szCs w:val="28"/>
      <w:lang w:val="en-US" w:eastAsia="zh-CN" w:bidi="ar-SA"/>
    </w:rPr>
  </w:style>
  <w:style w:type="paragraph" w:styleId="4">
    <w:name w:val="heading 2"/>
    <w:basedOn w:val="1"/>
    <w:next w:val="1"/>
    <w:autoRedefine/>
    <w:qFormat/>
    <w:uiPriority w:val="8"/>
    <w:pPr>
      <w:keepNext/>
      <w:keepLines/>
      <w:outlineLvl w:val="1"/>
    </w:pPr>
    <w:rPr>
      <w:rFonts w:ascii="Arial" w:hAnsi="Arial" w:eastAsia="Arial"/>
      <w:b/>
      <w:sz w:val="32"/>
      <w:szCs w:val="32"/>
    </w:rPr>
  </w:style>
  <w:style w:type="paragraph" w:styleId="5">
    <w:name w:val="heading 3"/>
    <w:basedOn w:val="1"/>
    <w:next w:val="1"/>
    <w:autoRedefine/>
    <w:qFormat/>
    <w:uiPriority w:val="9"/>
    <w:pPr>
      <w:ind w:left="1000" w:hanging="400"/>
      <w:outlineLvl w:val="2"/>
    </w:pPr>
  </w:style>
  <w:style w:type="paragraph" w:styleId="6">
    <w:name w:val="heading 4"/>
    <w:basedOn w:val="1"/>
    <w:next w:val="1"/>
    <w:autoRedefine/>
    <w:qFormat/>
    <w:uiPriority w:val="10"/>
    <w:pPr>
      <w:ind w:left="1200" w:hanging="400"/>
      <w:outlineLvl w:val="3"/>
    </w:pPr>
    <w:rPr>
      <w:b/>
    </w:rPr>
  </w:style>
  <w:style w:type="paragraph" w:styleId="7">
    <w:name w:val="heading 5"/>
    <w:next w:val="1"/>
    <w:autoRedefine/>
    <w:qFormat/>
    <w:uiPriority w:val="11"/>
    <w:pPr>
      <w:ind w:left="1400" w:hanging="400"/>
      <w:jc w:val="both"/>
      <w:outlineLvl w:val="4"/>
    </w:pPr>
    <w:rPr>
      <w:rFonts w:ascii="Times New Roman" w:hAnsi="Times New Roman" w:eastAsia="Times New Roman" w:cs="黑体"/>
      <w:sz w:val="21"/>
      <w:szCs w:val="21"/>
      <w:lang w:val="en-US" w:eastAsia="zh-CN" w:bidi="ar-SA"/>
    </w:rPr>
  </w:style>
  <w:style w:type="paragraph" w:styleId="8">
    <w:name w:val="heading 6"/>
    <w:next w:val="1"/>
    <w:autoRedefine/>
    <w:qFormat/>
    <w:uiPriority w:val="12"/>
    <w:pPr>
      <w:ind w:left="1600" w:hanging="400"/>
      <w:jc w:val="both"/>
      <w:outlineLvl w:val="5"/>
    </w:pPr>
    <w:rPr>
      <w:rFonts w:ascii="Times New Roman" w:hAnsi="Times New Roman" w:eastAsia="Times New Roman" w:cs="黑体"/>
      <w:b/>
      <w:sz w:val="21"/>
      <w:szCs w:val="21"/>
      <w:lang w:val="en-US" w:eastAsia="zh-CN" w:bidi="ar-SA"/>
    </w:rPr>
  </w:style>
  <w:style w:type="paragraph" w:styleId="9">
    <w:name w:val="heading 7"/>
    <w:next w:val="1"/>
    <w:autoRedefine/>
    <w:qFormat/>
    <w:uiPriority w:val="13"/>
    <w:pPr>
      <w:ind w:left="1800" w:hanging="400"/>
      <w:jc w:val="both"/>
      <w:outlineLvl w:val="6"/>
    </w:pPr>
    <w:rPr>
      <w:rFonts w:ascii="Times New Roman" w:hAnsi="Times New Roman" w:eastAsia="Times New Roman" w:cs="黑体"/>
      <w:sz w:val="21"/>
      <w:szCs w:val="21"/>
      <w:lang w:val="en-US" w:eastAsia="zh-CN" w:bidi="ar-SA"/>
    </w:rPr>
  </w:style>
  <w:style w:type="paragraph" w:styleId="10">
    <w:name w:val="heading 8"/>
    <w:next w:val="1"/>
    <w:autoRedefine/>
    <w:qFormat/>
    <w:uiPriority w:val="14"/>
    <w:pPr>
      <w:ind w:left="2000" w:hanging="400"/>
      <w:jc w:val="both"/>
      <w:outlineLvl w:val="7"/>
    </w:pPr>
    <w:rPr>
      <w:rFonts w:ascii="Times New Roman" w:hAnsi="Times New Roman" w:eastAsia="Times New Roman" w:cs="黑体"/>
      <w:sz w:val="21"/>
      <w:szCs w:val="21"/>
      <w:lang w:val="en-US" w:eastAsia="zh-CN" w:bidi="ar-SA"/>
    </w:rPr>
  </w:style>
  <w:style w:type="paragraph" w:styleId="11">
    <w:name w:val="heading 9"/>
    <w:next w:val="1"/>
    <w:autoRedefine/>
    <w:qFormat/>
    <w:uiPriority w:val="15"/>
    <w:pPr>
      <w:ind w:left="2200" w:hanging="400"/>
      <w:jc w:val="both"/>
      <w:outlineLvl w:val="8"/>
    </w:pPr>
    <w:rPr>
      <w:rFonts w:ascii="Times New Roman" w:hAnsi="Times New Roman" w:eastAsia="Times New Roman" w:cs="黑体"/>
      <w:sz w:val="21"/>
      <w:szCs w:val="21"/>
      <w:lang w:val="en-US" w:eastAsia="zh-CN" w:bidi="ar-SA"/>
    </w:rPr>
  </w:style>
  <w:style w:type="character" w:default="1" w:styleId="36">
    <w:name w:val="Default Paragraph Font"/>
    <w:autoRedefine/>
    <w:unhideWhenUsed/>
    <w:qFormat/>
    <w:uiPriority w:val="1"/>
  </w:style>
  <w:style w:type="table" w:default="1" w:styleId="35">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rFonts w:ascii="宋体" w:hAnsi="宋体" w:eastAsia="宋体"/>
      <w:sz w:val="24"/>
      <w:szCs w:val="24"/>
    </w:rPr>
  </w:style>
  <w:style w:type="paragraph" w:styleId="12">
    <w:name w:val="toc 7"/>
    <w:next w:val="1"/>
    <w:autoRedefine/>
    <w:unhideWhenUsed/>
    <w:qFormat/>
    <w:uiPriority w:val="34"/>
    <w:pPr>
      <w:ind w:left="2550"/>
      <w:jc w:val="both"/>
    </w:pPr>
    <w:rPr>
      <w:rFonts w:ascii="Times New Roman" w:hAnsi="Times New Roman" w:eastAsia="Times New Roman" w:cs="黑体"/>
      <w:sz w:val="21"/>
      <w:szCs w:val="21"/>
      <w:lang w:val="en-US" w:eastAsia="zh-CN" w:bidi="ar-SA"/>
    </w:rPr>
  </w:style>
  <w:style w:type="paragraph" w:styleId="13">
    <w:name w:val="Normal Indent"/>
    <w:basedOn w:val="1"/>
    <w:autoRedefine/>
    <w:qFormat/>
    <w:uiPriority w:val="0"/>
    <w:pPr>
      <w:ind w:firstLine="420"/>
    </w:pPr>
    <w:rPr>
      <w:rFonts w:ascii="幼圆" w:eastAsia="幼圆"/>
      <w:sz w:val="24"/>
      <w:szCs w:val="20"/>
    </w:rPr>
  </w:style>
  <w:style w:type="paragraph" w:styleId="14">
    <w:name w:val="annotation text"/>
    <w:basedOn w:val="1"/>
    <w:link w:val="74"/>
    <w:autoRedefine/>
    <w:qFormat/>
    <w:uiPriority w:val="0"/>
  </w:style>
  <w:style w:type="paragraph" w:styleId="15">
    <w:name w:val="Body Text Indent"/>
    <w:basedOn w:val="1"/>
    <w:next w:val="16"/>
    <w:autoRedefine/>
    <w:qFormat/>
    <w:uiPriority w:val="0"/>
    <w:pPr>
      <w:widowControl/>
      <w:ind w:firstLine="630"/>
    </w:pPr>
    <w:rPr>
      <w:sz w:val="32"/>
      <w:szCs w:val="32"/>
    </w:rPr>
  </w:style>
  <w:style w:type="paragraph" w:styleId="16">
    <w:name w:val="envelope return"/>
    <w:basedOn w:val="1"/>
    <w:autoRedefine/>
    <w:qFormat/>
    <w:uiPriority w:val="0"/>
    <w:rPr>
      <w:rFonts w:ascii="Arial" w:hAnsi="Arial" w:eastAsia="Arial"/>
      <w:sz w:val="20"/>
      <w:szCs w:val="20"/>
    </w:rPr>
  </w:style>
  <w:style w:type="paragraph" w:styleId="17">
    <w:name w:val="toc 5"/>
    <w:next w:val="1"/>
    <w:autoRedefine/>
    <w:unhideWhenUsed/>
    <w:qFormat/>
    <w:uiPriority w:val="32"/>
    <w:pPr>
      <w:ind w:left="1700"/>
      <w:jc w:val="both"/>
    </w:pPr>
    <w:rPr>
      <w:rFonts w:ascii="Times New Roman" w:hAnsi="Times New Roman" w:eastAsia="Times New Roman" w:cs="黑体"/>
      <w:sz w:val="21"/>
      <w:szCs w:val="21"/>
      <w:lang w:val="en-US" w:eastAsia="zh-CN" w:bidi="ar-SA"/>
    </w:rPr>
  </w:style>
  <w:style w:type="paragraph" w:styleId="18">
    <w:name w:val="toc 3"/>
    <w:next w:val="1"/>
    <w:autoRedefine/>
    <w:unhideWhenUsed/>
    <w:qFormat/>
    <w:uiPriority w:val="30"/>
    <w:pPr>
      <w:ind w:left="850"/>
      <w:jc w:val="both"/>
    </w:pPr>
    <w:rPr>
      <w:rFonts w:ascii="Times New Roman" w:hAnsi="Times New Roman" w:eastAsia="Times New Roman" w:cs="黑体"/>
      <w:sz w:val="21"/>
      <w:szCs w:val="21"/>
      <w:lang w:val="en-US" w:eastAsia="zh-CN" w:bidi="ar-SA"/>
    </w:rPr>
  </w:style>
  <w:style w:type="paragraph" w:styleId="19">
    <w:name w:val="Plain Text"/>
    <w:basedOn w:val="1"/>
    <w:autoRedefine/>
    <w:qFormat/>
    <w:uiPriority w:val="0"/>
    <w:rPr>
      <w:rFonts w:ascii="宋体" w:hAnsi="宋体" w:eastAsia="Courier New"/>
      <w:sz w:val="20"/>
      <w:szCs w:val="20"/>
    </w:rPr>
  </w:style>
  <w:style w:type="paragraph" w:styleId="20">
    <w:name w:val="toc 8"/>
    <w:next w:val="1"/>
    <w:autoRedefine/>
    <w:unhideWhenUsed/>
    <w:qFormat/>
    <w:uiPriority w:val="35"/>
    <w:pPr>
      <w:ind w:left="2975"/>
      <w:jc w:val="both"/>
    </w:pPr>
    <w:rPr>
      <w:rFonts w:ascii="Times New Roman" w:hAnsi="Times New Roman" w:eastAsia="Times New Roman" w:cs="黑体"/>
      <w:sz w:val="21"/>
      <w:szCs w:val="21"/>
      <w:lang w:val="en-US" w:eastAsia="zh-CN" w:bidi="ar-SA"/>
    </w:rPr>
  </w:style>
  <w:style w:type="paragraph" w:styleId="21">
    <w:name w:val="Balloon Text"/>
    <w:basedOn w:val="1"/>
    <w:link w:val="76"/>
    <w:autoRedefine/>
    <w:qFormat/>
    <w:uiPriority w:val="0"/>
    <w:rPr>
      <w:sz w:val="18"/>
      <w:szCs w:val="18"/>
    </w:rPr>
  </w:style>
  <w:style w:type="paragraph" w:styleId="22">
    <w:name w:val="footer"/>
    <w:basedOn w:val="1"/>
    <w:autoRedefine/>
    <w:qFormat/>
    <w:uiPriority w:val="0"/>
    <w:pPr>
      <w:tabs>
        <w:tab w:val="center" w:pos="4153"/>
        <w:tab w:val="right" w:pos="8306"/>
      </w:tabs>
    </w:pPr>
    <w:rPr>
      <w:sz w:val="18"/>
      <w:szCs w:val="18"/>
    </w:rPr>
  </w:style>
  <w:style w:type="paragraph" w:styleId="23">
    <w:name w:val="header"/>
    <w:basedOn w:val="1"/>
    <w:autoRedefine/>
    <w:qFormat/>
    <w:uiPriority w:val="0"/>
    <w:pPr>
      <w:tabs>
        <w:tab w:val="center" w:pos="4153"/>
        <w:tab w:val="right" w:pos="8306"/>
      </w:tabs>
      <w:jc w:val="center"/>
    </w:pPr>
    <w:rPr>
      <w:sz w:val="18"/>
      <w:szCs w:val="18"/>
    </w:rPr>
  </w:style>
  <w:style w:type="paragraph" w:styleId="24">
    <w:name w:val="toc 1"/>
    <w:basedOn w:val="1"/>
    <w:next w:val="1"/>
    <w:autoRedefine/>
    <w:semiHidden/>
    <w:qFormat/>
    <w:uiPriority w:val="28"/>
  </w:style>
  <w:style w:type="paragraph" w:styleId="25">
    <w:name w:val="toc 4"/>
    <w:next w:val="1"/>
    <w:autoRedefine/>
    <w:unhideWhenUsed/>
    <w:qFormat/>
    <w:uiPriority w:val="31"/>
    <w:pPr>
      <w:ind w:left="1275"/>
      <w:jc w:val="both"/>
    </w:pPr>
    <w:rPr>
      <w:rFonts w:ascii="Times New Roman" w:hAnsi="Times New Roman" w:eastAsia="Times New Roman" w:cs="黑体"/>
      <w:sz w:val="21"/>
      <w:szCs w:val="21"/>
      <w:lang w:val="en-US" w:eastAsia="zh-CN" w:bidi="ar-SA"/>
    </w:rPr>
  </w:style>
  <w:style w:type="paragraph" w:styleId="26">
    <w:name w:val="Subtitle"/>
    <w:autoRedefine/>
    <w:qFormat/>
    <w:uiPriority w:val="16"/>
    <w:pPr>
      <w:jc w:val="center"/>
    </w:pPr>
    <w:rPr>
      <w:rFonts w:ascii="Times New Roman" w:hAnsi="Times New Roman" w:eastAsia="Times New Roman" w:cs="黑体"/>
      <w:sz w:val="24"/>
      <w:szCs w:val="24"/>
      <w:lang w:val="en-US" w:eastAsia="zh-CN" w:bidi="ar-SA"/>
    </w:rPr>
  </w:style>
  <w:style w:type="paragraph" w:styleId="27">
    <w:name w:val="List"/>
    <w:autoRedefine/>
    <w:qFormat/>
    <w:uiPriority w:val="0"/>
    <w:pPr>
      <w:widowControl w:val="0"/>
      <w:ind w:left="420" w:hanging="420"/>
      <w:jc w:val="both"/>
    </w:pPr>
    <w:rPr>
      <w:rFonts w:ascii="Arial" w:hAnsi="Arial" w:eastAsia="楷体_GB2312" w:cs="Times New Roman"/>
      <w:kern w:val="2"/>
      <w:sz w:val="28"/>
      <w:szCs w:val="24"/>
      <w:lang w:val="en-US" w:eastAsia="zh-CN" w:bidi="ar-SA"/>
    </w:rPr>
  </w:style>
  <w:style w:type="paragraph" w:styleId="28">
    <w:name w:val="toc 6"/>
    <w:next w:val="1"/>
    <w:autoRedefine/>
    <w:unhideWhenUsed/>
    <w:qFormat/>
    <w:uiPriority w:val="33"/>
    <w:pPr>
      <w:ind w:left="2125"/>
      <w:jc w:val="both"/>
    </w:pPr>
    <w:rPr>
      <w:rFonts w:ascii="Times New Roman" w:hAnsi="Times New Roman" w:eastAsia="Times New Roman" w:cs="黑体"/>
      <w:sz w:val="21"/>
      <w:szCs w:val="21"/>
      <w:lang w:val="en-US" w:eastAsia="zh-CN" w:bidi="ar-SA"/>
    </w:rPr>
  </w:style>
  <w:style w:type="paragraph" w:styleId="29">
    <w:name w:val="toc 2"/>
    <w:basedOn w:val="1"/>
    <w:next w:val="1"/>
    <w:autoRedefine/>
    <w:semiHidden/>
    <w:qFormat/>
    <w:uiPriority w:val="29"/>
    <w:pPr>
      <w:ind w:left="420"/>
    </w:pPr>
  </w:style>
  <w:style w:type="paragraph" w:styleId="30">
    <w:name w:val="toc 9"/>
    <w:next w:val="1"/>
    <w:autoRedefine/>
    <w:unhideWhenUsed/>
    <w:qFormat/>
    <w:uiPriority w:val="36"/>
    <w:pPr>
      <w:ind w:left="3400"/>
      <w:jc w:val="both"/>
    </w:pPr>
    <w:rPr>
      <w:rFonts w:ascii="Times New Roman" w:hAnsi="Times New Roman" w:eastAsia="Times New Roman" w:cs="黑体"/>
      <w:sz w:val="21"/>
      <w:szCs w:val="21"/>
      <w:lang w:val="en-US" w:eastAsia="zh-CN" w:bidi="ar-SA"/>
    </w:rPr>
  </w:style>
  <w:style w:type="paragraph" w:styleId="31">
    <w:name w:val="Normal (Web)"/>
    <w:basedOn w:val="1"/>
    <w:autoRedefine/>
    <w:qFormat/>
    <w:uiPriority w:val="0"/>
    <w:pPr>
      <w:widowControl w:val="0"/>
    </w:pPr>
    <w:rPr>
      <w:rFonts w:ascii="Calibri" w:hAnsi="Calibri" w:eastAsia="宋体" w:cs="Calibri"/>
      <w:kern w:val="2"/>
      <w:sz w:val="24"/>
      <w:szCs w:val="24"/>
    </w:rPr>
  </w:style>
  <w:style w:type="paragraph" w:styleId="32">
    <w:name w:val="Title"/>
    <w:autoRedefine/>
    <w:qFormat/>
    <w:uiPriority w:val="6"/>
    <w:pPr>
      <w:jc w:val="center"/>
    </w:pPr>
    <w:rPr>
      <w:rFonts w:ascii="Times New Roman" w:hAnsi="Times New Roman" w:eastAsia="Times New Roman" w:cs="黑体"/>
      <w:b/>
      <w:sz w:val="32"/>
      <w:szCs w:val="32"/>
      <w:lang w:val="en-US" w:eastAsia="zh-CN" w:bidi="ar-SA"/>
    </w:rPr>
  </w:style>
  <w:style w:type="paragraph" w:styleId="33">
    <w:name w:val="annotation subject"/>
    <w:basedOn w:val="14"/>
    <w:next w:val="14"/>
    <w:link w:val="75"/>
    <w:autoRedefine/>
    <w:qFormat/>
    <w:uiPriority w:val="0"/>
    <w:rPr>
      <w:b/>
      <w:sz w:val="20"/>
      <w:szCs w:val="20"/>
    </w:rPr>
  </w:style>
  <w:style w:type="paragraph" w:styleId="34">
    <w:name w:val="Body Text First Indent 2"/>
    <w:basedOn w:val="15"/>
    <w:next w:val="27"/>
    <w:autoRedefine/>
    <w:qFormat/>
    <w:uiPriority w:val="0"/>
    <w:pPr>
      <w:ind w:left="420" w:firstLine="420"/>
    </w:pPr>
    <w:rPr>
      <w:rFonts w:ascii="Times New Roman" w:hAnsi="Times New Roman" w:eastAsia="Times New Roman"/>
      <w:sz w:val="20"/>
      <w:szCs w:val="20"/>
    </w:rPr>
  </w:style>
  <w:style w:type="character" w:styleId="37">
    <w:name w:val="Strong"/>
    <w:basedOn w:val="36"/>
    <w:autoRedefine/>
    <w:qFormat/>
    <w:uiPriority w:val="0"/>
  </w:style>
  <w:style w:type="character" w:styleId="38">
    <w:name w:val="page number"/>
    <w:basedOn w:val="36"/>
    <w:autoRedefine/>
    <w:qFormat/>
    <w:uiPriority w:val="0"/>
  </w:style>
  <w:style w:type="character" w:styleId="39">
    <w:name w:val="FollowedHyperlink"/>
    <w:basedOn w:val="36"/>
    <w:autoRedefine/>
    <w:qFormat/>
    <w:uiPriority w:val="0"/>
    <w:rPr>
      <w:color w:val="800080"/>
      <w:w w:val="100"/>
      <w:sz w:val="20"/>
      <w:szCs w:val="20"/>
      <w:u w:val="none"/>
      <w:shd w:val="clear" w:color="auto" w:fill="auto"/>
    </w:rPr>
  </w:style>
  <w:style w:type="character" w:styleId="40">
    <w:name w:val="Emphasis"/>
    <w:basedOn w:val="36"/>
    <w:autoRedefine/>
    <w:qFormat/>
    <w:uiPriority w:val="18"/>
  </w:style>
  <w:style w:type="character" w:styleId="41">
    <w:name w:val="HTML Definition"/>
    <w:basedOn w:val="36"/>
    <w:autoRedefine/>
    <w:qFormat/>
    <w:uiPriority w:val="0"/>
  </w:style>
  <w:style w:type="character" w:styleId="42">
    <w:name w:val="HTML Typewriter"/>
    <w:basedOn w:val="36"/>
    <w:autoRedefine/>
    <w:qFormat/>
    <w:uiPriority w:val="0"/>
    <w:rPr>
      <w:rFonts w:ascii="monospace" w:hAnsi="monospace" w:eastAsia="monospace"/>
      <w:w w:val="100"/>
      <w:sz w:val="20"/>
      <w:szCs w:val="20"/>
      <w:shd w:val="clear" w:color="auto" w:fill="auto"/>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666666"/>
      <w:w w:val="100"/>
      <w:sz w:val="20"/>
      <w:szCs w:val="20"/>
      <w:u w:val="none"/>
      <w:shd w:val="clear" w:color="auto" w:fill="auto"/>
    </w:rPr>
  </w:style>
  <w:style w:type="character" w:styleId="46">
    <w:name w:val="HTML Code"/>
    <w:basedOn w:val="36"/>
    <w:autoRedefine/>
    <w:qFormat/>
    <w:uiPriority w:val="0"/>
    <w:rPr>
      <w:rFonts w:ascii="monospace" w:hAnsi="monospace" w:eastAsia="monospace"/>
      <w:w w:val="100"/>
      <w:sz w:val="20"/>
      <w:szCs w:val="20"/>
      <w:shd w:val="clear" w:color="auto" w:fill="auto"/>
    </w:rPr>
  </w:style>
  <w:style w:type="character" w:styleId="47">
    <w:name w:val="annotation reference"/>
    <w:basedOn w:val="36"/>
    <w:autoRedefine/>
    <w:qFormat/>
    <w:uiPriority w:val="0"/>
    <w:rPr>
      <w:w w:val="100"/>
      <w:sz w:val="21"/>
      <w:szCs w:val="21"/>
      <w:shd w:val="clear" w:color="auto" w:fill="auto"/>
    </w:rPr>
  </w:style>
  <w:style w:type="character" w:styleId="48">
    <w:name w:val="HTML Cite"/>
    <w:basedOn w:val="36"/>
    <w:autoRedefine/>
    <w:qFormat/>
    <w:uiPriority w:val="0"/>
  </w:style>
  <w:style w:type="character" w:styleId="49">
    <w:name w:val="HTML Keyboard"/>
    <w:basedOn w:val="36"/>
    <w:autoRedefine/>
    <w:qFormat/>
    <w:uiPriority w:val="0"/>
    <w:rPr>
      <w:rFonts w:ascii="monospace" w:hAnsi="monospace" w:eastAsia="monospace"/>
      <w:w w:val="100"/>
      <w:sz w:val="20"/>
      <w:szCs w:val="20"/>
      <w:shd w:val="clear" w:color="auto" w:fill="auto"/>
    </w:rPr>
  </w:style>
  <w:style w:type="character" w:styleId="50">
    <w:name w:val="HTML Sample"/>
    <w:basedOn w:val="36"/>
    <w:autoRedefine/>
    <w:qFormat/>
    <w:uiPriority w:val="0"/>
    <w:rPr>
      <w:rFonts w:ascii="monospace" w:hAnsi="monospace" w:eastAsia="monospace"/>
      <w:w w:val="100"/>
      <w:sz w:val="20"/>
      <w:szCs w:val="20"/>
      <w:shd w:val="clear" w:color="auto" w:fill="auto"/>
    </w:rPr>
  </w:style>
  <w:style w:type="paragraph" w:customStyle="1" w:styleId="51">
    <w:name w:val="正文1"/>
    <w:autoRedefine/>
    <w:qFormat/>
    <w:uiPriority w:val="99"/>
    <w:pPr>
      <w:widowControl w:val="0"/>
      <w:spacing w:line="360" w:lineRule="auto"/>
      <w:jc w:val="both"/>
    </w:pPr>
    <w:rPr>
      <w:rFonts w:ascii="宋体" w:hAnsi="宋体" w:eastAsia="宋体" w:cs="宋体"/>
      <w:sz w:val="21"/>
      <w:szCs w:val="21"/>
      <w:lang w:val="en-US" w:eastAsia="zh-CN" w:bidi="ar-SA"/>
    </w:rPr>
  </w:style>
  <w:style w:type="paragraph" w:customStyle="1" w:styleId="52">
    <w:name w:val="无间隔1"/>
    <w:autoRedefine/>
    <w:qFormat/>
    <w:uiPriority w:val="5"/>
    <w:pPr>
      <w:jc w:val="both"/>
    </w:pPr>
    <w:rPr>
      <w:rFonts w:ascii="Times New Roman" w:hAnsi="Times New Roman" w:eastAsia="Times New Roman" w:cs="黑体"/>
      <w:sz w:val="21"/>
      <w:szCs w:val="21"/>
      <w:lang w:val="en-US" w:eastAsia="zh-CN" w:bidi="ar-SA"/>
    </w:rPr>
  </w:style>
  <w:style w:type="paragraph" w:customStyle="1" w:styleId="53">
    <w:name w:val="引用1"/>
    <w:autoRedefine/>
    <w:qFormat/>
    <w:uiPriority w:val="21"/>
    <w:pPr>
      <w:ind w:left="864" w:right="864"/>
      <w:jc w:val="center"/>
    </w:pPr>
    <w:rPr>
      <w:rFonts w:ascii="Times New Roman" w:hAnsi="Times New Roman" w:eastAsia="Times New Roman" w:cs="黑体"/>
      <w:i/>
      <w:color w:val="404040"/>
      <w:sz w:val="21"/>
      <w:szCs w:val="21"/>
      <w:lang w:val="en-US" w:eastAsia="zh-CN" w:bidi="ar-SA"/>
    </w:rPr>
  </w:style>
  <w:style w:type="paragraph" w:customStyle="1" w:styleId="54">
    <w:name w:val="明显引用1"/>
    <w:autoRedefine/>
    <w:qFormat/>
    <w:uiPriority w:val="22"/>
    <w:pPr>
      <w:ind w:left="950" w:right="950"/>
      <w:jc w:val="center"/>
    </w:pPr>
    <w:rPr>
      <w:rFonts w:ascii="Times New Roman" w:hAnsi="Times New Roman" w:eastAsia="Times New Roman" w:cs="黑体"/>
      <w:i/>
      <w:color w:val="5B9BD5"/>
      <w:sz w:val="21"/>
      <w:szCs w:val="21"/>
      <w:lang w:val="en-US" w:eastAsia="zh-CN" w:bidi="ar-SA"/>
    </w:rPr>
  </w:style>
  <w:style w:type="paragraph" w:customStyle="1" w:styleId="55">
    <w:name w:val="列表段落1"/>
    <w:autoRedefine/>
    <w:qFormat/>
    <w:uiPriority w:val="34"/>
    <w:pPr>
      <w:ind w:left="850"/>
      <w:jc w:val="both"/>
    </w:pPr>
    <w:rPr>
      <w:rFonts w:ascii="Times New Roman" w:hAnsi="Times New Roman" w:eastAsia="Times New Roman" w:cs="黑体"/>
      <w:sz w:val="21"/>
      <w:szCs w:val="21"/>
      <w:lang w:val="en-US" w:eastAsia="zh-CN" w:bidi="ar-SA"/>
    </w:rPr>
  </w:style>
  <w:style w:type="paragraph" w:customStyle="1" w:styleId="56">
    <w:name w:val="TOC 标题1"/>
    <w:unhideWhenUsed/>
    <w:qFormat/>
    <w:uiPriority w:val="27"/>
    <w:rPr>
      <w:rFonts w:ascii="Times New Roman" w:hAnsi="Times New Roman" w:eastAsia="Times New Roman" w:cs="黑体"/>
      <w:color w:val="2E74B5"/>
      <w:sz w:val="32"/>
      <w:szCs w:val="32"/>
      <w:lang w:val="en-US" w:eastAsia="zh-CN" w:bidi="ar-SA"/>
    </w:rPr>
  </w:style>
  <w:style w:type="paragraph" w:customStyle="1" w:styleId="57">
    <w:name w:val="001大标题"/>
    <w:basedOn w:val="1"/>
    <w:autoRedefine/>
    <w:qFormat/>
    <w:uiPriority w:val="0"/>
    <w:pPr>
      <w:numPr>
        <w:ilvl w:val="0"/>
        <w:numId w:val="1"/>
      </w:numPr>
      <w:tabs>
        <w:tab w:val="left" w:pos="1080"/>
      </w:tabs>
      <w:jc w:val="center"/>
    </w:pPr>
    <w:rPr>
      <w:rFonts w:ascii="宋体" w:hAnsi="宋体" w:eastAsia="宋体"/>
      <w:b/>
      <w:sz w:val="30"/>
      <w:szCs w:val="30"/>
    </w:rPr>
  </w:style>
  <w:style w:type="paragraph" w:customStyle="1" w:styleId="58">
    <w:name w:val="002标题"/>
    <w:basedOn w:val="1"/>
    <w:autoRedefine/>
    <w:qFormat/>
    <w:uiPriority w:val="0"/>
    <w:pPr>
      <w:jc w:val="center"/>
    </w:pPr>
    <w:rPr>
      <w:sz w:val="30"/>
      <w:szCs w:val="30"/>
    </w:rPr>
  </w:style>
  <w:style w:type="paragraph" w:customStyle="1" w:styleId="59">
    <w:name w:val="样式"/>
    <w:autoRedefine/>
    <w:qFormat/>
    <w:uiPriority w:val="0"/>
    <w:pPr>
      <w:autoSpaceDE w:val="0"/>
      <w:autoSpaceDN w:val="0"/>
    </w:pPr>
    <w:rPr>
      <w:rFonts w:ascii="宋体" w:hAnsi="宋体" w:eastAsia="宋体" w:cs="黑体"/>
      <w:sz w:val="24"/>
      <w:szCs w:val="24"/>
      <w:lang w:val="en-US" w:eastAsia="zh-CN" w:bidi="ar-SA"/>
    </w:rPr>
  </w:style>
  <w:style w:type="paragraph" w:customStyle="1" w:styleId="60">
    <w:name w:val="Table Paragraph"/>
    <w:basedOn w:val="1"/>
    <w:autoRedefine/>
    <w:qFormat/>
    <w:uiPriority w:val="0"/>
    <w:rPr>
      <w:rFonts w:ascii="宋体" w:hAnsi="宋体" w:eastAsia="宋体"/>
      <w:sz w:val="20"/>
      <w:szCs w:val="20"/>
    </w:rPr>
  </w:style>
  <w:style w:type="paragraph" w:customStyle="1" w:styleId="61">
    <w:name w:val="01标题一"/>
    <w:basedOn w:val="1"/>
    <w:autoRedefine/>
    <w:qFormat/>
    <w:uiPriority w:val="0"/>
    <w:rPr>
      <w:rFonts w:ascii="宋体" w:hAnsi="宋体" w:eastAsia="宋体"/>
      <w:b/>
      <w:sz w:val="28"/>
      <w:szCs w:val="28"/>
    </w:rPr>
  </w:style>
  <w:style w:type="paragraph" w:customStyle="1" w:styleId="62">
    <w:name w:val="Default"/>
    <w:basedOn w:val="1"/>
    <w:autoRedefine/>
    <w:qFormat/>
    <w:uiPriority w:val="0"/>
    <w:pPr>
      <w:autoSpaceDE w:val="0"/>
      <w:autoSpaceDN w:val="0"/>
      <w:adjustRightInd w:val="0"/>
      <w:jc w:val="left"/>
    </w:pPr>
    <w:rPr>
      <w:rFonts w:ascii="黑体" w:hAnsi="黑体" w:eastAsia="黑体" w:cs="宋体"/>
    </w:rPr>
  </w:style>
  <w:style w:type="character" w:customStyle="1" w:styleId="63">
    <w:name w:val="不明显强调1"/>
    <w:autoRedefine/>
    <w:qFormat/>
    <w:uiPriority w:val="17"/>
    <w:rPr>
      <w:i/>
      <w:color w:val="404040"/>
      <w:w w:val="100"/>
      <w:sz w:val="21"/>
      <w:szCs w:val="21"/>
      <w:shd w:val="clear" w:color="auto" w:fill="auto"/>
    </w:rPr>
  </w:style>
  <w:style w:type="character" w:customStyle="1" w:styleId="64">
    <w:name w:val="明显强调1"/>
    <w:autoRedefine/>
    <w:qFormat/>
    <w:uiPriority w:val="19"/>
    <w:rPr>
      <w:i/>
      <w:color w:val="5B9BD5"/>
      <w:w w:val="100"/>
      <w:sz w:val="21"/>
      <w:szCs w:val="21"/>
      <w:shd w:val="clear" w:color="auto" w:fill="auto"/>
    </w:rPr>
  </w:style>
  <w:style w:type="character" w:customStyle="1" w:styleId="65">
    <w:name w:val="不明显参考1"/>
    <w:autoRedefine/>
    <w:qFormat/>
    <w:uiPriority w:val="23"/>
    <w:rPr>
      <w:smallCaps/>
      <w:color w:val="5A5A5A"/>
      <w:w w:val="100"/>
      <w:sz w:val="21"/>
      <w:szCs w:val="21"/>
      <w:shd w:val="clear" w:color="auto" w:fill="auto"/>
    </w:rPr>
  </w:style>
  <w:style w:type="character" w:customStyle="1" w:styleId="66">
    <w:name w:val="明显参考1"/>
    <w:qFormat/>
    <w:uiPriority w:val="24"/>
    <w:rPr>
      <w:b/>
      <w:smallCaps/>
      <w:color w:val="5B9BD5"/>
      <w:w w:val="100"/>
      <w:sz w:val="21"/>
      <w:szCs w:val="21"/>
      <w:shd w:val="clear" w:color="auto" w:fill="auto"/>
    </w:rPr>
  </w:style>
  <w:style w:type="character" w:customStyle="1" w:styleId="67">
    <w:name w:val="书籍标题1"/>
    <w:autoRedefine/>
    <w:qFormat/>
    <w:uiPriority w:val="25"/>
    <w:rPr>
      <w:b/>
      <w:i/>
      <w:w w:val="100"/>
      <w:sz w:val="21"/>
      <w:szCs w:val="21"/>
      <w:shd w:val="clear" w:color="auto" w:fill="auto"/>
    </w:rPr>
  </w:style>
  <w:style w:type="character" w:customStyle="1" w:styleId="68">
    <w:name w:val="bds_more"/>
    <w:basedOn w:val="36"/>
    <w:autoRedefine/>
    <w:qFormat/>
    <w:uiPriority w:val="0"/>
    <w:rPr>
      <w:rFonts w:ascii="宋体" w:hAnsi="宋体" w:eastAsia="宋体"/>
      <w:w w:val="100"/>
      <w:sz w:val="20"/>
      <w:szCs w:val="20"/>
      <w:shd w:val="clear" w:color="auto" w:fill="auto"/>
    </w:rPr>
  </w:style>
  <w:style w:type="character" w:customStyle="1" w:styleId="69">
    <w:name w:val="bds_more1"/>
    <w:basedOn w:val="36"/>
    <w:autoRedefine/>
    <w:qFormat/>
    <w:uiPriority w:val="0"/>
  </w:style>
  <w:style w:type="character" w:customStyle="1" w:styleId="70">
    <w:name w:val="bds_more2"/>
    <w:basedOn w:val="36"/>
    <w:autoRedefine/>
    <w:qFormat/>
    <w:uiPriority w:val="0"/>
  </w:style>
  <w:style w:type="character" w:customStyle="1" w:styleId="71">
    <w:name w:val="bds_nopic"/>
    <w:basedOn w:val="36"/>
    <w:autoRedefine/>
    <w:qFormat/>
    <w:uiPriority w:val="0"/>
  </w:style>
  <w:style w:type="character" w:customStyle="1" w:styleId="72">
    <w:name w:val="bds_nopic1"/>
    <w:basedOn w:val="36"/>
    <w:autoRedefine/>
    <w:qFormat/>
    <w:uiPriority w:val="0"/>
  </w:style>
  <w:style w:type="character" w:customStyle="1" w:styleId="73">
    <w:name w:val="bds_nopic2"/>
    <w:basedOn w:val="36"/>
    <w:autoRedefine/>
    <w:qFormat/>
    <w:uiPriority w:val="0"/>
  </w:style>
  <w:style w:type="character" w:customStyle="1" w:styleId="74">
    <w:name w:val="批注文字 字符"/>
    <w:basedOn w:val="36"/>
    <w:link w:val="14"/>
    <w:autoRedefine/>
    <w:qFormat/>
    <w:uiPriority w:val="0"/>
    <w:rPr>
      <w:w w:val="100"/>
      <w:sz w:val="21"/>
      <w:szCs w:val="21"/>
      <w:shd w:val="clear" w:color="auto" w:fill="auto"/>
    </w:rPr>
  </w:style>
  <w:style w:type="character" w:customStyle="1" w:styleId="75">
    <w:name w:val="批注主题 字符"/>
    <w:basedOn w:val="74"/>
    <w:link w:val="33"/>
    <w:autoRedefine/>
    <w:qFormat/>
    <w:uiPriority w:val="0"/>
    <w:rPr>
      <w:b/>
      <w:w w:val="100"/>
      <w:sz w:val="20"/>
      <w:szCs w:val="20"/>
      <w:shd w:val="clear" w:color="auto" w:fill="auto"/>
    </w:rPr>
  </w:style>
  <w:style w:type="character" w:customStyle="1" w:styleId="76">
    <w:name w:val="批注框文本 字符"/>
    <w:basedOn w:val="36"/>
    <w:link w:val="21"/>
    <w:autoRedefine/>
    <w:qFormat/>
    <w:uiPriority w:val="0"/>
    <w:rPr>
      <w:w w:val="100"/>
      <w:sz w:val="18"/>
      <w:szCs w:val="18"/>
      <w:shd w:val="clear" w:color="auto" w:fill="auto"/>
    </w:rPr>
  </w:style>
  <w:style w:type="paragraph" w:customStyle="1" w:styleId="77">
    <w:name w:val="列出段落1"/>
    <w:basedOn w:val="1"/>
    <w:autoRedefine/>
    <w:qFormat/>
    <w:uiPriority w:val="0"/>
    <w:pPr>
      <w:ind w:firstLine="420" w:firstLineChars="200"/>
    </w:pPr>
    <w:rPr>
      <w:kern w:val="0"/>
      <w:sz w:val="28"/>
      <w:szCs w:val="20"/>
    </w:rPr>
  </w:style>
  <w:style w:type="paragraph" w:customStyle="1" w:styleId="78">
    <w:name w:val="02标题二"/>
    <w:qFormat/>
    <w:uiPriority w:val="0"/>
    <w:pPr>
      <w:widowControl w:val="0"/>
      <w:ind w:firstLine="562" w:firstLineChars="200"/>
      <w:jc w:val="both"/>
    </w:pPr>
    <w:rPr>
      <w:rFonts w:ascii="Times New Roman" w:hAnsi="Times New Roman" w:eastAsia="宋体" w:cs="华文仿宋"/>
      <w:b/>
      <w:bCs/>
      <w:kern w:val="2"/>
      <w:sz w:val="28"/>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2220</Words>
  <Characters>12655</Characters>
  <Lines>105</Lines>
  <Paragraphs>29</Paragraphs>
  <TotalTime>12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2020-08-14T00:29:00Z</dcterms:created>
  <dc:creator>啊圆呀~</dc:creator>
  <cp:lastModifiedBy>WPS_1683679694</cp:lastModifiedBy>
  <cp:lastPrinted>2024-01-03T00:39:00Z</cp:lastPrinted>
  <dcterms:modified xsi:type="dcterms:W3CDTF">2024-01-04T01:08:06Z</dcterms:modified>
  <dc:title>铜陵学院辅导员协作办公平台服务采购项目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906BA43F91DD426EB4614F281D19E6C2</vt:lpwstr>
  </property>
</Properties>
</file>