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b/>
          <w:bCs/>
          <w:sz w:val="44"/>
          <w:szCs w:val="44"/>
        </w:rPr>
      </w:pPr>
    </w:p>
    <w:p>
      <w:pPr>
        <w:spacing w:line="480" w:lineRule="auto"/>
        <w:jc w:val="center"/>
        <w:rPr>
          <w:rFonts w:hint="eastAsia" w:ascii="宋体" w:hAnsi="宋体" w:eastAsia="宋体" w:cs="宋体"/>
          <w:b/>
          <w:bCs/>
          <w:sz w:val="48"/>
          <w:szCs w:val="48"/>
          <w:lang w:eastAsia="zh-CN"/>
        </w:rPr>
      </w:pPr>
      <w:r>
        <w:rPr>
          <w:rFonts w:hint="eastAsia" w:ascii="宋体" w:hAnsi="宋体" w:cs="宋体"/>
          <w:b/>
          <w:bCs/>
          <w:sz w:val="48"/>
          <w:szCs w:val="48"/>
          <w:lang w:eastAsia="zh-CN"/>
        </w:rPr>
        <w:t>铜陵学院互联网+大学安全教育平台服务采购项目</w:t>
      </w:r>
    </w:p>
    <w:p>
      <w:pPr>
        <w:jc w:val="center"/>
        <w:rPr>
          <w:rFonts w:ascii="宋体" w:hAnsi="宋体" w:eastAsia="宋体" w:cs="宋体"/>
          <w:b/>
          <w:bCs/>
          <w:sz w:val="84"/>
          <w:szCs w:val="84"/>
        </w:rPr>
      </w:pPr>
    </w:p>
    <w:p>
      <w:pPr>
        <w:jc w:val="center"/>
        <w:rPr>
          <w:rFonts w:ascii="宋体" w:hAnsi="宋体" w:eastAsia="宋体" w:cs="宋体"/>
          <w:b/>
          <w:bCs/>
          <w:sz w:val="72"/>
          <w:szCs w:val="72"/>
        </w:rPr>
      </w:pPr>
    </w:p>
    <w:p>
      <w:pPr>
        <w:jc w:val="center"/>
        <w:rPr>
          <w:rFonts w:ascii="宋体" w:hAnsi="宋体" w:eastAsia="宋体" w:cs="宋体"/>
          <w:b/>
          <w:bCs/>
          <w:sz w:val="72"/>
          <w:szCs w:val="72"/>
        </w:rPr>
      </w:pPr>
    </w:p>
    <w:p>
      <w:pPr>
        <w:jc w:val="center"/>
        <w:rPr>
          <w:rFonts w:ascii="宋体" w:hAnsi="宋体" w:eastAsia="宋体"/>
          <w:b/>
          <w:bCs/>
          <w:sz w:val="72"/>
          <w:szCs w:val="72"/>
        </w:rPr>
      </w:pPr>
      <w:r>
        <w:rPr>
          <w:rFonts w:hint="eastAsia" w:ascii="宋体" w:hAnsi="宋体" w:eastAsia="宋体" w:cs="宋体"/>
          <w:b/>
          <w:bCs/>
          <w:sz w:val="72"/>
          <w:szCs w:val="72"/>
        </w:rPr>
        <w:t>竞争性磋商文件</w:t>
      </w:r>
    </w:p>
    <w:p>
      <w:pPr>
        <w:widowControl/>
        <w:shd w:val="clear" w:color="auto" w:fill="FFFFFF"/>
        <w:spacing w:after="600"/>
        <w:jc w:val="center"/>
        <w:rPr>
          <w:rFonts w:hint="eastAsia" w:ascii="宋体" w:hAnsi="宋体" w:eastAsia="宋体"/>
          <w:b/>
          <w:sz w:val="28"/>
        </w:rPr>
      </w:pPr>
      <w:r>
        <w:rPr>
          <w:rFonts w:hint="eastAsia" w:ascii="宋体" w:hAnsi="宋体"/>
          <w:b/>
          <w:sz w:val="28"/>
          <w:lang w:eastAsia="zh-CN"/>
        </w:rPr>
        <w:t>项目编号：</w:t>
      </w:r>
      <w:r>
        <w:rPr>
          <w:rFonts w:hint="eastAsia" w:ascii="宋体" w:hAnsi="宋体"/>
          <w:b/>
          <w:sz w:val="28"/>
          <w:lang w:val="en-US" w:eastAsia="zh-CN"/>
        </w:rPr>
        <w:t>tlxyzb[2020]022号</w:t>
      </w:r>
    </w:p>
    <w:p>
      <w:pPr>
        <w:pStyle w:val="6"/>
        <w:spacing w:line="540" w:lineRule="exact"/>
        <w:ind w:firstLine="560" w:firstLineChars="200"/>
        <w:jc w:val="center"/>
        <w:rPr>
          <w:rFonts w:ascii="宋体" w:hAnsi="宋体" w:eastAsia="宋体"/>
          <w:bCs/>
          <w:sz w:val="28"/>
          <w:szCs w:val="28"/>
        </w:rPr>
      </w:pPr>
    </w:p>
    <w:p>
      <w:pPr>
        <w:jc w:val="center"/>
        <w:rPr>
          <w:rFonts w:ascii="宋体" w:hAnsi="宋体" w:eastAsia="宋体"/>
          <w:b/>
          <w:bCs/>
          <w:sz w:val="48"/>
          <w:szCs w:val="48"/>
        </w:rPr>
      </w:pPr>
    </w:p>
    <w:p>
      <w:pPr>
        <w:rPr>
          <w:rFonts w:ascii="宋体" w:hAnsi="宋体" w:eastAsia="宋体"/>
          <w:b/>
          <w:bCs/>
          <w:sz w:val="30"/>
          <w:szCs w:val="30"/>
        </w:rPr>
      </w:pPr>
    </w:p>
    <w:p>
      <w:pPr>
        <w:rPr>
          <w:rFonts w:ascii="宋体" w:hAnsi="宋体" w:eastAsia="宋体"/>
          <w:b/>
          <w:bCs/>
          <w:sz w:val="30"/>
          <w:szCs w:val="30"/>
        </w:rPr>
      </w:pPr>
    </w:p>
    <w:p>
      <w:pPr>
        <w:snapToGrid w:val="0"/>
        <w:spacing w:line="360" w:lineRule="auto"/>
        <w:ind w:right="-45" w:firstLine="3313" w:firstLineChars="1100"/>
        <w:rPr>
          <w:rFonts w:ascii="宋体" w:hAnsi="宋体" w:eastAsia="宋体"/>
          <w:b/>
          <w:bCs/>
          <w:sz w:val="30"/>
          <w:szCs w:val="30"/>
          <w:u w:val="single"/>
        </w:rPr>
      </w:pPr>
      <w:r>
        <w:rPr>
          <w:rFonts w:hint="eastAsia" w:ascii="宋体" w:hAnsi="宋体" w:eastAsia="宋体"/>
          <w:b/>
          <w:sz w:val="30"/>
          <w:szCs w:val="30"/>
        </w:rPr>
        <w:t>采购人</w:t>
      </w:r>
      <w:r>
        <w:rPr>
          <w:rFonts w:ascii="宋体" w:hAnsi="宋体" w:eastAsia="宋体"/>
          <w:b/>
          <w:sz w:val="30"/>
          <w:szCs w:val="30"/>
        </w:rPr>
        <w:t>:</w:t>
      </w:r>
      <w:r>
        <w:rPr>
          <w:rFonts w:hint="eastAsia" w:ascii="宋体" w:hAnsi="宋体" w:eastAsia="宋体"/>
          <w:b/>
          <w:bCs/>
          <w:sz w:val="30"/>
          <w:szCs w:val="30"/>
          <w:u w:val="single"/>
        </w:rPr>
        <w:t xml:space="preserve"> 铜陵学院</w:t>
      </w:r>
    </w:p>
    <w:p>
      <w:pPr>
        <w:spacing w:line="360" w:lineRule="auto"/>
        <w:ind w:right="-645" w:firstLine="1761" w:firstLineChars="587"/>
        <w:jc w:val="center"/>
        <w:rPr>
          <w:rFonts w:ascii="宋体" w:hAnsi="宋体" w:eastAsia="宋体"/>
          <w:sz w:val="30"/>
          <w:szCs w:val="30"/>
        </w:rPr>
      </w:pPr>
    </w:p>
    <w:p>
      <w:pPr>
        <w:jc w:val="center"/>
        <w:rPr>
          <w:rFonts w:ascii="宋体" w:hAnsi="宋体" w:eastAsia="宋体"/>
          <w:b/>
          <w:bCs/>
          <w:sz w:val="30"/>
          <w:szCs w:val="30"/>
        </w:rPr>
      </w:pPr>
    </w:p>
    <w:p>
      <w:pPr>
        <w:jc w:val="center"/>
        <w:rPr>
          <w:rFonts w:ascii="宋体" w:hAnsi="宋体" w:eastAsia="宋体"/>
          <w:b/>
          <w:bCs/>
          <w:sz w:val="30"/>
          <w:szCs w:val="30"/>
        </w:rPr>
      </w:pPr>
      <w:r>
        <w:rPr>
          <w:rFonts w:hint="eastAsia" w:ascii="宋体" w:hAnsi="宋体" w:eastAsia="宋体" w:cs="宋体"/>
          <w:b/>
          <w:bCs/>
          <w:sz w:val="30"/>
          <w:szCs w:val="30"/>
        </w:rPr>
        <w:t>二〇二</w:t>
      </w:r>
      <w:r>
        <w:rPr>
          <w:rFonts w:hint="eastAsia" w:ascii="宋体" w:hAnsi="宋体" w:cs="宋体"/>
          <w:b/>
          <w:bCs/>
          <w:sz w:val="30"/>
          <w:szCs w:val="30"/>
          <w:lang w:eastAsia="zh-CN"/>
        </w:rPr>
        <w:t>二</w:t>
      </w:r>
      <w:r>
        <w:rPr>
          <w:rFonts w:hint="eastAsia" w:ascii="宋体" w:hAnsi="宋体" w:eastAsia="宋体" w:cs="宋体"/>
          <w:b/>
          <w:bCs/>
          <w:sz w:val="30"/>
          <w:szCs w:val="30"/>
        </w:rPr>
        <w:t>年六月</w:t>
      </w:r>
    </w:p>
    <w:p>
      <w:pPr>
        <w:jc w:val="center"/>
        <w:rPr>
          <w:rFonts w:ascii="宋体" w:hAnsi="宋体" w:eastAsia="宋体"/>
          <w:b/>
          <w:bCs/>
          <w:sz w:val="30"/>
          <w:szCs w:val="30"/>
        </w:rPr>
      </w:pPr>
    </w:p>
    <w:p>
      <w:pPr>
        <w:ind w:firstLine="643" w:firstLineChars="200"/>
        <w:jc w:val="center"/>
        <w:rPr>
          <w:rFonts w:ascii="宋体" w:hAnsi="宋体" w:eastAsia="宋体" w:cs="宋体"/>
          <w:b/>
          <w:bCs/>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851" w:footer="992" w:gutter="0"/>
          <w:cols w:space="720" w:num="1"/>
          <w:titlePg/>
          <w:docGrid w:type="lines" w:linePitch="319" w:charSpace="0"/>
        </w:sectPr>
      </w:pPr>
    </w:p>
    <w:p>
      <w:pPr>
        <w:ind w:firstLine="643" w:firstLineChars="200"/>
        <w:jc w:val="center"/>
        <w:rPr>
          <w:rFonts w:ascii="宋体" w:hAnsi="宋体" w:eastAsia="宋体"/>
          <w:b/>
          <w:bCs/>
          <w:sz w:val="30"/>
          <w:szCs w:val="30"/>
        </w:rPr>
      </w:pPr>
      <w:r>
        <w:rPr>
          <w:rFonts w:hint="eastAsia" w:ascii="宋体" w:hAnsi="宋体" w:eastAsia="宋体" w:cs="宋体"/>
          <w:b/>
          <w:bCs/>
          <w:sz w:val="32"/>
          <w:szCs w:val="32"/>
        </w:rPr>
        <w:t>目   录</w:t>
      </w:r>
    </w:p>
    <w:p>
      <w:pPr>
        <w:pStyle w:val="11"/>
        <w:tabs>
          <w:tab w:val="left" w:pos="1050"/>
          <w:tab w:val="right" w:leader="dot" w:pos="8296"/>
        </w:tabs>
        <w:spacing w:line="520" w:lineRule="exact"/>
        <w:rPr>
          <w:rFonts w:ascii="宋体" w:hAnsi="宋体" w:eastAsia="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\h \z \t "001大标题,1,002标题,2"</w:instrText>
      </w:r>
      <w:r>
        <w:rPr>
          <w:rFonts w:hint="eastAsia" w:ascii="宋体" w:hAnsi="宋体" w:eastAsia="宋体" w:cs="宋体"/>
          <w:sz w:val="28"/>
          <w:szCs w:val="28"/>
        </w:rPr>
        <w:fldChar w:fldCharType="separate"/>
      </w:r>
      <w:r>
        <w:fldChar w:fldCharType="begin"/>
      </w:r>
      <w:r>
        <w:instrText xml:space="preserve"> HYPERLINK "file:///F:\\2016造价咨询\\2016招标代理\\081-铜官区《西湖镇产业发展规划》编制服务采购\\铜官区《西湖镇产业发展规划》编制服务采购竞争性磋商文件.rtf" \l "_Toc383776341#_Toc383776341" </w:instrText>
      </w:r>
      <w:r>
        <w:fldChar w:fldCharType="separate"/>
      </w:r>
      <w:r>
        <w:rPr>
          <w:rFonts w:hint="eastAsia" w:ascii="宋体" w:hAnsi="宋体" w:eastAsia="宋体" w:cs="宋体"/>
          <w:sz w:val="28"/>
          <w:szCs w:val="28"/>
        </w:rPr>
        <w:t>第一章</w:t>
      </w:r>
      <w:r>
        <w:rPr>
          <w:rFonts w:ascii="宋体" w:hAnsi="宋体" w:eastAsia="宋体"/>
          <w:sz w:val="28"/>
          <w:szCs w:val="28"/>
        </w:rPr>
        <w:tab/>
      </w:r>
      <w:r>
        <w:rPr>
          <w:rFonts w:hint="eastAsia" w:ascii="宋体" w:hAnsi="宋体" w:eastAsia="宋体" w:cs="宋体"/>
          <w:sz w:val="28"/>
          <w:szCs w:val="28"/>
        </w:rPr>
        <w:t>竞争性磋商书</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"_Toc383776342#_Toc383776342" </w:instrText>
      </w:r>
      <w:r>
        <w:fldChar w:fldCharType="separate"/>
      </w:r>
      <w:r>
        <w:rPr>
          <w:rFonts w:hint="eastAsia" w:ascii="宋体" w:hAnsi="宋体" w:eastAsia="宋体" w:cs="宋体"/>
          <w:sz w:val="28"/>
          <w:szCs w:val="28"/>
        </w:rPr>
        <w:t>一、供应商须知前附表</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"_Toc383776343#_Toc383776343" </w:instrText>
      </w:r>
      <w:r>
        <w:fldChar w:fldCharType="separate"/>
      </w:r>
      <w:r>
        <w:rPr>
          <w:rFonts w:hint="eastAsia" w:ascii="宋体" w:hAnsi="宋体" w:eastAsia="宋体" w:cs="宋体"/>
          <w:sz w:val="28"/>
          <w:szCs w:val="28"/>
        </w:rPr>
        <w:t>二、供应商须知</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"_Toc383776344#_Toc383776344" </w:instrText>
      </w:r>
      <w:r>
        <w:fldChar w:fldCharType="separate"/>
      </w:r>
      <w:r>
        <w:rPr>
          <w:rFonts w:hint="eastAsia" w:ascii="宋体" w:hAnsi="宋体" w:eastAsia="宋体" w:cs="宋体"/>
          <w:sz w:val="28"/>
          <w:szCs w:val="28"/>
        </w:rPr>
        <w:t>（一）总则</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"_Toc383776345#_Toc383776345" </w:instrText>
      </w:r>
      <w:r>
        <w:fldChar w:fldCharType="separate"/>
      </w:r>
      <w:r>
        <w:rPr>
          <w:rFonts w:hint="eastAsia" w:ascii="宋体" w:hAnsi="宋体" w:eastAsia="宋体" w:cs="宋体"/>
          <w:sz w:val="28"/>
          <w:szCs w:val="28"/>
        </w:rPr>
        <w:t>（二）竞争性磋商文件</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"_Toc383776346#_Toc383776346" </w:instrText>
      </w:r>
      <w:r>
        <w:fldChar w:fldCharType="separate"/>
      </w:r>
      <w:r>
        <w:rPr>
          <w:rFonts w:hint="eastAsia" w:ascii="宋体" w:hAnsi="宋体" w:eastAsia="宋体" w:cs="宋体"/>
          <w:sz w:val="28"/>
          <w:szCs w:val="28"/>
        </w:rPr>
        <w:t>（三）磋商响应书的编制</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"_Toc383776347#_Toc383776347" </w:instrText>
      </w:r>
      <w:r>
        <w:fldChar w:fldCharType="separate"/>
      </w:r>
      <w:r>
        <w:rPr>
          <w:rFonts w:hint="eastAsia" w:ascii="宋体" w:hAnsi="宋体" w:eastAsia="宋体" w:cs="宋体"/>
          <w:sz w:val="28"/>
          <w:szCs w:val="28"/>
        </w:rPr>
        <w:t>（四）磋商响应书的递交</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cs="宋体"/>
          <w:sz w:val="28"/>
          <w:szCs w:val="28"/>
        </w:rPr>
      </w:pP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"_Toc383776348#_Toc383776348"</w:instrText>
      </w:r>
      <w:r>
        <w:rPr>
          <w:rFonts w:ascii="宋体" w:hAnsi="宋体" w:eastAsia="宋体"/>
          <w:sz w:val="28"/>
          <w:szCs w:val="28"/>
        </w:rPr>
        <w:fldChar w:fldCharType="separate"/>
      </w:r>
      <w:r>
        <w:rPr>
          <w:rFonts w:hint="eastAsia" w:ascii="宋体" w:hAnsi="宋体" w:eastAsia="宋体" w:cs="宋体"/>
          <w:sz w:val="28"/>
          <w:szCs w:val="28"/>
        </w:rPr>
        <w:t>（五）磋商办法</w:t>
      </w:r>
    </w:p>
    <w:p>
      <w:pPr>
        <w:pStyle w:val="12"/>
        <w:tabs>
          <w:tab w:val="left" w:pos="532"/>
        </w:tabs>
        <w:spacing w:line="520" w:lineRule="exact"/>
        <w:ind w:left="0" w:leftChars="0" w:firstLine="420" w:firstLineChars="150"/>
        <w:rPr>
          <w:rFonts w:ascii="宋体" w:hAnsi="宋体" w:eastAsia="宋体" w:cs="宋体"/>
          <w:sz w:val="28"/>
          <w:szCs w:val="28"/>
        </w:rPr>
      </w:pPr>
      <w:r>
        <w:rPr>
          <w:rFonts w:ascii="宋体" w:hAnsi="宋体" w:eastAsia="宋体"/>
          <w:sz w:val="28"/>
          <w:szCs w:val="28"/>
        </w:rPr>
        <w:fldChar w:fldCharType="end"/>
      </w: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"_Toc383776349#_Toc383776349"</w:instrText>
      </w:r>
      <w:r>
        <w:rPr>
          <w:rFonts w:ascii="宋体" w:hAnsi="宋体" w:eastAsia="宋体"/>
          <w:sz w:val="28"/>
          <w:szCs w:val="28"/>
        </w:rPr>
        <w:fldChar w:fldCharType="separate"/>
      </w:r>
      <w:r>
        <w:rPr>
          <w:rFonts w:hint="eastAsia" w:ascii="宋体" w:hAnsi="宋体" w:eastAsia="宋体" w:cs="宋体"/>
          <w:sz w:val="28"/>
          <w:szCs w:val="28"/>
        </w:rPr>
        <w:t>（六）合同的签订、履行及签收</w:t>
      </w:r>
    </w:p>
    <w:p>
      <w:pPr>
        <w:pStyle w:val="12"/>
        <w:tabs>
          <w:tab w:val="right" w:leader="dot" w:pos="8296"/>
        </w:tabs>
        <w:spacing w:line="520" w:lineRule="exact"/>
        <w:rPr>
          <w:rFonts w:ascii="宋体" w:hAnsi="宋体" w:eastAsia="宋体"/>
          <w:sz w:val="28"/>
          <w:szCs w:val="28"/>
        </w:rPr>
      </w:pPr>
      <w:r>
        <w:rPr>
          <w:rFonts w:hint="eastAsia" w:ascii="宋体" w:hAnsi="宋体" w:eastAsia="宋体" w:cs="宋体"/>
          <w:sz w:val="28"/>
          <w:szCs w:val="28"/>
        </w:rPr>
        <w:t>（七）质疑</w:t>
      </w:r>
      <w:r>
        <w:rPr>
          <w:rFonts w:ascii="宋体" w:hAnsi="宋体" w:eastAsia="宋体"/>
          <w:sz w:val="28"/>
          <w:szCs w:val="28"/>
        </w:rPr>
        <w:fldChar w:fldCharType="end"/>
      </w:r>
    </w:p>
    <w:p>
      <w:pPr>
        <w:pStyle w:val="12"/>
        <w:tabs>
          <w:tab w:val="right" w:leader="dot" w:pos="8296"/>
        </w:tabs>
        <w:spacing w:line="520" w:lineRule="exact"/>
        <w:rPr>
          <w:rFonts w:ascii="宋体" w:hAnsi="宋体" w:eastAsia="宋体"/>
          <w:sz w:val="28"/>
          <w:szCs w:val="28"/>
        </w:rPr>
      </w:pPr>
      <w:r>
        <w:rPr>
          <w:rFonts w:hint="eastAsia" w:ascii="宋体" w:hAnsi="宋体" w:eastAsia="宋体"/>
          <w:sz w:val="28"/>
          <w:szCs w:val="28"/>
        </w:rPr>
        <w:t>三、项目的具体内容、技术要求及其方案</w:t>
      </w:r>
    </w:p>
    <w:p>
      <w:pPr>
        <w:pStyle w:val="11"/>
        <w:tabs>
          <w:tab w:val="left" w:pos="1050"/>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"_Toc383776351#_Toc383776351" </w:instrText>
      </w:r>
      <w:r>
        <w:fldChar w:fldCharType="separate"/>
      </w:r>
      <w:r>
        <w:rPr>
          <w:rFonts w:hint="eastAsia" w:ascii="宋体" w:hAnsi="宋体" w:eastAsia="宋体" w:cs="宋体"/>
          <w:sz w:val="28"/>
          <w:szCs w:val="28"/>
        </w:rPr>
        <w:t>第二章</w:t>
      </w:r>
      <w:r>
        <w:rPr>
          <w:rFonts w:ascii="宋体" w:hAnsi="宋体" w:eastAsia="宋体"/>
          <w:sz w:val="28"/>
          <w:szCs w:val="28"/>
        </w:rPr>
        <w:tab/>
      </w:r>
      <w:r>
        <w:rPr>
          <w:rFonts w:hint="eastAsia" w:ascii="宋体" w:hAnsi="宋体" w:eastAsia="宋体" w:cs="宋体"/>
          <w:sz w:val="28"/>
          <w:szCs w:val="28"/>
        </w:rPr>
        <w:t>磋商响应书</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"_Toc383776352#_Toc383776352" </w:instrText>
      </w:r>
      <w:r>
        <w:fldChar w:fldCharType="separate"/>
      </w:r>
      <w:r>
        <w:rPr>
          <w:rFonts w:hint="eastAsia" w:ascii="宋体" w:hAnsi="宋体" w:eastAsia="宋体" w:cs="宋体"/>
          <w:sz w:val="28"/>
          <w:szCs w:val="28"/>
        </w:rPr>
        <w:t>封面</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"_Toc383776353#_Toc383776353" </w:instrText>
      </w:r>
      <w:r>
        <w:fldChar w:fldCharType="separate"/>
      </w:r>
      <w:r>
        <w:rPr>
          <w:rFonts w:hint="eastAsia" w:ascii="宋体" w:hAnsi="宋体" w:eastAsia="宋体" w:cs="宋体"/>
          <w:sz w:val="28"/>
          <w:szCs w:val="28"/>
        </w:rPr>
        <w:t>一、磋商响应函格式</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"_Toc383776354#_Toc383776354" </w:instrText>
      </w:r>
      <w:r>
        <w:fldChar w:fldCharType="separate"/>
      </w:r>
      <w:r>
        <w:rPr>
          <w:rFonts w:hint="eastAsia" w:ascii="宋体" w:hAnsi="宋体" w:eastAsia="宋体" w:cs="宋体"/>
          <w:sz w:val="28"/>
          <w:szCs w:val="28"/>
        </w:rPr>
        <w:t>二、技术服务方案</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"_Toc383776355#_Toc383776355" </w:instrText>
      </w:r>
      <w:r>
        <w:fldChar w:fldCharType="separate"/>
      </w:r>
      <w:r>
        <w:rPr>
          <w:rFonts w:hint="eastAsia" w:ascii="宋体" w:hAnsi="宋体" w:eastAsia="宋体" w:cs="宋体"/>
          <w:sz w:val="28"/>
          <w:szCs w:val="28"/>
        </w:rPr>
        <w:t>三、法定代表人授权书</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"_Toc383776356#_Toc383776356" </w:instrText>
      </w:r>
      <w:r>
        <w:fldChar w:fldCharType="separate"/>
      </w:r>
      <w:r>
        <w:rPr>
          <w:rFonts w:hint="eastAsia" w:ascii="宋体" w:hAnsi="宋体" w:eastAsia="宋体" w:cs="宋体"/>
          <w:sz w:val="28"/>
          <w:szCs w:val="28"/>
        </w:rPr>
        <w:t>四、资格证明文件</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"_Toc383776357#_Toc383776357" </w:instrText>
      </w:r>
      <w:r>
        <w:fldChar w:fldCharType="separate"/>
      </w:r>
      <w:r>
        <w:rPr>
          <w:rFonts w:hint="eastAsia" w:ascii="宋体" w:hAnsi="宋体" w:eastAsia="宋体" w:cs="宋体"/>
          <w:sz w:val="28"/>
          <w:szCs w:val="28"/>
        </w:rPr>
        <w:t>五、需要提供其它的资料</w:t>
      </w:r>
      <w:r>
        <w:rPr>
          <w:rFonts w:hint="eastAsia" w:ascii="宋体" w:hAnsi="宋体" w:eastAsia="宋体" w:cs="宋体"/>
          <w:sz w:val="28"/>
          <w:szCs w:val="28"/>
        </w:rPr>
        <w:fldChar w:fldCharType="end"/>
      </w:r>
    </w:p>
    <w:p>
      <w:pPr>
        <w:pStyle w:val="12"/>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"_Toc383776358#_Toc383776358" </w:instrText>
      </w:r>
      <w:r>
        <w:fldChar w:fldCharType="separate"/>
      </w:r>
      <w:r>
        <w:rPr>
          <w:rFonts w:hint="eastAsia" w:ascii="宋体" w:hAnsi="宋体" w:eastAsia="宋体" w:cs="宋体"/>
          <w:sz w:val="28"/>
          <w:szCs w:val="28"/>
        </w:rPr>
        <w:t>六、磋商响应报价表</w:t>
      </w:r>
      <w:r>
        <w:rPr>
          <w:rFonts w:hint="eastAsia" w:ascii="宋体" w:hAnsi="宋体" w:eastAsia="宋体" w:cs="宋体"/>
          <w:sz w:val="28"/>
          <w:szCs w:val="28"/>
        </w:rPr>
        <w:fldChar w:fldCharType="end"/>
      </w:r>
    </w:p>
    <w:p>
      <w:pPr>
        <w:spacing w:line="500" w:lineRule="exact"/>
        <w:ind w:right="42" w:rightChars="20" w:firstLine="560" w:firstLineChars="200"/>
        <w:jc w:val="left"/>
        <w:rPr>
          <w:rFonts w:ascii="宋体" w:hAnsi="宋体" w:eastAsia="宋体"/>
          <w:b/>
          <w:bCs/>
          <w:sz w:val="30"/>
          <w:szCs w:val="30"/>
        </w:rPr>
      </w:pPr>
      <w:r>
        <w:rPr>
          <w:rFonts w:hint="eastAsia" w:ascii="宋体" w:hAnsi="宋体" w:eastAsia="宋体" w:cs="宋体"/>
          <w:sz w:val="28"/>
          <w:szCs w:val="28"/>
        </w:rPr>
        <w:fldChar w:fldCharType="end"/>
      </w:r>
    </w:p>
    <w:p>
      <w:pPr>
        <w:pStyle w:val="19"/>
        <w:tabs>
          <w:tab w:val="left" w:pos="420"/>
        </w:tabs>
        <w:spacing w:line="420" w:lineRule="exact"/>
        <w:rPr>
          <w:rFonts w:hint="eastAsia" w:ascii="宋体" w:hAnsi="宋体" w:eastAsia="宋体"/>
          <w:b w:val="0"/>
          <w:kern w:val="36"/>
          <w:sz w:val="32"/>
          <w:szCs w:val="32"/>
          <w:lang w:eastAsia="zh-CN"/>
        </w:rPr>
      </w:pPr>
      <w:r>
        <w:rPr>
          <w:rFonts w:hint="eastAsia" w:ascii="宋体" w:hAnsi="宋体" w:eastAsia="宋体"/>
          <w:b w:val="0"/>
          <w:bCs w:val="0"/>
        </w:rPr>
        <w:br w:type="page"/>
      </w:r>
      <w:bookmarkStart w:id="0" w:name="_Toc338398712"/>
      <w:bookmarkStart w:id="1" w:name="_Toc272141463"/>
      <w:bookmarkStart w:id="2" w:name="_Hlk450146187"/>
      <w:bookmarkStart w:id="3" w:name="_Toc383776341"/>
      <w:r>
        <w:rPr>
          <w:rFonts w:hint="eastAsia"/>
          <w:lang w:eastAsia="zh-CN"/>
        </w:rPr>
        <w:t>铜陵学院互联网+大学安全教育平台服务采购项目</w:t>
      </w:r>
    </w:p>
    <w:p>
      <w:pPr>
        <w:pStyle w:val="19"/>
        <w:tabs>
          <w:tab w:val="left" w:pos="420"/>
        </w:tabs>
        <w:spacing w:line="420" w:lineRule="exact"/>
        <w:rPr>
          <w:rFonts w:ascii="宋体" w:hAnsi="宋体" w:eastAsia="宋体"/>
          <w:b w:val="0"/>
          <w:bCs w:val="0"/>
        </w:rPr>
      </w:pPr>
      <w:r>
        <w:rPr>
          <w:rFonts w:hint="eastAsia" w:ascii="宋体" w:hAnsi="宋体" w:eastAsia="宋体"/>
        </w:rPr>
        <w:t>竞争性磋商公告</w:t>
      </w:r>
    </w:p>
    <w:p>
      <w:pPr>
        <w:widowControl/>
        <w:snapToGrid w:val="0"/>
        <w:spacing w:line="420" w:lineRule="exact"/>
        <w:ind w:firstLine="480" w:firstLineChars="200"/>
        <w:rPr>
          <w:rFonts w:ascii="宋体" w:hAnsi="宋体" w:eastAsia="宋体" w:cs="宋体"/>
          <w:kern w:val="0"/>
          <w:sz w:val="24"/>
          <w:szCs w:val="24"/>
        </w:rPr>
      </w:pPr>
    </w:p>
    <w:p>
      <w:pPr>
        <w:widowControl/>
        <w:snapToGrid w:val="0"/>
        <w:spacing w:line="4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铜陵学院互联网+大学安全教育平台服务采购进行竞争性磋商，欢迎具备条件的供应商参加磋商。</w:t>
      </w:r>
    </w:p>
    <w:p>
      <w:pPr>
        <w:snapToGrid w:val="0"/>
        <w:spacing w:line="420" w:lineRule="exact"/>
        <w:ind w:firstLine="241" w:firstLineChars="100"/>
        <w:jc w:val="left"/>
        <w:rPr>
          <w:rFonts w:ascii="宋体" w:hAnsi="宋体" w:eastAsia="宋体" w:cs="宋体"/>
          <w:b/>
          <w:kern w:val="0"/>
          <w:sz w:val="24"/>
          <w:szCs w:val="24"/>
        </w:rPr>
      </w:pPr>
      <w:r>
        <w:rPr>
          <w:rFonts w:hint="eastAsia" w:ascii="宋体" w:hAnsi="宋体" w:eastAsia="宋体" w:cs="宋体"/>
          <w:b/>
          <w:kern w:val="0"/>
          <w:sz w:val="24"/>
          <w:szCs w:val="24"/>
        </w:rPr>
        <w:t>（一）项目概况与采购范围：</w:t>
      </w:r>
    </w:p>
    <w:p>
      <w:pPr>
        <w:pStyle w:val="14"/>
        <w:snapToGrid w:val="0"/>
        <w:spacing w:line="420" w:lineRule="exact"/>
        <w:ind w:firstLine="480" w:firstLineChars="200"/>
        <w:rPr>
          <w:rStyle w:val="17"/>
          <w:rFonts w:ascii="宋体" w:hAnsi="宋体" w:eastAsia="宋体" w:cs="宋体"/>
          <w:b w:val="0"/>
        </w:rPr>
      </w:pPr>
      <w:r>
        <w:rPr>
          <w:rStyle w:val="17"/>
          <w:rFonts w:hint="eastAsia" w:ascii="宋体" w:hAnsi="宋体" w:eastAsia="宋体" w:cs="宋体"/>
          <w:b w:val="0"/>
        </w:rPr>
        <w:t>1、项目编号：tlxyzb[202</w:t>
      </w:r>
      <w:r>
        <w:rPr>
          <w:rStyle w:val="17"/>
          <w:rFonts w:hint="eastAsia" w:ascii="宋体" w:hAnsi="宋体" w:cs="宋体"/>
          <w:b w:val="0"/>
          <w:lang w:val="en-US" w:eastAsia="zh-CN"/>
        </w:rPr>
        <w:t>2</w:t>
      </w:r>
      <w:r>
        <w:rPr>
          <w:rStyle w:val="17"/>
          <w:rFonts w:hint="eastAsia" w:ascii="宋体" w:hAnsi="宋体" w:eastAsia="宋体" w:cs="宋体"/>
          <w:b w:val="0"/>
        </w:rPr>
        <w:t>]</w:t>
      </w:r>
      <w:r>
        <w:rPr>
          <w:rStyle w:val="17"/>
          <w:rFonts w:hint="eastAsia" w:ascii="宋体" w:hAnsi="宋体" w:cs="宋体"/>
          <w:b w:val="0"/>
          <w:lang w:val="en-US" w:eastAsia="zh-CN"/>
        </w:rPr>
        <w:t>22</w:t>
      </w:r>
      <w:r>
        <w:rPr>
          <w:rStyle w:val="17"/>
          <w:rFonts w:hint="eastAsia" w:ascii="宋体" w:hAnsi="宋体" w:eastAsia="宋体" w:cs="宋体"/>
          <w:b w:val="0"/>
        </w:rPr>
        <w:t>号</w:t>
      </w:r>
    </w:p>
    <w:p>
      <w:pPr>
        <w:pStyle w:val="14"/>
        <w:snapToGrid w:val="0"/>
        <w:spacing w:line="420" w:lineRule="exact"/>
        <w:ind w:firstLine="480" w:firstLineChars="200"/>
        <w:rPr>
          <w:rStyle w:val="17"/>
          <w:rFonts w:hint="eastAsia" w:ascii="宋体" w:hAnsi="宋体" w:eastAsia="宋体" w:cs="宋体"/>
          <w:b w:val="0"/>
          <w:lang w:eastAsia="zh-CN"/>
        </w:rPr>
      </w:pPr>
      <w:r>
        <w:rPr>
          <w:rStyle w:val="17"/>
          <w:rFonts w:hint="eastAsia" w:ascii="宋体" w:hAnsi="宋体" w:eastAsia="宋体" w:cs="宋体"/>
          <w:b w:val="0"/>
        </w:rPr>
        <w:t>2、项目名称：</w:t>
      </w:r>
      <w:r>
        <w:rPr>
          <w:rStyle w:val="17"/>
          <w:rFonts w:hint="eastAsia" w:ascii="宋体" w:hAnsi="宋体" w:cs="宋体"/>
          <w:b w:val="0"/>
          <w:lang w:eastAsia="zh-CN"/>
        </w:rPr>
        <w:t>铜陵学院互联网+大学安全教育平台服务采购项目</w:t>
      </w:r>
    </w:p>
    <w:p>
      <w:pPr>
        <w:pStyle w:val="14"/>
        <w:snapToGrid w:val="0"/>
        <w:spacing w:line="420" w:lineRule="exact"/>
        <w:ind w:firstLine="480" w:firstLineChars="200"/>
        <w:rPr>
          <w:rStyle w:val="17"/>
          <w:rFonts w:ascii="宋体" w:hAnsi="宋体" w:eastAsia="宋体" w:cs="宋体"/>
          <w:b w:val="0"/>
        </w:rPr>
      </w:pPr>
      <w:r>
        <w:rPr>
          <w:rStyle w:val="17"/>
          <w:rFonts w:hint="eastAsia" w:ascii="宋体" w:hAnsi="宋体" w:eastAsia="宋体" w:cs="宋体"/>
          <w:b w:val="0"/>
        </w:rPr>
        <w:t>3、采购方式：竞争性磋商</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4、服务内容：向我校全体在校学生提供线上安全课程教育，实现安全教育全覆盖，全面提升广大学生的安全意识。</w:t>
      </w:r>
    </w:p>
    <w:p>
      <w:pPr>
        <w:pStyle w:val="14"/>
        <w:snapToGrid w:val="0"/>
        <w:spacing w:line="420" w:lineRule="exact"/>
        <w:ind w:firstLine="480" w:firstLineChars="200"/>
        <w:rPr>
          <w:rFonts w:ascii="宋体" w:hAnsi="宋体" w:eastAsia="宋体" w:cs="宋体"/>
          <w:kern w:val="0"/>
        </w:rPr>
      </w:pPr>
      <w:r>
        <w:rPr>
          <w:rStyle w:val="17"/>
          <w:rFonts w:hint="eastAsia" w:ascii="宋体" w:hAnsi="宋体" w:eastAsia="宋体" w:cs="宋体"/>
          <w:b w:val="0"/>
        </w:rPr>
        <w:t>5、标段（包别）划分</w:t>
      </w:r>
      <w:r>
        <w:rPr>
          <w:rFonts w:hint="eastAsia" w:ascii="宋体" w:hAnsi="宋体" w:eastAsia="宋体" w:cs="宋体"/>
          <w:b/>
          <w:kern w:val="0"/>
        </w:rPr>
        <w:t>：一</w:t>
      </w:r>
      <w:r>
        <w:rPr>
          <w:rFonts w:hint="eastAsia" w:ascii="宋体" w:hAnsi="宋体" w:eastAsia="宋体" w:cs="宋体"/>
          <w:kern w:val="0"/>
        </w:rPr>
        <w:t>个标段。</w:t>
      </w:r>
    </w:p>
    <w:p>
      <w:pPr>
        <w:snapToGrid w:val="0"/>
        <w:spacing w:line="420" w:lineRule="exact"/>
        <w:ind w:firstLine="241" w:firstLineChars="100"/>
        <w:jc w:val="left"/>
        <w:rPr>
          <w:rFonts w:ascii="宋体" w:hAnsi="宋体" w:eastAsia="宋体" w:cs="宋体"/>
          <w:b/>
          <w:kern w:val="0"/>
          <w:sz w:val="24"/>
          <w:szCs w:val="24"/>
        </w:rPr>
      </w:pPr>
      <w:r>
        <w:rPr>
          <w:rFonts w:hint="eastAsia" w:ascii="宋体" w:hAnsi="宋体" w:eastAsia="宋体" w:cs="宋体"/>
          <w:b/>
          <w:kern w:val="0"/>
          <w:sz w:val="24"/>
          <w:szCs w:val="24"/>
        </w:rPr>
        <w:t>（二）合格供应商资格条件：</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1.供应商须符合《中华人民共和国政府采购法》第二十二条规定；</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2.供应商具有独立承担民事责任的能力，经营范围覆盖本次采购内容，提供法人或其他组织的营业执照复印件加盖公章；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3.供应商存在以下不良信用记录情形之一的，不得推荐为中标候选人，不得确定为中标人：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(1)供应商被人民法院列入失信被执行人的；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(2)供应商或其法定代表人或拟派项目经理(项目负责人)被人民检察院列入行贿犯罪档案的；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(3)供应商被工商行政管理部门列入企业经营异常名录的；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(4)供应商被税务部门列入重大税收违法案件当事人名单的；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 xml:space="preserve">(5)供应商被政府采购监管部门列入政府采购严重违法失信行为记录名单的。 </w:t>
      </w:r>
    </w:p>
    <w:p>
      <w:pPr>
        <w:pStyle w:val="14"/>
        <w:snapToGrid w:val="0"/>
        <w:spacing w:line="420" w:lineRule="exact"/>
        <w:ind w:firstLine="480" w:firstLineChars="200"/>
        <w:rPr>
          <w:rStyle w:val="17"/>
          <w:rFonts w:hint="eastAsia" w:ascii="宋体" w:hAnsi="宋体" w:eastAsia="宋体" w:cs="宋体"/>
          <w:b w:val="0"/>
        </w:rPr>
      </w:pPr>
      <w:r>
        <w:rPr>
          <w:rStyle w:val="17"/>
          <w:rFonts w:hint="eastAsia" w:ascii="宋体" w:hAnsi="宋体" w:eastAsia="宋体" w:cs="宋体"/>
          <w:b w:val="0"/>
        </w:rPr>
        <w:t>4.商务资质：提供企业AAA级信用等级证明，具有出版物经营许可证书、广播电视节目制作经营许可证，具有学习中心、视频软件、智慧校园通平台服务软件、电子图书数据库系统软件产品证书。</w:t>
      </w:r>
      <w:bookmarkStart w:id="29" w:name="_GoBack"/>
      <w:bookmarkEnd w:id="29"/>
    </w:p>
    <w:p>
      <w:pPr>
        <w:pStyle w:val="14"/>
        <w:snapToGrid w:val="0"/>
        <w:spacing w:line="420" w:lineRule="exact"/>
        <w:ind w:firstLine="480" w:firstLineChars="200"/>
        <w:rPr>
          <w:rStyle w:val="17"/>
          <w:rFonts w:ascii="宋体" w:hAnsi="宋体" w:eastAsia="宋体" w:cs="宋体"/>
          <w:b w:val="0"/>
        </w:rPr>
      </w:pPr>
      <w:r>
        <w:rPr>
          <w:rStyle w:val="17"/>
          <w:rFonts w:hint="eastAsia" w:ascii="宋体" w:hAnsi="宋体" w:cs="宋体"/>
          <w:b w:val="0"/>
          <w:lang w:val="en-US" w:eastAsia="zh-CN"/>
        </w:rPr>
        <w:t>5</w:t>
      </w:r>
      <w:r>
        <w:rPr>
          <w:rStyle w:val="17"/>
          <w:rFonts w:hint="eastAsia" w:ascii="宋体" w:hAnsi="宋体" w:eastAsia="宋体" w:cs="宋体"/>
          <w:b w:val="0"/>
        </w:rPr>
        <w:t>、本项目不接受联合体磋商。</w:t>
      </w:r>
    </w:p>
    <w:p>
      <w:pPr>
        <w:pStyle w:val="14"/>
        <w:snapToGrid w:val="0"/>
        <w:spacing w:line="420" w:lineRule="exact"/>
        <w:ind w:firstLine="241" w:firstLineChars="100"/>
        <w:rPr>
          <w:rFonts w:ascii="宋体" w:hAnsi="宋体" w:eastAsia="宋体" w:cs="宋体"/>
          <w:b/>
        </w:rPr>
      </w:pPr>
      <w:r>
        <w:rPr>
          <w:rFonts w:hint="eastAsia" w:ascii="宋体" w:hAnsi="宋体" w:eastAsia="宋体" w:cs="宋体"/>
          <w:b/>
        </w:rPr>
        <w:t>（三）资格审查：</w:t>
      </w:r>
    </w:p>
    <w:p>
      <w:pPr>
        <w:pStyle w:val="14"/>
        <w:snapToGrid w:val="0"/>
        <w:spacing w:line="420" w:lineRule="exact"/>
        <w:ind w:firstLine="480" w:firstLineChars="200"/>
        <w:rPr>
          <w:rFonts w:ascii="宋体" w:hAnsi="宋体" w:eastAsia="宋体" w:cs="宋体"/>
        </w:rPr>
      </w:pPr>
      <w:r>
        <w:rPr>
          <w:rFonts w:hint="eastAsia" w:ascii="宋体" w:hAnsi="宋体" w:eastAsia="宋体" w:cs="宋体"/>
        </w:rPr>
        <w:t>本次磋商采取资格后审方式，资格审查将在磋商时由磋商小组审查。</w:t>
      </w:r>
    </w:p>
    <w:p>
      <w:pPr>
        <w:pStyle w:val="14"/>
        <w:snapToGrid w:val="0"/>
        <w:spacing w:line="420" w:lineRule="exact"/>
        <w:ind w:firstLine="241" w:firstLineChars="100"/>
        <w:rPr>
          <w:rFonts w:ascii="宋体" w:hAnsi="宋体" w:eastAsia="宋体" w:cs="宋体"/>
          <w:b/>
        </w:rPr>
      </w:pPr>
      <w:r>
        <w:rPr>
          <w:rFonts w:hint="eastAsia" w:ascii="宋体" w:hAnsi="宋体" w:eastAsia="宋体" w:cs="宋体"/>
          <w:b/>
        </w:rPr>
        <w:t>（四）</w:t>
      </w:r>
      <w:r>
        <w:rPr>
          <w:rFonts w:hint="eastAsia" w:ascii="宋体" w:hAnsi="宋体" w:cs="宋体"/>
          <w:b/>
          <w:lang w:eastAsia="zh-CN"/>
        </w:rPr>
        <w:t>磋商文件获取</w:t>
      </w:r>
      <w:r>
        <w:rPr>
          <w:rFonts w:hint="eastAsia" w:ascii="宋体" w:hAnsi="宋体" w:eastAsia="宋体" w:cs="宋体"/>
          <w:b/>
        </w:rPr>
        <w:t>：</w:t>
      </w:r>
    </w:p>
    <w:p>
      <w:pPr>
        <w:pStyle w:val="14"/>
        <w:snapToGrid w:val="0"/>
        <w:spacing w:line="420" w:lineRule="exact"/>
        <w:ind w:firstLine="480" w:firstLineChars="200"/>
        <w:rPr>
          <w:rFonts w:ascii="宋体" w:hAnsi="宋体" w:eastAsia="宋体" w:cs="宋体"/>
        </w:rPr>
      </w:pPr>
      <w:r>
        <w:rPr>
          <w:rFonts w:hint="eastAsia" w:ascii="宋体" w:hAnsi="宋体" w:eastAsia="宋体" w:cs="宋体"/>
        </w:rPr>
        <w:t>1、</w:t>
      </w:r>
      <w:r>
        <w:rPr>
          <w:rFonts w:hint="eastAsia" w:ascii="宋体" w:hAnsi="宋体" w:cs="宋体"/>
          <w:color w:val="333333"/>
          <w:kern w:val="0"/>
          <w:shd w:val="clear" w:color="auto" w:fill="FFFFFF"/>
          <w:lang w:eastAsia="zh-CN"/>
        </w:rPr>
        <w:t>获取</w:t>
      </w:r>
      <w:r>
        <w:rPr>
          <w:rFonts w:hint="eastAsia" w:ascii="宋体" w:hAnsi="宋体" w:eastAsia="宋体" w:cs="宋体"/>
          <w:kern w:val="0"/>
          <w:shd w:val="clear" w:color="auto" w:fill="FFFFFF"/>
        </w:rPr>
        <w:t>时间：202</w:t>
      </w:r>
      <w:r>
        <w:rPr>
          <w:rFonts w:hint="eastAsia" w:ascii="宋体" w:hAnsi="宋体" w:cs="宋体"/>
          <w:kern w:val="0"/>
          <w:shd w:val="clear" w:color="auto" w:fill="FFFFFF"/>
          <w:lang w:val="en-US" w:eastAsia="zh-CN"/>
        </w:rPr>
        <w:t>2</w:t>
      </w:r>
      <w:r>
        <w:rPr>
          <w:rFonts w:hint="eastAsia" w:ascii="宋体" w:hAnsi="宋体" w:eastAsia="宋体" w:cs="宋体"/>
          <w:kern w:val="0"/>
          <w:shd w:val="clear" w:color="auto" w:fill="FFFFFF"/>
        </w:rPr>
        <w:t>年6月</w:t>
      </w:r>
      <w:r>
        <w:rPr>
          <w:rFonts w:hint="eastAsia" w:ascii="宋体" w:hAnsi="宋体" w:cs="宋体"/>
          <w:kern w:val="0"/>
          <w:shd w:val="clear" w:color="auto" w:fill="FFFFFF"/>
          <w:lang w:val="en-US" w:eastAsia="zh-CN"/>
        </w:rPr>
        <w:t>15</w:t>
      </w:r>
      <w:r>
        <w:rPr>
          <w:rFonts w:hint="eastAsia" w:ascii="宋体" w:hAnsi="宋体" w:eastAsia="宋体" w:cs="宋体"/>
          <w:kern w:val="0"/>
          <w:shd w:val="clear" w:color="auto" w:fill="FFFFFF"/>
        </w:rPr>
        <w:t>日至</w:t>
      </w:r>
      <w:r>
        <w:rPr>
          <w:rFonts w:hint="eastAsia" w:ascii="宋体" w:hAnsi="宋体" w:cs="宋体"/>
          <w:kern w:val="0"/>
          <w:shd w:val="clear" w:color="auto" w:fill="FFFFFF"/>
          <w:lang w:eastAsia="zh-CN"/>
        </w:rPr>
        <w:t>投标截止期前</w:t>
      </w:r>
      <w:r>
        <w:rPr>
          <w:rFonts w:hint="eastAsia" w:ascii="宋体" w:hAnsi="宋体" w:eastAsia="宋体" w:cs="宋体"/>
          <w:kern w:val="0"/>
          <w:shd w:val="clear" w:color="auto" w:fill="FFFFFF"/>
        </w:rPr>
        <w:t>。</w:t>
      </w:r>
    </w:p>
    <w:p>
      <w:pPr>
        <w:pStyle w:val="14"/>
        <w:shd w:val="clear" w:color="auto" w:fill="FFFFFF"/>
        <w:snapToGrid w:val="0"/>
        <w:spacing w:line="420" w:lineRule="exact"/>
        <w:ind w:firstLine="480" w:firstLineChars="200"/>
        <w:rPr>
          <w:rFonts w:ascii="宋体" w:hAnsi="宋体" w:eastAsia="宋体" w:cs="宋体"/>
          <w:color w:val="333333"/>
          <w:kern w:val="0"/>
          <w:sz w:val="24"/>
          <w:szCs w:val="24"/>
          <w:shd w:val="clear" w:color="auto" w:fill="FFFFFF"/>
        </w:rPr>
      </w:pPr>
      <w:r>
        <w:rPr>
          <w:rFonts w:hint="eastAsia" w:ascii="宋体" w:hAnsi="宋体" w:eastAsia="宋体" w:cs="宋体"/>
        </w:rPr>
        <w:t>2、</w:t>
      </w:r>
      <w:r>
        <w:rPr>
          <w:rFonts w:hint="eastAsia" w:ascii="宋体" w:hAnsi="宋体" w:cs="宋体"/>
          <w:lang w:eastAsia="zh-CN"/>
        </w:rPr>
        <w:t>获取地址</w:t>
      </w:r>
      <w:r>
        <w:rPr>
          <w:rFonts w:hint="eastAsia" w:ascii="宋体" w:hAnsi="宋体" w:eastAsia="宋体" w:cs="宋体"/>
        </w:rPr>
        <w:t>：</w:t>
      </w:r>
      <w:r>
        <w:rPr>
          <w:rFonts w:hint="eastAsia" w:ascii="宋体" w:hAnsi="宋体" w:cs="宋体"/>
          <w:lang w:eastAsia="zh-CN"/>
        </w:rPr>
        <w:t>铜陵学院官网（</w:t>
      </w:r>
      <w:r>
        <w:rPr>
          <w:rFonts w:hint="eastAsia" w:ascii="宋体" w:hAnsi="宋体" w:cs="宋体"/>
          <w:lang w:val="en-US" w:eastAsia="zh-CN"/>
        </w:rPr>
        <w:t>www.tlu.edu.cn</w:t>
      </w:r>
      <w:r>
        <w:rPr>
          <w:rFonts w:hint="eastAsia" w:ascii="宋体" w:hAnsi="宋体" w:cs="宋体"/>
          <w:lang w:eastAsia="zh-CN"/>
        </w:rPr>
        <w:t>）自行下载</w:t>
      </w:r>
      <w:r>
        <w:rPr>
          <w:rFonts w:hint="eastAsia" w:ascii="宋体" w:hAnsi="宋体" w:eastAsia="宋体" w:cs="宋体"/>
        </w:rPr>
        <w:t>。</w:t>
      </w:r>
    </w:p>
    <w:p>
      <w:pPr>
        <w:pStyle w:val="14"/>
        <w:snapToGrid w:val="0"/>
        <w:spacing w:line="420" w:lineRule="exact"/>
        <w:ind w:firstLine="361" w:firstLineChars="150"/>
        <w:rPr>
          <w:rFonts w:ascii="宋体" w:hAnsi="宋体" w:eastAsia="宋体" w:cs="宋体"/>
          <w:b/>
        </w:rPr>
      </w:pPr>
      <w:r>
        <w:rPr>
          <w:rFonts w:hint="eastAsia" w:ascii="宋体" w:hAnsi="宋体" w:eastAsia="宋体" w:cs="宋体"/>
          <w:b/>
        </w:rPr>
        <w:t>（五）</w:t>
      </w:r>
      <w:r>
        <w:rPr>
          <w:rFonts w:hint="eastAsia" w:ascii="宋体" w:hAnsi="宋体" w:eastAsia="宋体" w:cs="宋体"/>
          <w:b/>
          <w:bCs w:val="0"/>
          <w:kern w:val="0"/>
          <w:sz w:val="24"/>
          <w:szCs w:val="24"/>
          <w:lang w:val="en-US" w:eastAsia="zh-CN" w:bidi="ar"/>
        </w:rPr>
        <w:t>标书投送：</w:t>
      </w:r>
    </w:p>
    <w:p>
      <w:pPr>
        <w:keepNext w:val="0"/>
        <w:keepLines w:val="0"/>
        <w:widowControl/>
        <w:suppressLineNumbers w:val="0"/>
        <w:spacing w:before="0" w:beforeAutospacing="0" w:after="0" w:afterAutospacing="0" w:line="500" w:lineRule="exact"/>
        <w:ind w:left="0" w:right="0" w:firstLine="360" w:firstLineChars="15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1.标书递交时间：凡符合投标资格、有意向的投标单位，均为被询价对象。请有意参与投标报价的单位于2022年</w:t>
      </w:r>
      <w:r>
        <w:rPr>
          <w:rFonts w:hint="eastAsia" w:ascii="宋体" w:hAnsi="宋体" w:cs="宋体"/>
          <w:kern w:val="0"/>
          <w:sz w:val="24"/>
          <w:szCs w:val="24"/>
          <w:lang w:val="en-US" w:eastAsia="zh-CN" w:bidi="ar"/>
        </w:rPr>
        <w:t>6</w:t>
      </w:r>
      <w:r>
        <w:rPr>
          <w:rFonts w:hint="eastAsia" w:ascii="宋体" w:hAnsi="宋体" w:eastAsia="宋体" w:cs="宋体"/>
          <w:kern w:val="0"/>
          <w:sz w:val="24"/>
          <w:szCs w:val="24"/>
          <w:lang w:val="en-US" w:eastAsia="zh-CN" w:bidi="ar"/>
        </w:rPr>
        <w:t>月2</w:t>
      </w:r>
      <w:r>
        <w:rPr>
          <w:rFonts w:hint="eastAsia" w:ascii="宋体" w:hAnsi="宋体" w:cs="宋体"/>
          <w:kern w:val="0"/>
          <w:sz w:val="24"/>
          <w:szCs w:val="24"/>
          <w:lang w:val="en-US" w:eastAsia="zh-CN" w:bidi="ar"/>
        </w:rPr>
        <w:t>7</w:t>
      </w:r>
      <w:r>
        <w:rPr>
          <w:rFonts w:hint="eastAsia" w:ascii="宋体" w:hAnsi="宋体" w:eastAsia="宋体" w:cs="宋体"/>
          <w:kern w:val="0"/>
          <w:sz w:val="24"/>
          <w:szCs w:val="24"/>
          <w:lang w:val="en-US" w:eastAsia="zh-CN" w:bidi="ar"/>
        </w:rPr>
        <w:t>日上午11：00前。</w:t>
      </w:r>
    </w:p>
    <w:p>
      <w:pPr>
        <w:keepNext w:val="0"/>
        <w:keepLines w:val="0"/>
        <w:widowControl/>
        <w:suppressLineNumbers w:val="0"/>
        <w:spacing w:before="0" w:beforeAutospacing="0" w:after="0" w:afterAutospacing="0" w:line="500" w:lineRule="exact"/>
        <w:ind w:left="0" w:right="0" w:firstLine="360" w:firstLineChars="15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2.递交地点：铜陵学院翠湖校区南大门值班室，联系人：胡老师（13955931061）。</w:t>
      </w:r>
    </w:p>
    <w:p>
      <w:pPr>
        <w:keepNext w:val="0"/>
        <w:keepLines w:val="0"/>
        <w:widowControl/>
        <w:suppressLineNumbers w:val="0"/>
        <w:spacing w:before="0" w:beforeAutospacing="0" w:after="0" w:afterAutospacing="0" w:line="500" w:lineRule="exact"/>
        <w:ind w:left="0" w:right="0" w:firstLine="360" w:firstLineChars="150"/>
        <w:jc w:val="both"/>
        <w:rPr>
          <w:rFonts w:hint="eastAsia" w:ascii="宋体" w:hAnsi="宋体" w:eastAsia="宋体" w:cs="宋体"/>
          <w:kern w:val="0"/>
          <w:sz w:val="24"/>
          <w:szCs w:val="24"/>
          <w:lang w:val="en-US"/>
        </w:rPr>
      </w:pPr>
      <w:r>
        <w:rPr>
          <w:rFonts w:hint="eastAsia" w:ascii="宋体" w:hAnsi="宋体" w:eastAsia="宋体" w:cs="宋体"/>
          <w:kern w:val="0"/>
          <w:sz w:val="24"/>
          <w:szCs w:val="24"/>
          <w:highlight w:val="yellow"/>
          <w:lang w:val="en-US" w:eastAsia="zh-CN" w:bidi="ar"/>
        </w:rPr>
        <w:t>（因新冠肺炎疫情防控要求，请投标人在2022年</w:t>
      </w:r>
      <w:r>
        <w:rPr>
          <w:rFonts w:hint="eastAsia" w:ascii="宋体" w:hAnsi="宋体" w:cs="宋体"/>
          <w:kern w:val="0"/>
          <w:sz w:val="24"/>
          <w:szCs w:val="24"/>
          <w:highlight w:val="yellow"/>
          <w:lang w:val="en-US" w:eastAsia="zh-CN" w:bidi="ar"/>
        </w:rPr>
        <w:t>6</w:t>
      </w:r>
      <w:r>
        <w:rPr>
          <w:rFonts w:hint="eastAsia" w:ascii="宋体" w:hAnsi="宋体" w:eastAsia="宋体" w:cs="宋体"/>
          <w:kern w:val="0"/>
          <w:sz w:val="24"/>
          <w:szCs w:val="24"/>
          <w:highlight w:val="yellow"/>
          <w:lang w:val="en-US" w:eastAsia="zh-CN" w:bidi="ar"/>
        </w:rPr>
        <w:t>月2</w:t>
      </w:r>
      <w:r>
        <w:rPr>
          <w:rFonts w:hint="eastAsia" w:ascii="宋体" w:hAnsi="宋体" w:cs="宋体"/>
          <w:kern w:val="0"/>
          <w:sz w:val="24"/>
          <w:szCs w:val="24"/>
          <w:highlight w:val="yellow"/>
          <w:lang w:val="en-US" w:eastAsia="zh-CN" w:bidi="ar"/>
        </w:rPr>
        <w:t>7</w:t>
      </w:r>
      <w:r>
        <w:rPr>
          <w:rFonts w:hint="eastAsia" w:ascii="宋体" w:hAnsi="宋体" w:eastAsia="宋体" w:cs="宋体"/>
          <w:kern w:val="0"/>
          <w:sz w:val="24"/>
          <w:szCs w:val="24"/>
          <w:highlight w:val="yellow"/>
          <w:lang w:val="en-US" w:eastAsia="zh-CN" w:bidi="ar"/>
        </w:rPr>
        <w:t>日上午8:30-11:00期间投递投标函，其它时段不接收）递交投标文件。</w:t>
      </w:r>
    </w:p>
    <w:p>
      <w:pPr>
        <w:pStyle w:val="14"/>
        <w:snapToGrid w:val="0"/>
        <w:spacing w:line="420" w:lineRule="exact"/>
        <w:ind w:firstLine="361" w:firstLineChars="150"/>
        <w:rPr>
          <w:rFonts w:ascii="宋体" w:hAnsi="宋体" w:eastAsia="宋体" w:cs="宋体"/>
          <w:b/>
        </w:rPr>
      </w:pPr>
      <w:r>
        <w:rPr>
          <w:rFonts w:hint="eastAsia" w:ascii="宋体" w:hAnsi="宋体" w:eastAsia="宋体" w:cs="宋体"/>
          <w:b/>
        </w:rPr>
        <w:t>（六）响应文件提交截止时间</w:t>
      </w:r>
    </w:p>
    <w:p>
      <w:pPr>
        <w:pStyle w:val="14"/>
        <w:snapToGrid w:val="0"/>
        <w:spacing w:line="420" w:lineRule="exact"/>
        <w:ind w:firstLine="360" w:firstLineChars="150"/>
        <w:rPr>
          <w:rFonts w:ascii="宋体" w:hAnsi="宋体" w:eastAsia="宋体" w:cs="宋体"/>
        </w:rPr>
      </w:pPr>
      <w:r>
        <w:rPr>
          <w:rFonts w:hint="eastAsia" w:ascii="宋体" w:hAnsi="宋体" w:eastAsia="宋体" w:cs="宋体"/>
        </w:rPr>
        <w:t>同磋商时间</w:t>
      </w:r>
    </w:p>
    <w:p>
      <w:pPr>
        <w:keepNext w:val="0"/>
        <w:keepLines w:val="0"/>
        <w:widowControl/>
        <w:suppressLineNumbers w:val="0"/>
        <w:spacing w:before="0" w:beforeAutospacing="0" w:after="0" w:afterAutospacing="0" w:line="500" w:lineRule="exact"/>
        <w:ind w:left="0" w:right="0" w:firstLine="420"/>
        <w:jc w:val="both"/>
        <w:rPr>
          <w:rFonts w:hint="eastAsia" w:ascii="宋体" w:hAnsi="宋体" w:eastAsia="宋体" w:cs="宋体"/>
          <w:b/>
          <w:bCs w:val="0"/>
          <w:kern w:val="0"/>
          <w:sz w:val="24"/>
          <w:szCs w:val="24"/>
          <w:lang w:val="en-US"/>
        </w:rPr>
      </w:pPr>
      <w:r>
        <w:rPr>
          <w:rFonts w:hint="eastAsia" w:ascii="宋体" w:hAnsi="宋体" w:eastAsia="宋体" w:cs="宋体"/>
          <w:b/>
        </w:rPr>
        <w:t>（七）</w:t>
      </w:r>
      <w:r>
        <w:rPr>
          <w:rFonts w:hint="eastAsia" w:ascii="宋体" w:hAnsi="宋体" w:eastAsia="宋体" w:cs="宋体"/>
          <w:b/>
          <w:bCs w:val="0"/>
          <w:kern w:val="0"/>
          <w:sz w:val="24"/>
          <w:szCs w:val="24"/>
          <w:lang w:val="en-US" w:eastAsia="zh-CN" w:bidi="ar"/>
        </w:rPr>
        <w:t>其它事项：</w:t>
      </w:r>
    </w:p>
    <w:p>
      <w:pPr>
        <w:keepNext w:val="0"/>
        <w:keepLines w:val="0"/>
        <w:widowControl/>
        <w:suppressLineNumbers w:val="0"/>
        <w:spacing w:before="0" w:beforeAutospacing="0" w:after="0" w:afterAutospacing="0" w:line="500" w:lineRule="exact"/>
        <w:ind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1.中标结果将在铜陵学院国资处网站予以公布。</w:t>
      </w:r>
    </w:p>
    <w:p>
      <w:pPr>
        <w:keepNext w:val="0"/>
        <w:keepLines w:val="0"/>
        <w:widowControl/>
        <w:suppressLineNumbers w:val="0"/>
        <w:spacing w:before="0" w:beforeAutospacing="0" w:after="0" w:afterAutospacing="0" w:line="500" w:lineRule="exact"/>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2.中标人应及时与采购人联系，进一步洽谈履约及相关事宜。如拟中标人对中标结果不能及时作出响应，或响应程度可能影响到采购人的需要，采购人有权对该单位作出不予中标处理，从而选择其它的候选单位作为中标单位。</w:t>
      </w:r>
    </w:p>
    <w:p>
      <w:pPr>
        <w:keepNext w:val="0"/>
        <w:keepLines w:val="0"/>
        <w:widowControl/>
        <w:suppressLineNumbers w:val="0"/>
        <w:spacing w:before="0" w:beforeAutospacing="0" w:after="0" w:afterAutospacing="0" w:line="500" w:lineRule="exact"/>
        <w:ind w:left="0" w:right="0" w:firstLine="480" w:firstLineChars="200"/>
        <w:jc w:val="both"/>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3.投标人的投标函将作为合同的组成部分。</w:t>
      </w:r>
    </w:p>
    <w:p>
      <w:pPr>
        <w:keepNext w:val="0"/>
        <w:keepLines w:val="0"/>
        <w:widowControl/>
        <w:suppressLineNumbers w:val="0"/>
        <w:spacing w:before="0" w:beforeAutospacing="0" w:after="0" w:afterAutospacing="0" w:line="500" w:lineRule="exact"/>
        <w:ind w:left="0" w:right="0" w:firstLine="480" w:firstLineChars="200"/>
        <w:jc w:val="left"/>
        <w:rPr>
          <w:rFonts w:hint="eastAsia" w:ascii="宋体" w:hAnsi="宋体" w:eastAsia="宋体" w:cs="宋体"/>
          <w:kern w:val="0"/>
          <w:sz w:val="24"/>
          <w:szCs w:val="24"/>
          <w:lang w:val="en-US"/>
        </w:rPr>
      </w:pPr>
      <w:r>
        <w:rPr>
          <w:rFonts w:hint="eastAsia" w:ascii="宋体" w:hAnsi="宋体" w:eastAsia="宋体" w:cs="宋体"/>
          <w:kern w:val="0"/>
          <w:sz w:val="24"/>
          <w:szCs w:val="24"/>
          <w:lang w:val="en-US" w:eastAsia="zh-CN" w:bidi="ar"/>
        </w:rPr>
        <w:t>4.中标单位需按照合同金额支付2.5%作为履约保证金，合同签订后履约保证金自动转为质保金，服务期满且无服务质量问题无息付清。</w:t>
      </w:r>
    </w:p>
    <w:p>
      <w:pPr>
        <w:keepNext w:val="0"/>
        <w:keepLines w:val="0"/>
        <w:widowControl w:val="0"/>
        <w:suppressLineNumbers w:val="0"/>
        <w:spacing w:before="0" w:beforeAutospacing="0" w:after="0" w:afterAutospacing="0" w:line="500" w:lineRule="exact"/>
        <w:ind w:left="0" w:right="0" w:firstLine="495"/>
        <w:jc w:val="both"/>
        <w:rPr>
          <w:rFonts w:ascii="宋体" w:hAnsi="宋体" w:eastAsia="宋体" w:cs="宋体"/>
          <w:b/>
        </w:rPr>
      </w:pPr>
      <w:r>
        <w:rPr>
          <w:rFonts w:hint="eastAsia" w:ascii="宋体" w:hAnsi="宋体" w:eastAsia="宋体" w:cs="宋体"/>
          <w:b/>
          <w:bCs w:val="0"/>
          <w:kern w:val="0"/>
          <w:sz w:val="24"/>
          <w:szCs w:val="24"/>
          <w:lang w:val="en-US" w:eastAsia="zh-CN" w:bidi="ar"/>
        </w:rPr>
        <w:t>（</w:t>
      </w:r>
      <w:r>
        <w:rPr>
          <w:rFonts w:hint="eastAsia" w:ascii="宋体" w:hAnsi="宋体" w:cs="宋体"/>
          <w:b/>
          <w:bCs w:val="0"/>
          <w:kern w:val="0"/>
          <w:sz w:val="24"/>
          <w:szCs w:val="24"/>
          <w:lang w:val="en-US" w:eastAsia="zh-CN" w:bidi="ar"/>
        </w:rPr>
        <w:t>八</w:t>
      </w:r>
      <w:r>
        <w:rPr>
          <w:rFonts w:hint="eastAsia" w:ascii="宋体" w:hAnsi="宋体" w:eastAsia="宋体" w:cs="宋体"/>
          <w:b/>
          <w:bCs w:val="0"/>
          <w:kern w:val="0"/>
          <w:sz w:val="24"/>
          <w:szCs w:val="24"/>
          <w:lang w:val="en-US" w:eastAsia="zh-CN" w:bidi="ar"/>
        </w:rPr>
        <w:t>）</w:t>
      </w:r>
      <w:r>
        <w:rPr>
          <w:rFonts w:hint="eastAsia" w:ascii="宋体" w:hAnsi="宋体" w:eastAsia="宋体" w:cs="宋体"/>
          <w:b/>
        </w:rPr>
        <w:t>联系方法：</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采购人：铜陵学院       </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联系人：程老师   联系电话：0562-5881058 </w:t>
      </w:r>
    </w:p>
    <w:p>
      <w:pPr>
        <w:spacing w:line="420" w:lineRule="exact"/>
        <w:ind w:firstLine="480" w:firstLineChars="200"/>
        <w:rPr>
          <w:rFonts w:ascii="宋体" w:hAnsi="宋体" w:eastAsia="宋体"/>
          <w:b w:val="0"/>
          <w:bCs w:val="0"/>
          <w:sz w:val="24"/>
          <w:szCs w:val="24"/>
        </w:rPr>
      </w:pPr>
      <w:r>
        <w:rPr>
          <w:rFonts w:hint="eastAsia" w:ascii="宋体" w:hAnsi="宋体" w:eastAsia="宋体"/>
          <w:sz w:val="24"/>
          <w:szCs w:val="24"/>
        </w:rPr>
        <w:t>技术咨询联系人 ：</w:t>
      </w:r>
      <w:r>
        <w:rPr>
          <w:rFonts w:hint="eastAsia" w:ascii="宋体" w:hAnsi="宋体" w:cs="宋体"/>
          <w:kern w:val="0"/>
          <w:sz w:val="24"/>
          <w:szCs w:val="24"/>
          <w:lang w:eastAsia="zh-CN"/>
        </w:rPr>
        <w:t>常</w:t>
      </w:r>
      <w:r>
        <w:rPr>
          <w:rFonts w:hint="eastAsia" w:ascii="宋体" w:hAnsi="宋体" w:cs="宋体"/>
          <w:kern w:val="0"/>
          <w:sz w:val="24"/>
          <w:szCs w:val="24"/>
        </w:rPr>
        <w:t xml:space="preserve">老师     </w:t>
      </w:r>
      <w:r>
        <w:rPr>
          <w:rFonts w:hint="eastAsia" w:ascii="宋体" w:hAnsi="宋体" w:eastAsia="宋体"/>
          <w:sz w:val="24"/>
          <w:szCs w:val="24"/>
        </w:rPr>
        <w:t xml:space="preserve"> 联系电话：</w:t>
      </w:r>
      <w:r>
        <w:rPr>
          <w:rFonts w:hint="eastAsia" w:ascii="宋体" w:hAnsi="宋体" w:cs="宋体"/>
          <w:kern w:val="0"/>
          <w:sz w:val="24"/>
          <w:szCs w:val="24"/>
        </w:rPr>
        <w:t xml:space="preserve"> 0562-5881972</w:t>
      </w:r>
    </w:p>
    <w:p>
      <w:pPr>
        <w:pStyle w:val="19"/>
        <w:tabs>
          <w:tab w:val="left" w:pos="420"/>
        </w:tabs>
        <w:spacing w:line="300" w:lineRule="exact"/>
        <w:jc w:val="both"/>
        <w:rPr>
          <w:rFonts w:ascii="宋体" w:hAnsi="宋体" w:eastAsia="宋体"/>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r>
        <w:rPr>
          <w:rFonts w:hint="eastAsia" w:ascii="宋体" w:hAnsi="宋体" w:eastAsia="宋体" w:cs="宋体"/>
          <w:b/>
          <w:bCs w:val="0"/>
          <w:kern w:val="0"/>
          <w:sz w:val="24"/>
          <w:szCs w:val="24"/>
          <w:lang w:val="en-US" w:eastAsia="zh-CN" w:bidi="ar"/>
        </w:rPr>
        <w:t xml:space="preserve"> </w:t>
      </w: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keepNext w:val="0"/>
        <w:keepLines w:val="0"/>
        <w:widowControl/>
        <w:suppressLineNumbers w:val="0"/>
        <w:spacing w:before="0" w:beforeAutospacing="0" w:after="0" w:afterAutospacing="0" w:line="500" w:lineRule="exact"/>
        <w:ind w:left="0" w:right="0" w:firstLine="361" w:firstLineChars="150"/>
        <w:jc w:val="both"/>
        <w:rPr>
          <w:rFonts w:hint="eastAsia" w:ascii="宋体" w:hAnsi="宋体" w:eastAsia="宋体" w:cs="宋体"/>
          <w:b/>
          <w:bCs w:val="0"/>
          <w:kern w:val="0"/>
          <w:sz w:val="24"/>
          <w:szCs w:val="24"/>
          <w:lang w:val="en-US" w:eastAsia="zh-CN" w:bidi="ar"/>
        </w:rPr>
      </w:pPr>
    </w:p>
    <w:p>
      <w:pPr>
        <w:pStyle w:val="19"/>
        <w:tabs>
          <w:tab w:val="left" w:pos="420"/>
        </w:tabs>
        <w:spacing w:line="300" w:lineRule="exact"/>
        <w:jc w:val="both"/>
        <w:rPr>
          <w:rFonts w:ascii="宋体" w:hAnsi="宋体" w:eastAsia="宋体"/>
        </w:rPr>
      </w:pPr>
    </w:p>
    <w:p>
      <w:pPr>
        <w:pStyle w:val="19"/>
        <w:tabs>
          <w:tab w:val="left" w:pos="420"/>
        </w:tabs>
        <w:spacing w:line="380" w:lineRule="exact"/>
        <w:rPr>
          <w:rFonts w:ascii="宋体" w:hAnsi="宋体" w:eastAsia="宋体" w:cs="Times New Roman"/>
        </w:rPr>
      </w:pPr>
      <w:r>
        <w:rPr>
          <w:rFonts w:hint="eastAsia" w:ascii="宋体" w:hAnsi="宋体" w:eastAsia="宋体"/>
        </w:rPr>
        <w:t>第一章 竞争性磋商书</w:t>
      </w:r>
      <w:bookmarkEnd w:id="0"/>
      <w:bookmarkEnd w:id="1"/>
      <w:bookmarkEnd w:id="2"/>
      <w:bookmarkEnd w:id="3"/>
    </w:p>
    <w:p>
      <w:pPr>
        <w:pStyle w:val="20"/>
        <w:spacing w:line="380" w:lineRule="exact"/>
        <w:rPr>
          <w:rFonts w:ascii="宋体" w:hAnsi="宋体" w:eastAsia="宋体"/>
        </w:rPr>
      </w:pPr>
      <w:bookmarkStart w:id="4" w:name="_Toc338398713"/>
      <w:bookmarkStart w:id="5" w:name="_Toc272141464"/>
      <w:bookmarkStart w:id="6" w:name="_Toc383776342"/>
      <w:r>
        <w:rPr>
          <w:rFonts w:hint="eastAsia" w:ascii="宋体" w:hAnsi="宋体" w:eastAsia="宋体" w:cs="宋体"/>
          <w:b/>
          <w:bCs/>
        </w:rPr>
        <w:t>一、磋商响应供应商须知前附表</w:t>
      </w:r>
      <w:bookmarkEnd w:id="4"/>
      <w:bookmarkEnd w:id="5"/>
      <w:bookmarkEnd w:id="6"/>
      <w:bookmarkStart w:id="7" w:name="_Hlk450145192"/>
    </w:p>
    <w:tbl>
      <w:tblPr>
        <w:tblStyle w:val="15"/>
        <w:tblW w:w="85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80"/>
        <w:gridCol w:w="2325"/>
        <w:gridCol w:w="555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9"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序号</w:t>
            </w:r>
          </w:p>
        </w:tc>
        <w:tc>
          <w:tcPr>
            <w:tcW w:w="2325" w:type="dxa"/>
            <w:vAlign w:val="center"/>
          </w:tcPr>
          <w:p>
            <w:pPr>
              <w:pStyle w:val="18"/>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条款名称</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b/>
                <w:szCs w:val="24"/>
                <w:lang w:val="zh-CN"/>
              </w:rPr>
            </w:pPr>
            <w:r>
              <w:rPr>
                <w:rFonts w:hint="eastAsia" w:ascii="宋体" w:hAnsi="宋体" w:eastAsia="宋体" w:cs="华文仿宋"/>
                <w:bCs/>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5"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资格审查资料</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bCs/>
                <w:szCs w:val="24"/>
              </w:rPr>
              <w:t>营业执照副本复印件及相关复印件加盖公章装订入</w:t>
            </w:r>
            <w:r>
              <w:rPr>
                <w:rFonts w:hint="eastAsia" w:ascii="宋体" w:hAnsi="宋体" w:eastAsia="宋体"/>
                <w:bCs/>
                <w:szCs w:val="20"/>
              </w:rPr>
              <w:t>磋商响应</w:t>
            </w:r>
            <w:r>
              <w:rPr>
                <w:rFonts w:hint="eastAsia" w:ascii="宋体" w:hAnsi="宋体" w:eastAsia="宋体"/>
                <w:bCs/>
                <w:szCs w:val="24"/>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2</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资金来源</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eastAsia" w:ascii="宋体" w:hAnsi="宋体" w:eastAsia="宋体"/>
                <w:szCs w:val="24"/>
                <w:lang w:eastAsia="zh-CN"/>
              </w:rPr>
            </w:pPr>
            <w:r>
              <w:rPr>
                <w:rFonts w:hint="eastAsia"/>
                <w:szCs w:val="24"/>
                <w:lang w:eastAsia="zh-CN"/>
              </w:rPr>
              <w:t>资金已落实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93"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3</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szCs w:val="24"/>
              </w:rPr>
            </w:pPr>
            <w:r>
              <w:rPr>
                <w:rFonts w:hint="eastAsia" w:ascii="宋体" w:hAnsi="宋体" w:eastAsia="宋体"/>
                <w:szCs w:val="24"/>
              </w:rPr>
              <w:t>采购范围</w:t>
            </w:r>
          </w:p>
        </w:tc>
        <w:tc>
          <w:tcPr>
            <w:tcW w:w="5553" w:type="dxa"/>
            <w:vAlign w:val="center"/>
          </w:tcPr>
          <w:p>
            <w:pPr>
              <w:keepNext w:val="0"/>
              <w:keepLines w:val="0"/>
              <w:widowControl/>
              <w:suppressLineNumbers w:val="0"/>
              <w:shd w:val="clear" w:color="auto" w:fill="FFFFFF"/>
              <w:spacing w:before="0" w:beforeAutospacing="0" w:after="0" w:afterAutospacing="0" w:line="380" w:lineRule="exact"/>
              <w:ind w:left="0" w:right="0"/>
              <w:rPr>
                <w:rFonts w:hint="default" w:ascii="宋体" w:hAnsi="宋体" w:eastAsia="宋体"/>
                <w:sz w:val="24"/>
                <w:szCs w:val="24"/>
              </w:rPr>
            </w:pPr>
            <w:r>
              <w:rPr>
                <w:rFonts w:hint="eastAsia" w:ascii="宋体" w:hAnsi="宋体" w:eastAsia="宋体"/>
                <w:kern w:val="0"/>
                <w:sz w:val="24"/>
                <w:szCs w:val="24"/>
              </w:rPr>
              <w:t>详见磋商公告及文件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4</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标段划分</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9"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5</w:t>
            </w:r>
          </w:p>
        </w:tc>
        <w:tc>
          <w:tcPr>
            <w:tcW w:w="2325" w:type="dxa"/>
            <w:vAlign w:val="center"/>
          </w:tcPr>
          <w:p>
            <w:pPr>
              <w:pStyle w:val="18"/>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最高磋商限价</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szCs w:val="24"/>
                <w:lang w:val="en-US" w:eastAsia="zh-CN"/>
              </w:rPr>
              <w:t>8</w:t>
            </w:r>
            <w:r>
              <w:rPr>
                <w:rFonts w:hint="eastAsia" w:ascii="宋体" w:hAnsi="宋体" w:eastAsia="宋体"/>
                <w:szCs w:val="24"/>
              </w:rPr>
              <w:t>万元/年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1"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6</w:t>
            </w:r>
          </w:p>
        </w:tc>
        <w:tc>
          <w:tcPr>
            <w:tcW w:w="2325" w:type="dxa"/>
            <w:vAlign w:val="center"/>
          </w:tcPr>
          <w:p>
            <w:pPr>
              <w:pStyle w:val="18"/>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采购方式</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6"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7</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是否接受联合体</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8</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是否接受分包履约</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0"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9</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构成竞争性磋商文件的其他文件</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竞争性磋商文件的澄清、修改书及有关补充通知为竞争性磋商文件的有效组成部分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5"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10</w:t>
            </w:r>
          </w:p>
        </w:tc>
        <w:tc>
          <w:tcPr>
            <w:tcW w:w="2325" w:type="dxa"/>
            <w:vAlign w:val="center"/>
          </w:tcPr>
          <w:p>
            <w:pPr>
              <w:pStyle w:val="18"/>
              <w:keepNext w:val="0"/>
              <w:keepLines w:val="0"/>
              <w:suppressLineNumbers w:val="0"/>
              <w:adjustRightInd/>
              <w:spacing w:before="0" w:beforeAutospacing="0" w:after="0" w:afterAutospacing="0" w:line="380" w:lineRule="exact"/>
              <w:ind w:left="52" w:right="0"/>
              <w:jc w:val="center"/>
              <w:rPr>
                <w:rFonts w:hint="default" w:ascii="宋体" w:hAnsi="宋体" w:eastAsia="宋体" w:cs="华文仿宋"/>
                <w:szCs w:val="24"/>
                <w:lang w:val="zh-CN"/>
              </w:rPr>
            </w:pPr>
            <w:r>
              <w:rPr>
                <w:rFonts w:hint="eastAsia" w:ascii="宋体" w:hAnsi="宋体" w:eastAsia="宋体" w:cs="华文仿宋"/>
                <w:szCs w:val="24"/>
                <w:lang w:val="zh-CN"/>
              </w:rPr>
              <w:t>磋商及响应截止时间</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11</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磋商及磋商响应书</w:t>
            </w:r>
          </w:p>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递交地点</w:t>
            </w:r>
          </w:p>
        </w:tc>
        <w:tc>
          <w:tcPr>
            <w:tcW w:w="5553" w:type="dxa"/>
            <w:vAlign w:val="center"/>
          </w:tcPr>
          <w:p>
            <w:pPr>
              <w:pStyle w:val="18"/>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53"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12</w:t>
            </w:r>
          </w:p>
        </w:tc>
        <w:tc>
          <w:tcPr>
            <w:tcW w:w="2325" w:type="dxa"/>
            <w:vAlign w:val="center"/>
          </w:tcPr>
          <w:p>
            <w:pPr>
              <w:pStyle w:val="18"/>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服务期</w:t>
            </w:r>
          </w:p>
        </w:tc>
        <w:tc>
          <w:tcPr>
            <w:tcW w:w="5553" w:type="dxa"/>
            <w:vAlign w:val="center"/>
          </w:tcPr>
          <w:p>
            <w:pPr>
              <w:keepNext w:val="0"/>
              <w:keepLines w:val="0"/>
              <w:suppressLineNumbers w:val="0"/>
              <w:adjustRightInd w:val="0"/>
              <w:snapToGrid w:val="0"/>
              <w:spacing w:before="0" w:beforeAutospacing="0" w:after="0" w:afterAutospacing="0" w:line="380" w:lineRule="exact"/>
              <w:ind w:left="0" w:right="0"/>
              <w:rPr>
                <w:rFonts w:hint="default" w:ascii="宋体" w:hAnsi="宋体" w:eastAsia="宋体" w:cs="仿宋_GB2312"/>
                <w:szCs w:val="24"/>
              </w:rPr>
            </w:pPr>
            <w:r>
              <w:rPr>
                <w:rFonts w:hint="eastAsia" w:ascii="宋体" w:hAnsi="宋体" w:eastAsia="宋体"/>
                <w:color w:val="000000"/>
                <w:sz w:val="24"/>
                <w:szCs w:val="24"/>
              </w:rPr>
              <w:t>暂定1年（根据项目实施情况及采购人的满意程度</w:t>
            </w:r>
            <w:r>
              <w:rPr>
                <w:rFonts w:hint="eastAsia" w:ascii="宋体" w:hAnsi="宋体" w:cs="宋体"/>
                <w:bCs/>
                <w:kern w:val="0"/>
                <w:sz w:val="24"/>
                <w:szCs w:val="24"/>
              </w:rPr>
              <w:t>，拟采用1+1+1方式签订服务合同</w:t>
            </w:r>
            <w:r>
              <w:rPr>
                <w:rFonts w:hint="eastAsia" w:ascii="宋体" w:hAnsi="宋体" w:eastAsia="宋体"/>
                <w:color w:val="00000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9" w:hRule="atLeast"/>
          <w:jc w:val="center"/>
        </w:trPr>
        <w:tc>
          <w:tcPr>
            <w:tcW w:w="680"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13</w:t>
            </w:r>
          </w:p>
        </w:tc>
        <w:tc>
          <w:tcPr>
            <w:tcW w:w="2325" w:type="dxa"/>
            <w:vAlign w:val="center"/>
          </w:tcPr>
          <w:p>
            <w:pPr>
              <w:pStyle w:val="18"/>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合同价款的支付</w:t>
            </w:r>
          </w:p>
        </w:tc>
        <w:tc>
          <w:tcPr>
            <w:tcW w:w="5553" w:type="dxa"/>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default" w:ascii="宋体" w:hAnsi="宋体" w:eastAsia="宋体"/>
                <w:szCs w:val="24"/>
              </w:rPr>
            </w:pPr>
            <w:r>
              <w:rPr>
                <w:rFonts w:hint="eastAsia" w:ascii="宋体" w:hAnsi="宋体" w:eastAsia="宋体" w:cs="宋体"/>
                <w:kern w:val="2"/>
                <w:sz w:val="24"/>
                <w:szCs w:val="24"/>
                <w:lang w:val="en-US" w:eastAsia="zh-CN" w:bidi="ar"/>
              </w:rPr>
              <w:t>一次支付/分次支付(分次支付需说明支付节点和比例）。</w:t>
            </w:r>
            <w:r>
              <w:rPr>
                <w:rFonts w:hint="eastAsia" w:ascii="Times New Roman" w:hAnsi="Times New Roman" w:eastAsia="宋体" w:cs="宋体"/>
                <w:kern w:val="2"/>
                <w:sz w:val="21"/>
                <w:szCs w:val="24"/>
                <w:lang w:val="en-US" w:eastAsia="zh-CN" w:bidi="ar"/>
              </w:rPr>
              <w:t>当年验收合格后一次性付款。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7"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14</w:t>
            </w:r>
          </w:p>
        </w:tc>
        <w:tc>
          <w:tcPr>
            <w:tcW w:w="2325" w:type="dxa"/>
            <w:vAlign w:val="center"/>
          </w:tcPr>
          <w:p>
            <w:pPr>
              <w:pStyle w:val="18"/>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rPr>
            </w:pPr>
            <w:r>
              <w:rPr>
                <w:rFonts w:hint="eastAsia" w:ascii="宋体" w:hAnsi="宋体" w:eastAsia="宋体" w:cs="华文仿宋"/>
                <w:szCs w:val="24"/>
                <w:lang w:val="zh-CN"/>
              </w:rPr>
              <w:t>磋商响应文件</w:t>
            </w:r>
            <w:r>
              <w:rPr>
                <w:rFonts w:hint="eastAsia" w:ascii="宋体" w:hAnsi="宋体" w:eastAsia="宋体" w:cs="华文仿宋"/>
                <w:szCs w:val="24"/>
              </w:rPr>
              <w:t>份数</w:t>
            </w:r>
          </w:p>
        </w:tc>
        <w:tc>
          <w:tcPr>
            <w:tcW w:w="5553" w:type="dxa"/>
            <w:vAlign w:val="center"/>
          </w:tcPr>
          <w:p>
            <w:pPr>
              <w:pStyle w:val="18"/>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cs="宋体"/>
                <w:szCs w:val="24"/>
                <w:lang w:val="zh-CN"/>
              </w:rPr>
              <w:t>正本1份、副本</w:t>
            </w:r>
            <w:r>
              <w:rPr>
                <w:rFonts w:hint="eastAsia" w:cs="宋体"/>
                <w:szCs w:val="24"/>
                <w:lang w:val="en-US" w:eastAsia="zh-CN"/>
              </w:rPr>
              <w:t>1</w:t>
            </w:r>
            <w:r>
              <w:rPr>
                <w:rFonts w:hint="eastAsia" w:ascii="宋体" w:hAnsi="宋体" w:eastAsia="宋体" w:cs="宋体"/>
                <w:szCs w:val="24"/>
                <w:lang w:val="zh-CN"/>
              </w:rPr>
              <w:t>份（</w:t>
            </w:r>
            <w:r>
              <w:rPr>
                <w:rFonts w:hint="eastAsia" w:ascii="宋体" w:hAnsi="宋体" w:eastAsia="宋体" w:cs="宋体"/>
                <w:szCs w:val="24"/>
              </w:rPr>
              <w:t>正本与副本单独或一起封装</w:t>
            </w:r>
            <w:r>
              <w:rPr>
                <w:rFonts w:hint="eastAsia" w:ascii="宋体" w:hAnsi="宋体" w:eastAsia="宋体" w:cs="宋体"/>
                <w:szCs w:val="24"/>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3"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15</w:t>
            </w:r>
          </w:p>
        </w:tc>
        <w:tc>
          <w:tcPr>
            <w:tcW w:w="2325" w:type="dxa"/>
            <w:vAlign w:val="center"/>
          </w:tcPr>
          <w:p>
            <w:pPr>
              <w:pStyle w:val="18"/>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项目实施地点</w:t>
            </w:r>
          </w:p>
        </w:tc>
        <w:tc>
          <w:tcPr>
            <w:tcW w:w="5553" w:type="dxa"/>
            <w:vAlign w:val="center"/>
          </w:tcPr>
          <w:p>
            <w:pPr>
              <w:pStyle w:val="18"/>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cs="宋体"/>
                <w:szCs w:val="24"/>
                <w:lang w:val="zh-CN"/>
              </w:rPr>
              <w:t>铜陵学院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33"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16</w:t>
            </w:r>
          </w:p>
        </w:tc>
        <w:tc>
          <w:tcPr>
            <w:tcW w:w="2325" w:type="dxa"/>
            <w:vAlign w:val="center"/>
          </w:tcPr>
          <w:p>
            <w:pPr>
              <w:pStyle w:val="18"/>
              <w:keepNext w:val="0"/>
              <w:keepLines w:val="0"/>
              <w:suppressLineNumbers w:val="0"/>
              <w:adjustRightInd/>
              <w:spacing w:before="0" w:beforeAutospacing="0" w:after="0" w:afterAutospacing="0" w:line="380" w:lineRule="exact"/>
              <w:ind w:left="0" w:right="0" w:firstLine="44"/>
              <w:jc w:val="center"/>
              <w:rPr>
                <w:rFonts w:hint="default" w:ascii="宋体" w:hAnsi="宋体" w:eastAsia="宋体" w:cs="华文仿宋"/>
                <w:szCs w:val="24"/>
                <w:lang w:val="zh-CN"/>
              </w:rPr>
            </w:pPr>
            <w:r>
              <w:rPr>
                <w:rFonts w:hint="eastAsia" w:ascii="宋体" w:hAnsi="宋体" w:eastAsia="宋体" w:cs="华文仿宋"/>
                <w:szCs w:val="24"/>
              </w:rPr>
              <w:t>费用承担</w:t>
            </w:r>
          </w:p>
        </w:tc>
        <w:tc>
          <w:tcPr>
            <w:tcW w:w="5553" w:type="dxa"/>
            <w:vAlign w:val="center"/>
          </w:tcPr>
          <w:p>
            <w:pPr>
              <w:pStyle w:val="18"/>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szCs w:val="24"/>
              </w:rPr>
              <w:t>供应商参加磋商活动发生的一切费用均自理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985"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Courier New"/>
                <w:color w:val="000000"/>
                <w:sz w:val="24"/>
                <w:szCs w:val="24"/>
              </w:rPr>
            </w:pPr>
            <w:r>
              <w:rPr>
                <w:rFonts w:hint="eastAsia" w:ascii="宋体" w:hAnsi="宋体" w:eastAsia="宋体" w:cs="华文仿宋"/>
                <w:sz w:val="24"/>
                <w:szCs w:val="24"/>
              </w:rPr>
              <w:t>17</w:t>
            </w:r>
          </w:p>
        </w:tc>
        <w:tc>
          <w:tcPr>
            <w:tcW w:w="2325" w:type="dxa"/>
            <w:vAlign w:val="center"/>
          </w:tcPr>
          <w:p>
            <w:pPr>
              <w:pStyle w:val="18"/>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rPr>
              <w:t>合同签订时间</w:t>
            </w:r>
          </w:p>
        </w:tc>
        <w:tc>
          <w:tcPr>
            <w:tcW w:w="5553" w:type="dxa"/>
            <w:vAlign w:val="center"/>
          </w:tcPr>
          <w:p>
            <w:pPr>
              <w:pStyle w:val="18"/>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szCs w:val="24"/>
              </w:rPr>
              <w:t>采购人通知后，成交供应商应在</w:t>
            </w:r>
            <w:r>
              <w:rPr>
                <w:rFonts w:hint="default" w:ascii="宋体" w:hAnsi="宋体" w:eastAsia="宋体"/>
                <w:szCs w:val="24"/>
              </w:rPr>
              <w:t>5</w:t>
            </w:r>
            <w:r>
              <w:rPr>
                <w:rFonts w:hint="eastAsia"/>
                <w:szCs w:val="24"/>
                <w:lang w:eastAsia="zh-CN"/>
              </w:rPr>
              <w:t>个工作日</w:t>
            </w:r>
            <w:r>
              <w:rPr>
                <w:rFonts w:hint="default" w:ascii="宋体" w:hAnsi="宋体" w:eastAsia="宋体"/>
                <w:szCs w:val="24"/>
              </w:rPr>
              <w:t>日内与</w:t>
            </w:r>
            <w:r>
              <w:rPr>
                <w:rFonts w:hint="eastAsia" w:ascii="宋体" w:hAnsi="宋体" w:eastAsia="宋体"/>
                <w:szCs w:val="24"/>
              </w:rPr>
              <w:t>采购</w:t>
            </w:r>
            <w:r>
              <w:rPr>
                <w:rFonts w:hint="default" w:ascii="宋体" w:hAnsi="宋体" w:eastAsia="宋体"/>
                <w:szCs w:val="24"/>
              </w:rPr>
              <w:t>人签订合同，逾期不</w:t>
            </w:r>
            <w:r>
              <w:rPr>
                <w:rFonts w:hint="eastAsia"/>
                <w:szCs w:val="24"/>
                <w:lang w:eastAsia="zh-CN"/>
              </w:rPr>
              <w:t>联系</w:t>
            </w:r>
            <w:r>
              <w:rPr>
                <w:rFonts w:hint="default" w:ascii="宋体" w:hAnsi="宋体" w:eastAsia="宋体"/>
                <w:szCs w:val="24"/>
              </w:rPr>
              <w:t>或由于成交供应商不响应谈判承诺原因无法签订合同的，</w:t>
            </w:r>
            <w:r>
              <w:rPr>
                <w:rFonts w:hint="eastAsia" w:ascii="宋体" w:hAnsi="宋体" w:eastAsia="宋体"/>
                <w:szCs w:val="24"/>
              </w:rPr>
              <w:t>采购</w:t>
            </w:r>
            <w:r>
              <w:rPr>
                <w:rFonts w:hint="default" w:ascii="宋体" w:hAnsi="宋体" w:eastAsia="宋体"/>
                <w:szCs w:val="24"/>
              </w:rPr>
              <w:t>人可以顺延至第二</w:t>
            </w:r>
            <w:r>
              <w:rPr>
                <w:rFonts w:hint="eastAsia" w:ascii="宋体" w:hAnsi="宋体" w:eastAsia="宋体"/>
                <w:szCs w:val="24"/>
              </w:rPr>
              <w:t>成交</w:t>
            </w:r>
            <w:r>
              <w:rPr>
                <w:rFonts w:hint="default" w:ascii="宋体" w:hAnsi="宋体" w:eastAsia="宋体"/>
                <w:szCs w:val="24"/>
              </w:rPr>
              <w:t>侯选供应商或重新</w:t>
            </w:r>
            <w:r>
              <w:rPr>
                <w:rFonts w:hint="eastAsia" w:ascii="宋体" w:hAnsi="宋体" w:eastAsia="宋体"/>
                <w:szCs w:val="24"/>
              </w:rPr>
              <w:t>采购</w:t>
            </w:r>
            <w:r>
              <w:rPr>
                <w:rFonts w:hint="default" w:ascii="宋体" w:hAnsi="宋体" w:eastAsia="宋体"/>
                <w:szCs w:val="24"/>
              </w:rPr>
              <w:t>。</w:t>
            </w:r>
          </w:p>
        </w:tc>
      </w:tr>
    </w:tbl>
    <w:p>
      <w:pPr>
        <w:pStyle w:val="20"/>
        <w:spacing w:line="380" w:lineRule="exact"/>
        <w:rPr>
          <w:rFonts w:ascii="宋体" w:hAnsi="宋体" w:eastAsia="宋体"/>
          <w:b/>
          <w:bCs/>
        </w:rPr>
      </w:pPr>
      <w:r>
        <w:rPr>
          <w:rFonts w:hint="eastAsia" w:ascii="宋体" w:hAnsi="宋体" w:eastAsia="宋体"/>
        </w:rPr>
        <w:br w:type="page"/>
      </w:r>
      <w:bookmarkEnd w:id="7"/>
      <w:bookmarkStart w:id="8" w:name="_Toc383776343"/>
      <w:bookmarkStart w:id="9" w:name="_Toc383776345"/>
      <w:r>
        <w:rPr>
          <w:rFonts w:hint="eastAsia" w:ascii="宋体" w:hAnsi="宋体" w:eastAsia="宋体" w:cs="宋体"/>
          <w:b/>
          <w:bCs/>
        </w:rPr>
        <w:t>二、磋商响应供应商须知</w:t>
      </w:r>
      <w:bookmarkEnd w:id="8"/>
    </w:p>
    <w:p>
      <w:pPr>
        <w:pStyle w:val="20"/>
        <w:spacing w:line="380" w:lineRule="exact"/>
        <w:rPr>
          <w:rFonts w:ascii="宋体" w:hAnsi="宋体" w:eastAsia="宋体"/>
          <w:b/>
          <w:bCs/>
          <w:sz w:val="24"/>
          <w:szCs w:val="24"/>
        </w:rPr>
      </w:pPr>
      <w:bookmarkStart w:id="10" w:name="_Toc383776344"/>
      <w:r>
        <w:rPr>
          <w:rFonts w:hint="eastAsia" w:ascii="宋体" w:hAnsi="宋体" w:eastAsia="宋体" w:cs="宋体"/>
          <w:b/>
          <w:bCs/>
          <w:sz w:val="24"/>
          <w:szCs w:val="24"/>
        </w:rPr>
        <w:t>（一）总则</w:t>
      </w:r>
      <w:bookmarkEnd w:id="10"/>
    </w:p>
    <w:p>
      <w:pPr>
        <w:pStyle w:val="18"/>
        <w:spacing w:line="380" w:lineRule="exact"/>
        <w:ind w:firstLine="480" w:firstLineChars="200"/>
        <w:rPr>
          <w:rFonts w:ascii="宋体" w:hAnsi="宋体" w:eastAsia="宋体"/>
          <w:bCs/>
          <w:szCs w:val="24"/>
        </w:rPr>
      </w:pPr>
      <w:r>
        <w:rPr>
          <w:rFonts w:hint="eastAsia" w:ascii="宋体" w:hAnsi="宋体" w:eastAsia="宋体"/>
          <w:bCs/>
          <w:szCs w:val="24"/>
        </w:rPr>
        <w:t>1．磋商响应供应商（以下简称供应商）资格要求</w:t>
      </w:r>
    </w:p>
    <w:p>
      <w:pPr>
        <w:widowControl/>
        <w:spacing w:line="380" w:lineRule="exact"/>
        <w:ind w:firstLine="480" w:firstLineChars="200"/>
        <w:jc w:val="left"/>
        <w:rPr>
          <w:rFonts w:ascii="宋体" w:hAnsi="宋体" w:eastAsia="宋体"/>
          <w:kern w:val="0"/>
          <w:sz w:val="24"/>
          <w:szCs w:val="24"/>
        </w:rPr>
      </w:pPr>
      <w:r>
        <w:rPr>
          <w:rFonts w:hint="eastAsia" w:ascii="宋体" w:hAnsi="宋体" w:eastAsia="宋体" w:cs="宋体"/>
          <w:kern w:val="0"/>
          <w:sz w:val="24"/>
          <w:szCs w:val="24"/>
        </w:rPr>
        <w:t>见磋商公告</w:t>
      </w:r>
    </w:p>
    <w:p>
      <w:pPr>
        <w:pStyle w:val="18"/>
        <w:spacing w:line="380" w:lineRule="exact"/>
        <w:ind w:firstLine="480" w:firstLineChars="200"/>
        <w:rPr>
          <w:rFonts w:ascii="宋体" w:hAnsi="宋体" w:eastAsia="宋体"/>
          <w:szCs w:val="24"/>
        </w:rPr>
      </w:pPr>
      <w:r>
        <w:rPr>
          <w:rFonts w:hint="eastAsia" w:ascii="宋体" w:hAnsi="宋体" w:eastAsia="宋体"/>
          <w:szCs w:val="24"/>
        </w:rPr>
        <w:t>注：本磋商文件中规定提供的复印件须装订入磋商响应书正、副本中，原件带至磋商现场审查。</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2．磋商响应费用</w:t>
      </w:r>
    </w:p>
    <w:p>
      <w:pPr>
        <w:pStyle w:val="20"/>
        <w:spacing w:line="380" w:lineRule="exact"/>
        <w:ind w:firstLine="480" w:firstLineChars="200"/>
        <w:jc w:val="both"/>
        <w:rPr>
          <w:rFonts w:ascii="宋体" w:hAnsi="宋体" w:eastAsia="宋体"/>
          <w:sz w:val="24"/>
          <w:szCs w:val="24"/>
        </w:rPr>
      </w:pPr>
      <w:r>
        <w:rPr>
          <w:rFonts w:hint="eastAsia" w:ascii="宋体" w:hAnsi="宋体" w:eastAsia="宋体" w:cs="宋体"/>
          <w:sz w:val="24"/>
          <w:szCs w:val="24"/>
        </w:rPr>
        <w:t>供应商必须自行承担所有与参加磋商有关的一切费用。不论磋商的结果如何，采购人和采购代理机构在任何情况下均无义务和责任承担这些费用。</w:t>
      </w:r>
    </w:p>
    <w:p>
      <w:pPr>
        <w:pStyle w:val="20"/>
        <w:spacing w:line="380" w:lineRule="exact"/>
        <w:rPr>
          <w:rFonts w:ascii="宋体" w:hAnsi="宋体" w:eastAsia="宋体"/>
          <w:b/>
          <w:bCs/>
          <w:sz w:val="24"/>
          <w:szCs w:val="24"/>
        </w:rPr>
      </w:pPr>
      <w:r>
        <w:rPr>
          <w:rFonts w:hint="eastAsia" w:ascii="宋体" w:hAnsi="宋体" w:eastAsia="宋体" w:cs="宋体"/>
          <w:b/>
          <w:bCs/>
          <w:sz w:val="24"/>
          <w:szCs w:val="24"/>
        </w:rPr>
        <w:t>（二）竞争性磋商文件</w:t>
      </w:r>
      <w:bookmarkEnd w:id="9"/>
    </w:p>
    <w:p>
      <w:pPr>
        <w:pStyle w:val="5"/>
        <w:spacing w:line="380" w:lineRule="exact"/>
        <w:ind w:firstLine="480" w:firstLineChars="200"/>
        <w:jc w:val="both"/>
        <w:rPr>
          <w:rFonts w:ascii="宋体" w:hAnsi="宋体" w:eastAsia="宋体" w:cs="宋体"/>
          <w:b w:val="0"/>
          <w:sz w:val="24"/>
          <w:szCs w:val="24"/>
        </w:rPr>
      </w:pPr>
      <w:r>
        <w:rPr>
          <w:rFonts w:hint="eastAsia" w:ascii="宋体" w:hAnsi="宋体" w:eastAsia="宋体" w:cs="宋体"/>
          <w:b w:val="0"/>
          <w:sz w:val="24"/>
          <w:szCs w:val="24"/>
        </w:rPr>
        <w:t xml:space="preserve">3．供应商应认真阅读和充分理解竞争性磋商文件中所有的内容。如果供应商没有满足竞争性磋商文件的有关要求，其风险由供应商自行承担。  </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4．竞争性磋商文件的澄清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4.1供应商可以要求采购人对竞争性磋商文件中的有关问题进行答疑、澄清。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4.2供应商对竞争性磋商文件如有疑问，应在磋商文件要求的截止时间前以书面形式（如传真、信件、电报等）通知采购人和采购代理机构。</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5．竞争性磋商文件的修改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5.1</w:t>
      </w:r>
      <w:r>
        <w:rPr>
          <w:rFonts w:hint="eastAsia" w:ascii="宋体" w:hAnsi="宋体" w:eastAsia="宋体" w:cs="宋体"/>
          <w:sz w:val="24"/>
          <w:szCs w:val="24"/>
        </w:rPr>
        <w:t>在某些情况下，采购人可能对竞争性磋商文件进行修改。</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5.2</w:t>
      </w:r>
      <w:r>
        <w:rPr>
          <w:rFonts w:hint="eastAsia" w:ascii="宋体" w:hAnsi="宋体" w:eastAsia="宋体" w:cs="宋体"/>
          <w:sz w:val="24"/>
          <w:szCs w:val="24"/>
        </w:rPr>
        <w:t xml:space="preserve">采购人对竞争性磋商文件的修改，将在竞争性磋商公告中的网站以补充公告的形式通知所有供应商，并对这些供应商具有约束力。  </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5.3</w:t>
      </w:r>
      <w:r>
        <w:rPr>
          <w:rFonts w:hint="eastAsia" w:ascii="宋体" w:hAnsi="宋体" w:eastAsia="宋体" w:cs="宋体"/>
          <w:sz w:val="24"/>
          <w:szCs w:val="24"/>
        </w:rPr>
        <w:t xml:space="preserve"> 为使供应商有充分时间对竞争性磋商文件的修改部分进行研究或由于其他原因，采购人可以决定延长磋商响应截止日期，并以前款方式将变更时间通知所有供应商。</w:t>
      </w:r>
    </w:p>
    <w:p>
      <w:pPr>
        <w:pStyle w:val="20"/>
        <w:spacing w:line="380" w:lineRule="exact"/>
        <w:rPr>
          <w:rFonts w:ascii="宋体" w:hAnsi="宋体" w:eastAsia="宋体"/>
          <w:b/>
          <w:bCs/>
          <w:sz w:val="24"/>
          <w:szCs w:val="24"/>
        </w:rPr>
      </w:pPr>
      <w:bookmarkStart w:id="11" w:name="_Toc383776346"/>
      <w:r>
        <w:rPr>
          <w:rFonts w:hint="eastAsia" w:ascii="宋体" w:hAnsi="宋体" w:eastAsia="宋体" w:cs="宋体"/>
          <w:b/>
          <w:bCs/>
          <w:sz w:val="24"/>
          <w:szCs w:val="24"/>
        </w:rPr>
        <w:t>（三）磋商响应书的编制</w:t>
      </w:r>
      <w:bookmarkEnd w:id="11"/>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6．磋商响应的语言及度量衡单位</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6.1</w:t>
      </w:r>
      <w:r>
        <w:rPr>
          <w:rFonts w:hint="eastAsia" w:ascii="宋体" w:hAnsi="宋体" w:eastAsia="宋体" w:cs="宋体"/>
          <w:sz w:val="24"/>
          <w:szCs w:val="24"/>
        </w:rPr>
        <w:t>供应商的磋商响应书、以及供应商与采购人就磋商响应的所有往来函电，均须使用简体中文。</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6.2</w:t>
      </w:r>
      <w:r>
        <w:rPr>
          <w:rFonts w:hint="eastAsia" w:ascii="宋体" w:hAnsi="宋体" w:eastAsia="宋体" w:cs="宋体"/>
          <w:sz w:val="24"/>
          <w:szCs w:val="24"/>
        </w:rPr>
        <w:t>除竞争性磋商文件中另有规定外，磋商响应书所使用的度量衡均须采用法定计量单位。</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7. 磋商响应书构成</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7.1 </w:t>
      </w:r>
      <w:r>
        <w:rPr>
          <w:rFonts w:hint="eastAsia" w:ascii="宋体" w:hAnsi="宋体" w:eastAsia="宋体" w:cs="宋体"/>
          <w:sz w:val="24"/>
          <w:szCs w:val="24"/>
        </w:rPr>
        <w:t>磋商响应书应包括本竞争性磋商文件第二章磋商响应书中所规定的全部内容。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7.2</w:t>
      </w:r>
      <w:r>
        <w:rPr>
          <w:rFonts w:hint="eastAsia" w:ascii="宋体" w:hAnsi="宋体" w:eastAsia="宋体" w:cs="宋体"/>
          <w:sz w:val="24"/>
          <w:szCs w:val="24"/>
        </w:rPr>
        <w:t xml:space="preserve"> 供应商必须对其磋商响应书的真实性与准确性负责。供应商一旦成为成交供应商，其磋商响应书将作为合同的重要组成部分。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7.3</w:t>
      </w:r>
      <w:r>
        <w:rPr>
          <w:rFonts w:hint="eastAsia" w:ascii="宋体" w:hAnsi="宋体" w:eastAsia="宋体" w:cs="宋体"/>
          <w:sz w:val="24"/>
          <w:szCs w:val="24"/>
        </w:rPr>
        <w:t>供应商不得擅自对竞争性磋商文件的格式、条款和技术要求进行修改。否则，其磋商响应书在磋商时有可能被认为是未对竞争性磋商文件做出实质性的响应而中止对其作进一步的评审。</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8．磋商响应报价</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8.1</w:t>
      </w:r>
      <w:r>
        <w:rPr>
          <w:rFonts w:hint="eastAsia" w:ascii="宋体" w:hAnsi="宋体" w:eastAsia="宋体" w:cs="宋体"/>
          <w:sz w:val="24"/>
          <w:szCs w:val="24"/>
        </w:rPr>
        <w:t xml:space="preserve"> 磋商响应报价应清楚地标明供应商拟提供服务的名称、单价。只允许有一个方案、一个报价，多方案、多报价的磋商响应文件将不被接受。</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8.2</w:t>
      </w:r>
      <w:r>
        <w:rPr>
          <w:rFonts w:hint="eastAsia" w:ascii="宋体" w:hAnsi="宋体" w:eastAsia="宋体" w:cs="宋体"/>
          <w:sz w:val="24"/>
          <w:szCs w:val="24"/>
        </w:rPr>
        <w:t>　磋商报价表上的总价即为履行合同的固定价格。</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8.3</w:t>
      </w:r>
      <w:r>
        <w:rPr>
          <w:rFonts w:hint="eastAsia" w:ascii="宋体" w:hAnsi="宋体" w:eastAsia="宋体" w:cs="宋体"/>
          <w:sz w:val="24"/>
          <w:szCs w:val="24"/>
        </w:rPr>
        <w:t>　技术要求中规定的现场服务、售后服务等一切费用应包括在报价中（本磋商文件中有特殊规定的除外）。</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8.4  </w:t>
      </w:r>
      <w:r>
        <w:rPr>
          <w:rFonts w:hint="eastAsia" w:ascii="宋体" w:hAnsi="宋体" w:eastAsia="宋体" w:cs="宋体"/>
          <w:sz w:val="24"/>
          <w:szCs w:val="24"/>
        </w:rPr>
        <w:t>供应商的磋商报价，应是完成本项目采购合同条款上全部费用。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8.5磋商响应货币：</w:t>
      </w:r>
      <w:r>
        <w:rPr>
          <w:rFonts w:hint="eastAsia" w:ascii="宋体" w:hAnsi="宋体" w:eastAsia="宋体" w:cs="宋体"/>
          <w:sz w:val="24"/>
          <w:szCs w:val="24"/>
        </w:rPr>
        <w:t>须以人民币报价。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9．证明供应商合格的资格文件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9.1</w:t>
      </w:r>
      <w:r>
        <w:rPr>
          <w:rFonts w:hint="eastAsia" w:ascii="宋体" w:hAnsi="宋体" w:eastAsia="宋体" w:cs="宋体"/>
          <w:sz w:val="24"/>
          <w:szCs w:val="24"/>
        </w:rPr>
        <w:t>供应商在其磋商响应书中，应包括证明其有资格参加磋商和成交后有能力履行合同的资质证明文件。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9.2</w:t>
      </w:r>
      <w:r>
        <w:rPr>
          <w:rFonts w:hint="eastAsia" w:ascii="宋体" w:hAnsi="宋体" w:eastAsia="宋体" w:cs="宋体"/>
          <w:sz w:val="24"/>
          <w:szCs w:val="24"/>
        </w:rPr>
        <w:t>供应商必须具有履行合同所必需的能力。</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10．磋商响应保证金（详见前附表）。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11．磋商响应书份数和签署</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11.1</w:t>
      </w:r>
      <w:r>
        <w:rPr>
          <w:rFonts w:hint="eastAsia" w:ascii="宋体" w:hAnsi="宋体" w:eastAsia="宋体" w:cs="宋体"/>
          <w:sz w:val="24"/>
          <w:szCs w:val="24"/>
        </w:rPr>
        <w:t>供应商应准备供应商须知前附表规定份数的磋商响应书。每份磋商响应书须清楚地标明“正本”或“副本”字样，正本与副本必须一致；若正本与副本不一致，以正本为准。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11.2</w:t>
      </w:r>
      <w:r>
        <w:rPr>
          <w:rFonts w:hint="eastAsia" w:ascii="宋体" w:hAnsi="宋体" w:eastAsia="宋体" w:cs="宋体"/>
          <w:sz w:val="24"/>
          <w:szCs w:val="24"/>
        </w:rPr>
        <w:t xml:space="preserve"> 磋商响应书的正本和所有的副本均需打印，由供应商的法定代表人或其授权代表正确签署。授权代表须将以书面形式出具的“法定代表人授权书”附在磋商响应书上。</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11.3</w:t>
      </w:r>
      <w:r>
        <w:rPr>
          <w:rFonts w:hint="eastAsia" w:ascii="宋体" w:hAnsi="宋体" w:eastAsia="宋体" w:cs="宋体"/>
          <w:sz w:val="24"/>
          <w:szCs w:val="24"/>
        </w:rPr>
        <w:t>磋商响应书不得行间插字、涂改或增删。如有修改错漏处，必须由供应商的法定代表人或其授权代表签字和盖章。</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12．磋商响应书的密封和标记</w:t>
      </w:r>
    </w:p>
    <w:p>
      <w:pPr>
        <w:spacing w:line="380" w:lineRule="exact"/>
        <w:ind w:firstLine="480" w:firstLineChars="200"/>
        <w:rPr>
          <w:rFonts w:ascii="宋体" w:hAnsi="宋体" w:eastAsia="宋体" w:cs="宋体"/>
          <w:kern w:val="0"/>
          <w:sz w:val="24"/>
          <w:szCs w:val="24"/>
        </w:rPr>
      </w:pPr>
      <w:r>
        <w:rPr>
          <w:rFonts w:hint="eastAsia" w:ascii="宋体" w:hAnsi="宋体" w:eastAsia="宋体" w:cs="宋体"/>
          <w:bCs/>
          <w:sz w:val="24"/>
          <w:szCs w:val="24"/>
        </w:rPr>
        <w:t>12.1</w:t>
      </w:r>
      <w:r>
        <w:rPr>
          <w:rFonts w:hint="eastAsia" w:ascii="宋体" w:hAnsi="宋体" w:eastAsia="宋体" w:cs="宋体"/>
          <w:bCs/>
          <w:kern w:val="0"/>
          <w:sz w:val="24"/>
          <w:szCs w:val="24"/>
        </w:rPr>
        <w:t>供应商应将磋商响应书的正本和副本单独或一起用包装袋封装好。封装应该严密、不易破损。封口处应盖有供应商公章。</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12.2</w:t>
      </w:r>
      <w:r>
        <w:rPr>
          <w:rFonts w:hint="eastAsia" w:ascii="宋体" w:hAnsi="宋体" w:eastAsia="宋体" w:cs="宋体"/>
          <w:sz w:val="24"/>
          <w:szCs w:val="24"/>
        </w:rPr>
        <w:t>磋商响应书包装袋上必须清楚写明项目的名称、项目编号、供应商全称。</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12．3 磋商响应书不得活页装订，否则响应无效。</w:t>
      </w:r>
    </w:p>
    <w:p>
      <w:pPr>
        <w:pStyle w:val="20"/>
        <w:spacing w:line="380" w:lineRule="exact"/>
        <w:rPr>
          <w:rFonts w:ascii="宋体" w:hAnsi="宋体" w:eastAsia="宋体"/>
          <w:b/>
          <w:bCs/>
          <w:sz w:val="24"/>
          <w:szCs w:val="24"/>
        </w:rPr>
      </w:pPr>
      <w:bookmarkStart w:id="12" w:name="_Toc383776347"/>
      <w:r>
        <w:rPr>
          <w:rFonts w:hint="eastAsia" w:ascii="宋体" w:hAnsi="宋体" w:eastAsia="宋体" w:cs="宋体"/>
          <w:b/>
          <w:bCs/>
          <w:sz w:val="24"/>
          <w:szCs w:val="24"/>
        </w:rPr>
        <w:t>（四）磋商响应书的递交</w:t>
      </w:r>
      <w:bookmarkEnd w:id="12"/>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13．磋商响应书超过时间递交的将被拒绝。磋商响应书有下列情形之一的，采购人将不予受理：</w:t>
      </w:r>
    </w:p>
    <w:p>
      <w:pPr>
        <w:pStyle w:val="7"/>
        <w:spacing w:line="380" w:lineRule="exact"/>
        <w:ind w:firstLine="475" w:firstLineChars="198"/>
        <w:rPr>
          <w:rFonts w:ascii="宋体" w:hAnsi="宋体" w:eastAsia="宋体"/>
          <w:bCs/>
          <w:sz w:val="24"/>
          <w:szCs w:val="24"/>
        </w:rPr>
      </w:pPr>
      <w:r>
        <w:rPr>
          <w:rFonts w:hint="eastAsia" w:ascii="宋体" w:hAnsi="宋体" w:eastAsia="宋体"/>
          <w:bCs/>
          <w:sz w:val="24"/>
          <w:szCs w:val="24"/>
        </w:rPr>
        <w:t xml:space="preserve">13.1逾期送达的或者未送达指定地点的； </w:t>
      </w:r>
    </w:p>
    <w:p>
      <w:pPr>
        <w:pStyle w:val="7"/>
        <w:spacing w:line="380" w:lineRule="exact"/>
        <w:ind w:firstLine="475" w:firstLineChars="198"/>
        <w:rPr>
          <w:rFonts w:ascii="宋体" w:hAnsi="宋体" w:eastAsia="宋体"/>
          <w:bCs/>
          <w:sz w:val="24"/>
          <w:szCs w:val="24"/>
        </w:rPr>
      </w:pPr>
      <w:r>
        <w:rPr>
          <w:rFonts w:hint="eastAsia" w:ascii="宋体" w:hAnsi="宋体" w:eastAsia="宋体"/>
          <w:bCs/>
          <w:sz w:val="24"/>
          <w:szCs w:val="24"/>
        </w:rPr>
        <w:t>13.2未按磋商文件要求包装、密封和标记的。</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14．磋商响应书的修改和撤回</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14.1供应商递交磋商响应书后，可以在规定的磋商响应截止时间前修改或撤回其磋商响应书。但这种修改和撤回，必须以书面形式通知采购人和采购代理机构。补充修改的内容与响应文件不一致的，以补充、修改的内容为准。</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14.2供应商修改书或撤回通知书，应由法定代表人或其授权代表签署，并按规定进行密封、标记和提交。</w:t>
      </w:r>
    </w:p>
    <w:p>
      <w:pPr>
        <w:pStyle w:val="5"/>
        <w:spacing w:line="380" w:lineRule="exact"/>
        <w:ind w:firstLine="480" w:firstLineChars="200"/>
        <w:jc w:val="both"/>
        <w:rPr>
          <w:rFonts w:ascii="宋体" w:hAnsi="宋体" w:eastAsia="宋体" w:cs="Times New Roman"/>
          <w:b w:val="0"/>
          <w:sz w:val="24"/>
          <w:szCs w:val="24"/>
        </w:rPr>
      </w:pPr>
      <w:r>
        <w:rPr>
          <w:rFonts w:hint="eastAsia" w:ascii="宋体" w:hAnsi="宋体" w:eastAsia="宋体" w:cs="宋体"/>
          <w:b w:val="0"/>
          <w:sz w:val="24"/>
          <w:szCs w:val="24"/>
        </w:rPr>
        <w:t>15．磋商现场</w:t>
      </w:r>
    </w:p>
    <w:p>
      <w:pPr>
        <w:pStyle w:val="5"/>
        <w:spacing w:line="380" w:lineRule="exact"/>
        <w:ind w:firstLine="480" w:firstLineChars="200"/>
        <w:jc w:val="both"/>
        <w:rPr>
          <w:rFonts w:ascii="宋体" w:hAnsi="宋体" w:eastAsia="宋体" w:cs="Times New Roman"/>
          <w:b w:val="0"/>
          <w:bCs w:val="0"/>
          <w:kern w:val="0"/>
          <w:sz w:val="24"/>
          <w:szCs w:val="24"/>
        </w:rPr>
      </w:pPr>
      <w:r>
        <w:rPr>
          <w:rFonts w:hint="eastAsia" w:ascii="宋体" w:hAnsi="宋体" w:eastAsia="宋体" w:cs="宋体"/>
          <w:b w:val="0"/>
          <w:bCs w:val="0"/>
          <w:kern w:val="0"/>
          <w:sz w:val="24"/>
          <w:szCs w:val="24"/>
        </w:rPr>
        <w:t>华春建设工程项目管理有限责任公司将按照磋商响应供应商须知前附表载明的时间和地点举行磋商。</w:t>
      </w:r>
    </w:p>
    <w:p>
      <w:pPr>
        <w:spacing w:line="380" w:lineRule="exact"/>
        <w:ind w:firstLine="480" w:firstLineChars="200"/>
        <w:rPr>
          <w:rFonts w:ascii="宋体" w:hAnsi="宋体" w:eastAsia="宋体"/>
          <w:bCs/>
          <w:sz w:val="24"/>
          <w:szCs w:val="24"/>
        </w:rPr>
      </w:pPr>
      <w:r>
        <w:rPr>
          <w:rFonts w:hint="eastAsia" w:ascii="宋体" w:hAnsi="宋体" w:eastAsia="宋体" w:cs="宋体"/>
          <w:bCs/>
          <w:kern w:val="0"/>
          <w:sz w:val="24"/>
          <w:szCs w:val="24"/>
        </w:rPr>
        <w:t>16．</w:t>
      </w:r>
      <w:r>
        <w:rPr>
          <w:rFonts w:hint="eastAsia" w:ascii="宋体" w:hAnsi="宋体" w:eastAsia="宋体" w:cs="宋体"/>
          <w:bCs/>
          <w:sz w:val="24"/>
          <w:szCs w:val="24"/>
        </w:rPr>
        <w:t>磋商与评审</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16.1磋商与评审程序</w:t>
      </w:r>
    </w:p>
    <w:p>
      <w:pPr>
        <w:numPr>
          <w:ilvl w:val="0"/>
          <w:numId w:val="0"/>
        </w:numPr>
        <w:spacing w:line="3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1、磋商小组由采购人和评审专家构成，成员人数为3人以上单数。</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2、磋商小组首先对供应商的资格进行审查，资格审查不通过的，将不得进入磋商。</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3、磋商小组对供应商提交的磋商响应书及样品（如有）进行审查，为磋商做好准备工作。</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4、磋商小组所有成员集中与单一供应商进行逐一磋商。磋商过程中可对磋商文件规定的内容进行变动，变动内容须经采购人代表确认。</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5、对否定的供应商，磋商小组要提出充足的否定理由，并填写在评审记录上；对评审结果持有异议的，按照少数服从多数的原则由磋商小组采取投票方式表决确定并记录入评审记录。</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16.1.1 资格审查</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经磋商小组确定，有以下情形的供应商属于无效响应：</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1）未按本磋商文件要求提供营业执照以及相关资质、资格证明材料或提供的材料不符合要求的；</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2）未提供样品的。（如有）</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供应商未按照磋商文件要求提交磋商保证金的；</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供应商递交磋商响应书后提交书面修改或撤回申请，但未在规定的磋商响应截止时间前提交已修改的磋商响应书的，视为响应无效。</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16.1.2 磋商响应书及样品（如有）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16.1.3 磋商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1、在掌握了供应商磋商响应书及样品的基本情况后，磋商小组将与供应商分别进行磋商。 </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16.1.4 报价</w:t>
      </w:r>
    </w:p>
    <w:p>
      <w:pPr>
        <w:numPr>
          <w:ilvl w:val="0"/>
          <w:numId w:val="2"/>
        </w:numPr>
        <w:spacing w:line="380" w:lineRule="exact"/>
        <w:ind w:firstLine="480" w:firstLineChars="200"/>
        <w:rPr>
          <w:rFonts w:ascii="宋体" w:hAnsi="宋体" w:eastAsia="宋体"/>
          <w:sz w:val="24"/>
          <w:szCs w:val="24"/>
        </w:rPr>
      </w:pPr>
      <w:r>
        <w:rPr>
          <w:rFonts w:hint="eastAsia" w:ascii="宋体" w:hAnsi="宋体" w:eastAsia="宋体" w:cs="宋体"/>
          <w:sz w:val="24"/>
          <w:szCs w:val="24"/>
        </w:rPr>
        <w:t>响应报价超过项目预算控制数或不按规定格式进行报价的属于无效响应。报价表应按要求填写并装订入响应文件内。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2、磋商结束后，磋商小组将要求所有继续参加磋商的供应商在规定的时间内提交最后报价，最后报价表由采购代理机构工作人员现场发放。最后报价不得高于本单位第一轮报价，否则为无效报价。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16.1.5成交候选供应商</w:t>
      </w:r>
    </w:p>
    <w:p>
      <w:pPr>
        <w:spacing w:line="380" w:lineRule="exact"/>
        <w:ind w:firstLine="480" w:firstLineChars="200"/>
        <w:rPr>
          <w:rFonts w:ascii="宋体" w:hAnsi="宋体" w:eastAsia="宋体" w:cs="宋体"/>
          <w:color w:val="0000FF"/>
          <w:sz w:val="24"/>
          <w:szCs w:val="24"/>
        </w:rPr>
      </w:pPr>
      <w:r>
        <w:rPr>
          <w:rFonts w:hint="eastAsia" w:ascii="宋体" w:hAnsi="宋体" w:eastAsia="宋体" w:cs="宋体"/>
          <w:bCs/>
          <w:sz w:val="24"/>
          <w:szCs w:val="24"/>
          <w:u w:val="single"/>
        </w:rPr>
        <w:t>磋商小组应当根据综合评分情况，按照评审得分由高到低顺序推荐有排序的2名成交候选供应商，并编写评审报告。</w:t>
      </w:r>
      <w:r>
        <w:rPr>
          <w:rFonts w:hint="eastAsia" w:ascii="宋体" w:hAnsi="宋体" w:eastAsia="宋体" w:cs="宋体"/>
          <w:sz w:val="24"/>
          <w:szCs w:val="24"/>
        </w:rPr>
        <w:t>评审得分相同的，按照最后报价由低到高的顺序推荐。评审得分且最后报价相同的，按照现场抽签顺序推荐。同时将评审结果形成评审意见，报采购人依法确定成交供应商</w:t>
      </w:r>
      <w:r>
        <w:rPr>
          <w:rFonts w:hint="eastAsia" w:ascii="宋体" w:hAnsi="宋体" w:eastAsia="宋体" w:cs="宋体"/>
          <w:color w:val="0000FF"/>
          <w:sz w:val="24"/>
          <w:szCs w:val="24"/>
        </w:rPr>
        <w:t>。</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17. 经磋商小组确定，有以下情形的供应商视为不合格供应商，其磋商响应将被否决：</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1）资格审查未通过的；</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2）磋商响应书未加盖单位印章和法定代表人（或授权委托人）签章的；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3）所提供的货物/服务/采购清单缺少的；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4）关键性商务、技术参数以及相关要求不能得到真正满足的；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5）样品不符合要求的（如有）；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6) 报价超过项目预算控制数或不按规定格式进行报价的属于无效报价。</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7）其它不满足本磋商文件要求和法律法规规定应当否决的情形。</w:t>
      </w:r>
    </w:p>
    <w:p>
      <w:pPr>
        <w:pStyle w:val="18"/>
        <w:adjustRightInd/>
        <w:spacing w:line="380" w:lineRule="exact"/>
        <w:jc w:val="center"/>
        <w:rPr>
          <w:rFonts w:ascii="宋体" w:hAnsi="宋体" w:eastAsia="宋体"/>
          <w:b/>
          <w:bCs/>
          <w:szCs w:val="24"/>
        </w:rPr>
      </w:pPr>
      <w:bookmarkStart w:id="13" w:name="_Toc383776348"/>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p>
    <w:p>
      <w:pPr>
        <w:pStyle w:val="18"/>
        <w:adjustRightInd/>
        <w:spacing w:line="380" w:lineRule="exact"/>
        <w:jc w:val="center"/>
        <w:rPr>
          <w:rFonts w:ascii="宋体" w:hAnsi="宋体" w:eastAsia="宋体"/>
          <w:b/>
          <w:bCs/>
          <w:szCs w:val="24"/>
        </w:rPr>
      </w:pPr>
      <w:r>
        <w:rPr>
          <w:rFonts w:hint="eastAsia" w:ascii="宋体" w:hAnsi="宋体" w:eastAsia="宋体"/>
          <w:b/>
          <w:bCs/>
          <w:szCs w:val="24"/>
        </w:rPr>
        <w:t>（五）磋商办法</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一、资格审查</w:t>
      </w:r>
    </w:p>
    <w:tbl>
      <w:tblPr>
        <w:tblStyle w:val="15"/>
        <w:tblpPr w:leftFromText="180" w:rightFromText="180" w:vertAnchor="text" w:horzAnchor="page" w:tblpX="1552" w:tblpY="588"/>
        <w:tblOverlap w:val="never"/>
        <w:tblW w:w="947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340"/>
        <w:gridCol w:w="2683"/>
        <w:gridCol w:w="2487"/>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序</w:t>
            </w:r>
          </w:p>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号</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合格条件</w:t>
            </w:r>
          </w:p>
        </w:tc>
        <w:tc>
          <w:tcPr>
            <w:tcW w:w="2683" w:type="dxa"/>
            <w:vAlign w:val="center"/>
          </w:tcPr>
          <w:p>
            <w:pPr>
              <w:keepNext w:val="0"/>
              <w:keepLines w:val="0"/>
              <w:suppressLineNumbers w:val="0"/>
              <w:spacing w:before="0" w:beforeAutospacing="0" w:after="0" w:afterAutospacing="0" w:line="380" w:lineRule="exact"/>
              <w:ind w:left="15" w:right="0" w:hanging="14" w:hangingChars="7"/>
              <w:jc w:val="center"/>
              <w:rPr>
                <w:rFonts w:hint="default" w:ascii="宋体" w:hAnsi="宋体" w:eastAsia="宋体" w:cs="宋体"/>
              </w:rPr>
            </w:pPr>
            <w:r>
              <w:rPr>
                <w:rFonts w:hint="eastAsia" w:ascii="宋体" w:hAnsi="宋体" w:eastAsia="宋体" w:cs="宋体"/>
              </w:rPr>
              <w:t>投标资格合格条件标准</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有效证明材料</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定性的结论以及</w:t>
            </w:r>
          </w:p>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相关情况说明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eastAsia" w:ascii="宋体" w:hAnsi="宋体" w:eastAsia="宋体" w:cs="宋体"/>
                <w:lang w:eastAsia="zh-CN"/>
              </w:rPr>
            </w:pPr>
            <w:r>
              <w:rPr>
                <w:rFonts w:hint="eastAsia" w:ascii="宋体" w:hAnsi="宋体" w:cs="宋体"/>
                <w:lang w:val="en-US" w:eastAsia="zh-CN"/>
              </w:rPr>
              <w:t>1</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独立的法人营业资格</w:t>
            </w:r>
          </w:p>
        </w:tc>
        <w:tc>
          <w:tcPr>
            <w:tcW w:w="2683"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在中华人民共和国境内合法注册的独立法人资格，并具有相应的经营范围。</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企业法人营业执照（副本）</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复印件加盖公章装订在磋商响应文件内，原件备查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eastAsia" w:ascii="宋体" w:hAnsi="宋体" w:eastAsia="宋体" w:cs="宋体"/>
                <w:lang w:eastAsia="zh-CN"/>
              </w:rPr>
            </w:pPr>
            <w:r>
              <w:rPr>
                <w:rFonts w:hint="eastAsia" w:ascii="宋体" w:hAnsi="宋体" w:cs="宋体"/>
                <w:lang w:val="en-US" w:eastAsia="zh-CN"/>
              </w:rPr>
              <w:t>2</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授权委托书</w:t>
            </w:r>
          </w:p>
        </w:tc>
        <w:tc>
          <w:tcPr>
            <w:tcW w:w="2683"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按格式要求填写、签章</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由法定代表人签署并加盖公章</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必须原件装订在磋商响应文件内。</w:t>
            </w:r>
          </w:p>
        </w:tc>
      </w:tr>
    </w:tbl>
    <w:p>
      <w:pPr>
        <w:spacing w:line="380" w:lineRule="exact"/>
        <w:ind w:firstLine="480" w:firstLineChars="200"/>
        <w:rPr>
          <w:rFonts w:ascii="宋体" w:hAnsi="宋体" w:eastAsia="宋体" w:cs="宋体"/>
          <w:sz w:val="24"/>
          <w:szCs w:val="24"/>
        </w:rPr>
      </w:pPr>
      <w:bookmarkStart w:id="14" w:name="_Toc513623392"/>
      <w:bookmarkStart w:id="15" w:name="_Toc17631"/>
      <w:bookmarkStart w:id="16" w:name="_Toc23811"/>
      <w:bookmarkStart w:id="17" w:name="_Toc23778"/>
      <w:r>
        <w:rPr>
          <w:rFonts w:hint="eastAsia" w:ascii="宋体" w:hAnsi="宋体" w:eastAsia="宋体" w:cs="宋体"/>
          <w:sz w:val="24"/>
          <w:szCs w:val="24"/>
        </w:rPr>
        <w:t>符合性评审内容（原件备查）</w:t>
      </w:r>
      <w:bookmarkEnd w:id="14"/>
      <w:bookmarkEnd w:id="15"/>
      <w:bookmarkEnd w:id="16"/>
      <w:bookmarkEnd w:id="17"/>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注: 1.以上条款中有一条不符合即为不合格。</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2.经公证部门公证的复印件和原件具有同等效力。</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3.以上评审内容均应在磋商响应文件中体现。</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4.以上所有证书原件与磋商响应文件同一时间递交，超过磋商规定截止时间外提交或补交的证书原件一律不再接收并评审。</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5.以上评审有任何一项未通过的，资格审查不合格，磋商响应文件按无效处理。</w:t>
      </w:r>
    </w:p>
    <w:p>
      <w:pPr>
        <w:spacing w:line="380" w:lineRule="exact"/>
        <w:ind w:firstLine="480" w:firstLineChars="200"/>
        <w:rPr>
          <w:rFonts w:ascii="宋体" w:hAnsi="宋体" w:eastAsia="宋体" w:cs="宋体"/>
          <w:b/>
          <w:bCs/>
          <w:sz w:val="24"/>
          <w:szCs w:val="24"/>
        </w:rPr>
      </w:pPr>
      <w:r>
        <w:rPr>
          <w:rFonts w:hint="eastAsia" w:ascii="宋体" w:hAnsi="宋体" w:eastAsia="宋体" w:cs="宋体"/>
          <w:sz w:val="24"/>
          <w:szCs w:val="24"/>
        </w:rPr>
        <w:t>6.供应商原件如有虚假，一经查实，不予退还其磋商保证金，并列入不良行为予以记录，是成交候选供应商的，取消其成交候选供应商资格。</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sz w:val="24"/>
          <w:szCs w:val="24"/>
        </w:rPr>
        <w:t>二、</w:t>
      </w:r>
      <w:r>
        <w:rPr>
          <w:rFonts w:hint="eastAsia" w:ascii="宋体" w:hAnsi="宋体" w:eastAsia="宋体" w:cs="宋体"/>
          <w:b/>
          <w:bCs w:val="0"/>
          <w:kern w:val="2"/>
          <w:sz w:val="24"/>
          <w:szCs w:val="24"/>
          <w:lang w:val="en-US" w:eastAsia="zh-CN" w:bidi="ar"/>
        </w:rPr>
        <w:t>评标办法的初步意见</w:t>
      </w:r>
      <w:r>
        <w:rPr>
          <w:rFonts w:hint="eastAsia" w:ascii="宋体" w:hAnsi="宋体" w:eastAsia="宋体" w:cs="宋体"/>
          <w:kern w:val="2"/>
          <w:sz w:val="24"/>
          <w:szCs w:val="24"/>
          <w:lang w:val="en-US" w:eastAsia="zh-CN" w:bidi="ar"/>
        </w:rPr>
        <w:t>：应根据法律法规要求和项目具体情况确定，在满足需求的情况下，坚持价格优先，价廉物美的原则。可采用</w:t>
      </w:r>
      <w:r>
        <w:rPr>
          <w:rFonts w:hint="eastAsia" w:ascii="宋体" w:hAnsi="宋体" w:eastAsia="宋体" w:cs="宋体"/>
          <w:b/>
          <w:bCs w:val="0"/>
          <w:kern w:val="2"/>
          <w:sz w:val="24"/>
          <w:szCs w:val="24"/>
          <w:lang w:val="en-US" w:eastAsia="zh-CN" w:bidi="ar"/>
        </w:rPr>
        <w:t>最低评标价法</w:t>
      </w:r>
      <w:r>
        <w:rPr>
          <w:rFonts w:hint="eastAsia" w:ascii="宋体" w:hAnsi="宋体" w:eastAsia="宋体" w:cs="宋体"/>
          <w:kern w:val="2"/>
          <w:sz w:val="24"/>
          <w:szCs w:val="24"/>
          <w:lang w:val="en-US" w:eastAsia="zh-CN" w:bidi="ar"/>
        </w:rPr>
        <w:t>或</w:t>
      </w:r>
      <w:r>
        <w:rPr>
          <w:rFonts w:hint="eastAsia" w:ascii="宋体" w:hAnsi="宋体" w:eastAsia="宋体" w:cs="宋体"/>
          <w:b/>
          <w:bCs w:val="0"/>
          <w:kern w:val="2"/>
          <w:sz w:val="24"/>
          <w:szCs w:val="24"/>
          <w:lang w:val="en-US" w:eastAsia="zh-CN" w:bidi="ar"/>
        </w:rPr>
        <w:t>综合评分法</w:t>
      </w:r>
      <w:r>
        <w:rPr>
          <w:rFonts w:hint="eastAsia" w:ascii="宋体" w:hAnsi="宋体" w:eastAsia="宋体" w:cs="宋体"/>
          <w:kern w:val="2"/>
          <w:sz w:val="24"/>
          <w:szCs w:val="24"/>
          <w:lang w:val="en-US" w:eastAsia="zh-CN" w:bidi="ar"/>
        </w:rPr>
        <w:t>。</w:t>
      </w:r>
    </w:p>
    <w:p>
      <w:pPr>
        <w:keepNext w:val="0"/>
        <w:keepLines w:val="0"/>
        <w:widowControl w:val="0"/>
        <w:suppressLineNumbers w:val="0"/>
        <w:spacing w:before="0" w:beforeAutospacing="0" w:after="0" w:afterAutospacing="0"/>
        <w:ind w:left="0" w:right="0" w:firstLine="480"/>
        <w:jc w:val="both"/>
        <w:rPr>
          <w:sz w:val="24"/>
          <w:szCs w:val="24"/>
          <w:lang w:val="en-US"/>
        </w:rPr>
      </w:pPr>
      <w:r>
        <w:rPr>
          <w:rFonts w:hint="eastAsia" w:ascii="Times New Roman" w:hAnsi="Times New Roman" w:eastAsia="宋体" w:cs="宋体"/>
          <w:kern w:val="2"/>
          <w:sz w:val="24"/>
          <w:szCs w:val="24"/>
          <w:lang w:val="en-US" w:eastAsia="zh-CN" w:bidi="ar"/>
        </w:rPr>
        <w:t>本项目采用综合打分法，总分为</w:t>
      </w:r>
      <w:r>
        <w:rPr>
          <w:rFonts w:hint="default" w:ascii="Times New Roman" w:hAnsi="Times New Roman" w:eastAsia="宋体" w:cs="Times New Roman"/>
          <w:kern w:val="2"/>
          <w:sz w:val="24"/>
          <w:szCs w:val="24"/>
          <w:lang w:val="en-US" w:eastAsia="zh-CN" w:bidi="ar"/>
        </w:rPr>
        <w:t>100</w:t>
      </w:r>
      <w:r>
        <w:rPr>
          <w:rFonts w:hint="eastAsia" w:ascii="Times New Roman" w:hAnsi="Times New Roman" w:eastAsia="宋体" w:cs="宋体"/>
          <w:kern w:val="2"/>
          <w:sz w:val="24"/>
          <w:szCs w:val="24"/>
          <w:lang w:val="en-US" w:eastAsia="zh-CN" w:bidi="ar"/>
        </w:rPr>
        <w:t>分，按评审后得分由高到低顺序排列，得分相同的，按最终所报价格由低到高顺序排列，得分且最终报价相同的，按技术指标优劣顺序排列，由磋商小组依次推荐中标候选供应商。</w:t>
      </w:r>
    </w:p>
    <w:p>
      <w:pPr>
        <w:keepNext w:val="0"/>
        <w:keepLines w:val="0"/>
        <w:widowControl w:val="0"/>
        <w:suppressLineNumbers w:val="0"/>
        <w:spacing w:before="0" w:beforeAutospacing="0" w:after="0" w:afterAutospacing="0"/>
        <w:ind w:left="0" w:right="0" w:firstLine="480"/>
        <w:jc w:val="both"/>
        <w:rPr>
          <w:rFonts w:hint="eastAsia" w:ascii="Times New Roman" w:hAnsi="Times New Roman" w:eastAsia="宋体" w:cs="宋体"/>
          <w:kern w:val="2"/>
          <w:sz w:val="24"/>
          <w:szCs w:val="24"/>
          <w:lang w:val="en-US" w:eastAsia="zh-CN" w:bidi="ar"/>
        </w:rPr>
      </w:pPr>
      <w:r>
        <w:rPr>
          <w:rFonts w:hint="eastAsia" w:ascii="Times New Roman" w:hAnsi="Times New Roman" w:eastAsia="宋体" w:cs="宋体"/>
          <w:kern w:val="2"/>
          <w:sz w:val="24"/>
          <w:szCs w:val="24"/>
          <w:lang w:val="en-US" w:eastAsia="zh-CN" w:bidi="ar"/>
        </w:rPr>
        <w:t>磋商小组只对通过了初步审查的响应文件进行详细评审，按下述办法打分，并按得分高低进行排序，推荐成交候选供应商。</w:t>
      </w:r>
    </w:p>
    <w:p>
      <w:pPr>
        <w:keepNext w:val="0"/>
        <w:keepLines w:val="0"/>
        <w:widowControl w:val="0"/>
        <w:suppressLineNumbers w:val="0"/>
        <w:spacing w:before="0" w:beforeAutospacing="0" w:after="0" w:afterAutospacing="0"/>
        <w:ind w:left="0" w:right="0" w:firstLine="480"/>
        <w:jc w:val="both"/>
        <w:rPr>
          <w:rFonts w:hint="eastAsia" w:ascii="Times New Roman" w:hAnsi="Times New Roman" w:eastAsia="宋体" w:cs="宋体"/>
          <w:kern w:val="2"/>
          <w:sz w:val="24"/>
          <w:szCs w:val="24"/>
          <w:lang w:val="en-US" w:eastAsia="zh-CN" w:bidi="ar"/>
        </w:rPr>
      </w:pPr>
    </w:p>
    <w:p>
      <w:pPr>
        <w:keepNext w:val="0"/>
        <w:keepLines w:val="0"/>
        <w:widowControl w:val="0"/>
        <w:suppressLineNumbers w:val="0"/>
        <w:spacing w:before="0" w:beforeAutospacing="0" w:after="0" w:afterAutospacing="0"/>
        <w:ind w:left="0" w:right="0" w:firstLine="480"/>
        <w:jc w:val="both"/>
        <w:rPr>
          <w:rFonts w:hint="eastAsia" w:ascii="Times New Roman" w:hAnsi="Times New Roman" w:eastAsia="宋体" w:cs="宋体"/>
          <w:kern w:val="2"/>
          <w:sz w:val="24"/>
          <w:szCs w:val="24"/>
          <w:lang w:val="en-US" w:eastAsia="zh-CN" w:bidi="ar"/>
        </w:rPr>
      </w:pPr>
    </w:p>
    <w:p>
      <w:pPr>
        <w:keepNext w:val="0"/>
        <w:keepLines w:val="0"/>
        <w:widowControl w:val="0"/>
        <w:suppressLineNumbers w:val="0"/>
        <w:spacing w:before="0" w:beforeAutospacing="0" w:after="0" w:afterAutospacing="0"/>
        <w:ind w:left="0" w:right="0" w:firstLine="480"/>
        <w:jc w:val="both"/>
        <w:rPr>
          <w:rFonts w:hint="eastAsia" w:ascii="Times New Roman" w:hAnsi="Times New Roman" w:eastAsia="宋体" w:cs="宋体"/>
          <w:kern w:val="2"/>
          <w:sz w:val="24"/>
          <w:szCs w:val="24"/>
          <w:lang w:val="en-US" w:eastAsia="zh-CN" w:bidi="ar"/>
        </w:rPr>
      </w:pPr>
    </w:p>
    <w:tbl>
      <w:tblPr>
        <w:tblStyle w:val="15"/>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91"/>
        <w:gridCol w:w="1258"/>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b/>
                <w:bCs w:val="0"/>
                <w:kern w:val="0"/>
                <w:sz w:val="24"/>
                <w:szCs w:val="24"/>
                <w:lang w:val="en-US"/>
              </w:rPr>
            </w:pPr>
            <w:r>
              <w:rPr>
                <w:rFonts w:hint="eastAsia" w:ascii="Times New Roman" w:hAnsi="Times New Roman" w:eastAsia="宋体" w:cs="宋体"/>
                <w:b/>
                <w:bCs w:val="0"/>
                <w:kern w:val="0"/>
                <w:sz w:val="24"/>
                <w:szCs w:val="24"/>
                <w:lang w:val="en-US" w:eastAsia="zh-CN" w:bidi="ar"/>
              </w:rPr>
              <w:t>评审项目</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b/>
                <w:bCs w:val="0"/>
                <w:kern w:val="0"/>
                <w:sz w:val="24"/>
                <w:szCs w:val="24"/>
                <w:lang w:val="en-US"/>
              </w:rPr>
            </w:pPr>
            <w:r>
              <w:rPr>
                <w:rFonts w:hint="eastAsia" w:ascii="Times New Roman" w:hAnsi="Times New Roman" w:eastAsia="宋体" w:cs="宋体"/>
                <w:b/>
                <w:bCs w:val="0"/>
                <w:kern w:val="0"/>
                <w:sz w:val="24"/>
                <w:szCs w:val="24"/>
                <w:lang w:val="en-US" w:eastAsia="zh-CN" w:bidi="ar"/>
              </w:rPr>
              <w:t>分值</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firstLine="482"/>
              <w:jc w:val="center"/>
              <w:rPr>
                <w:rFonts w:hint="default"/>
                <w:b/>
                <w:bCs w:val="0"/>
                <w:kern w:val="0"/>
                <w:sz w:val="24"/>
                <w:szCs w:val="24"/>
                <w:lang w:val="en-US"/>
              </w:rPr>
            </w:pPr>
            <w:r>
              <w:rPr>
                <w:rFonts w:hint="eastAsia" w:ascii="Times New Roman" w:hAnsi="Times New Roman" w:eastAsia="宋体" w:cs="宋体"/>
                <w:b/>
                <w:bCs w:val="0"/>
                <w:kern w:val="0"/>
                <w:sz w:val="24"/>
                <w:szCs w:val="24"/>
                <w:lang w:val="en-US" w:eastAsia="zh-CN" w:bidi="ar"/>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2" w:hRule="atLeast"/>
          <w:jc w:val="center"/>
        </w:trPr>
        <w:tc>
          <w:tcPr>
            <w:tcW w:w="12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技术部分（</w:t>
            </w:r>
            <w:r>
              <w:rPr>
                <w:rFonts w:hint="default" w:ascii="Times New Roman" w:hAnsi="Times New Roman" w:eastAsia="宋体" w:cs="Times New Roman"/>
                <w:kern w:val="0"/>
                <w:sz w:val="24"/>
                <w:szCs w:val="24"/>
                <w:lang w:val="en-US" w:eastAsia="zh-CN" w:bidi="ar"/>
              </w:rPr>
              <w:t>65</w:t>
            </w:r>
            <w:r>
              <w:rPr>
                <w:rFonts w:hint="eastAsia" w:ascii="Times New Roman" w:hAnsi="Times New Roman" w:eastAsia="宋体" w:cs="宋体"/>
                <w:kern w:val="0"/>
                <w:sz w:val="24"/>
                <w:szCs w:val="24"/>
                <w:lang w:val="en-US" w:eastAsia="zh-CN" w:bidi="ar"/>
              </w:rPr>
              <w:t>分）</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对项目采购要求的响应度</w:t>
            </w:r>
          </w:p>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30</w:t>
            </w:r>
            <w:r>
              <w:rPr>
                <w:rFonts w:hint="eastAsia" w:ascii="Times New Roman" w:hAnsi="Times New Roman" w:eastAsia="宋体" w:cs="宋体"/>
                <w:kern w:val="0"/>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横向对比有效投标人所投产品带</w:t>
            </w:r>
            <w:r>
              <w:rPr>
                <w:rFonts w:hint="default" w:ascii="Times New Roman" w:hAnsi="Times New Roman" w:eastAsia="宋体" w:cs="Times New Roman"/>
                <w:kern w:val="0"/>
                <w:sz w:val="24"/>
                <w:szCs w:val="24"/>
                <w:lang w:val="en-US" w:eastAsia="zh-CN" w:bidi="ar"/>
              </w:rPr>
              <w:t>“</w:t>
            </w:r>
            <w:r>
              <w:rPr>
                <w:rFonts w:hint="default" w:ascii="Segoe UI Symbol" w:hAnsi="Segoe UI Symbol" w:eastAsia="Segoe UI Symbol" w:cs="Segoe UI Symbol"/>
                <w:kern w:val="0"/>
                <w:sz w:val="24"/>
                <w:szCs w:val="24"/>
                <w:lang w:val="en-US" w:eastAsia="zh-CN" w:bidi="ar"/>
              </w:rPr>
              <w:t>★</w:t>
            </w:r>
            <w:r>
              <w:rPr>
                <w:rFonts w:hint="default" w:ascii="Times New Roman" w:hAnsi="Times New Roman" w:eastAsia="宋体" w:cs="Times New Roman"/>
                <w:kern w:val="0"/>
                <w:sz w:val="24"/>
                <w:szCs w:val="24"/>
                <w:lang w:val="en-US" w:eastAsia="zh-CN" w:bidi="ar"/>
              </w:rPr>
              <w:t>”</w:t>
            </w:r>
            <w:r>
              <w:rPr>
                <w:rFonts w:hint="eastAsia" w:ascii="Times New Roman" w:hAnsi="Times New Roman" w:eastAsia="宋体" w:cs="宋体"/>
                <w:kern w:val="0"/>
                <w:sz w:val="24"/>
                <w:szCs w:val="24"/>
                <w:lang w:val="en-US" w:eastAsia="zh-CN" w:bidi="ar"/>
              </w:rPr>
              <w:t>条款的技术规格、参数指标，结合投标人产品材料的提供情况进行评比。完全满足得</w:t>
            </w:r>
            <w:r>
              <w:rPr>
                <w:rFonts w:hint="default" w:ascii="Times New Roman" w:hAnsi="Times New Roman" w:eastAsia="宋体" w:cs="Times New Roman"/>
                <w:kern w:val="0"/>
                <w:sz w:val="24"/>
                <w:szCs w:val="24"/>
                <w:lang w:val="en-US" w:eastAsia="zh-CN" w:bidi="ar"/>
              </w:rPr>
              <w:t>30</w:t>
            </w:r>
            <w:r>
              <w:rPr>
                <w:rFonts w:hint="eastAsia" w:ascii="Times New Roman" w:hAnsi="Times New Roman" w:eastAsia="宋体" w:cs="宋体"/>
                <w:kern w:val="0"/>
                <w:sz w:val="24"/>
                <w:szCs w:val="24"/>
                <w:lang w:val="en-US" w:eastAsia="zh-CN" w:bidi="ar"/>
              </w:rPr>
              <w:t>分，每负偏离</w:t>
            </w:r>
            <w:r>
              <w:rPr>
                <w:rFonts w:hint="default" w:ascii="Times New Roman" w:hAnsi="Times New Roman" w:eastAsia="宋体" w:cs="Times New Roman"/>
                <w:kern w:val="0"/>
                <w:sz w:val="24"/>
                <w:szCs w:val="24"/>
                <w:lang w:val="en-US" w:eastAsia="zh-CN" w:bidi="ar"/>
              </w:rPr>
              <w:t>“</w:t>
            </w:r>
            <w:r>
              <w:rPr>
                <w:rFonts w:hint="default" w:ascii="Segoe UI Symbol" w:hAnsi="Segoe UI Symbol" w:eastAsia="Segoe UI Symbol" w:cs="Segoe UI Symbol"/>
                <w:kern w:val="0"/>
                <w:sz w:val="24"/>
                <w:szCs w:val="24"/>
                <w:lang w:val="en-US" w:eastAsia="zh-CN" w:bidi="ar"/>
              </w:rPr>
              <w:t>★</w:t>
            </w:r>
            <w:r>
              <w:rPr>
                <w:rFonts w:hint="default" w:ascii="Times New Roman" w:hAnsi="Times New Roman" w:eastAsia="宋体" w:cs="Times New Roman"/>
                <w:kern w:val="0"/>
                <w:sz w:val="24"/>
                <w:szCs w:val="24"/>
                <w:lang w:val="en-US" w:eastAsia="zh-CN" w:bidi="ar"/>
              </w:rPr>
              <w:t>”</w:t>
            </w:r>
            <w:r>
              <w:rPr>
                <w:rFonts w:hint="eastAsia" w:ascii="Times New Roman" w:hAnsi="Times New Roman" w:eastAsia="宋体" w:cs="宋体"/>
                <w:kern w:val="0"/>
                <w:sz w:val="24"/>
                <w:szCs w:val="24"/>
                <w:lang w:val="en-US" w:eastAsia="zh-CN" w:bidi="ar"/>
              </w:rPr>
              <w:t>条款的，每个扣</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分，扣完为止。非</w:t>
            </w:r>
            <w:r>
              <w:rPr>
                <w:rFonts w:hint="default" w:ascii="Times New Roman" w:hAnsi="Times New Roman" w:eastAsia="宋体" w:cs="Times New Roman"/>
                <w:kern w:val="0"/>
                <w:sz w:val="24"/>
                <w:szCs w:val="24"/>
                <w:lang w:val="en-US" w:eastAsia="zh-CN" w:bidi="ar"/>
              </w:rPr>
              <w:t>“</w:t>
            </w:r>
            <w:r>
              <w:rPr>
                <w:rFonts w:hint="default" w:ascii="Segoe UI Symbol" w:hAnsi="Segoe UI Symbol" w:eastAsia="Segoe UI Symbol" w:cs="Segoe UI Symbol"/>
                <w:kern w:val="0"/>
                <w:sz w:val="24"/>
                <w:szCs w:val="24"/>
                <w:lang w:val="en-US" w:eastAsia="zh-CN" w:bidi="ar"/>
              </w:rPr>
              <w:t>★</w:t>
            </w:r>
            <w:r>
              <w:rPr>
                <w:rFonts w:hint="default" w:ascii="Times New Roman" w:hAnsi="Times New Roman" w:eastAsia="宋体" w:cs="Times New Roman"/>
                <w:kern w:val="0"/>
                <w:sz w:val="24"/>
                <w:szCs w:val="24"/>
                <w:lang w:val="en-US" w:eastAsia="zh-CN" w:bidi="ar"/>
              </w:rPr>
              <w:t>”</w:t>
            </w:r>
            <w:r>
              <w:rPr>
                <w:rFonts w:hint="eastAsia" w:ascii="Times New Roman" w:hAnsi="Times New Roman" w:eastAsia="宋体" w:cs="宋体"/>
                <w:kern w:val="0"/>
                <w:sz w:val="24"/>
                <w:szCs w:val="24"/>
                <w:lang w:val="en-US" w:eastAsia="zh-CN" w:bidi="ar"/>
              </w:rPr>
              <w:t>条款每个不满足者扣</w:t>
            </w:r>
            <w:r>
              <w:rPr>
                <w:rFonts w:hint="default" w:ascii="Times New Roman" w:hAnsi="Times New Roman" w:eastAsia="宋体" w:cs="Times New Roman"/>
                <w:kern w:val="0"/>
                <w:sz w:val="24"/>
                <w:szCs w:val="24"/>
                <w:lang w:val="en-US" w:eastAsia="zh-CN" w:bidi="ar"/>
              </w:rPr>
              <w:t>1</w:t>
            </w:r>
            <w:r>
              <w:rPr>
                <w:rFonts w:hint="eastAsia" w:ascii="Times New Roman" w:hAnsi="Times New Roman" w:eastAsia="宋体" w:cs="宋体"/>
                <w:kern w:val="0"/>
                <w:sz w:val="24"/>
                <w:szCs w:val="24"/>
                <w:lang w:val="en-US" w:eastAsia="zh-CN" w:bidi="ar"/>
              </w:rPr>
              <w:t>分，扣完为止。（</w:t>
            </w:r>
            <w:r>
              <w:rPr>
                <w:rFonts w:hint="default" w:ascii="Times New Roman" w:hAnsi="Times New Roman" w:eastAsia="宋体" w:cs="Times New Roman"/>
                <w:kern w:val="0"/>
                <w:sz w:val="24"/>
                <w:szCs w:val="24"/>
                <w:lang w:val="en-US" w:eastAsia="zh-CN" w:bidi="ar"/>
              </w:rPr>
              <w:t>0-30</w:t>
            </w:r>
            <w:r>
              <w:rPr>
                <w:rFonts w:hint="eastAsia" w:ascii="Times New Roman" w:hAnsi="Times New Roman" w:eastAsia="宋体" w:cs="宋体"/>
                <w:kern w:val="0"/>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83"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系统技术及功能演示</w:t>
            </w:r>
            <w:r>
              <w:rPr>
                <w:rFonts w:hint="default" w:ascii="Times New Roman" w:hAnsi="Times New Roman" w:eastAsia="宋体" w:cs="Times New Roman"/>
                <w:kern w:val="0"/>
                <w:sz w:val="24"/>
                <w:szCs w:val="24"/>
                <w:lang w:val="en-US" w:eastAsia="zh-CN" w:bidi="ar"/>
              </w:rPr>
              <w:t>20</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firstLine="480" w:firstLineChars="20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投标供应商对所投产品部分内容进行演示，演示内容如下：</w:t>
            </w:r>
          </w:p>
          <w:p>
            <w:pPr>
              <w:keepNext w:val="0"/>
              <w:keepLines w:val="0"/>
              <w:widowControl/>
              <w:suppressLineNumbers w:val="0"/>
              <w:spacing w:before="0" w:beforeAutospacing="0" w:after="0" w:afterAutospacing="0" w:line="400" w:lineRule="exact"/>
              <w:ind w:left="0" w:right="0" w:firstLine="480" w:firstLineChars="20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1.</w:t>
            </w:r>
            <w:r>
              <w:rPr>
                <w:rFonts w:hint="eastAsia" w:ascii="Times New Roman" w:hAnsi="Times New Roman" w:eastAsia="宋体" w:cs="宋体"/>
                <w:kern w:val="0"/>
                <w:sz w:val="24"/>
                <w:szCs w:val="24"/>
                <w:lang w:val="en-US" w:eastAsia="zh-CN" w:bidi="ar"/>
              </w:rPr>
              <w:t>所提供安全课程应包含前置安全课程、在校安全课程，以及面向教职工的安全管理课程。课程内容形式丰富，应包括专家授课、动画微课、情景再现等。（</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课程包含的教学知识点应不低于</w:t>
            </w:r>
            <w:r>
              <w:rPr>
                <w:rFonts w:hint="default" w:ascii="Times New Roman" w:hAnsi="Times New Roman" w:eastAsia="宋体" w:cs="Times New Roman"/>
                <w:kern w:val="0"/>
                <w:sz w:val="24"/>
                <w:szCs w:val="24"/>
                <w:lang w:val="en-US" w:eastAsia="zh-CN" w:bidi="ar"/>
              </w:rPr>
              <w:t>80</w:t>
            </w:r>
            <w:r>
              <w:rPr>
                <w:rFonts w:hint="eastAsia" w:ascii="Times New Roman" w:hAnsi="Times New Roman" w:eastAsia="宋体" w:cs="宋体"/>
                <w:kern w:val="0"/>
                <w:sz w:val="24"/>
                <w:szCs w:val="24"/>
                <w:lang w:val="en-US" w:eastAsia="zh-CN" w:bidi="ar"/>
              </w:rPr>
              <w:t>个，每个知识点是不低于</w:t>
            </w:r>
            <w:r>
              <w:rPr>
                <w:rFonts w:hint="default" w:ascii="Times New Roman" w:hAnsi="Times New Roman" w:eastAsia="宋体" w:cs="Times New Roman"/>
                <w:kern w:val="0"/>
                <w:sz w:val="24"/>
                <w:szCs w:val="24"/>
                <w:lang w:val="en-US" w:eastAsia="zh-CN" w:bidi="ar"/>
              </w:rPr>
              <w:t>3</w:t>
            </w:r>
            <w:r>
              <w:rPr>
                <w:rFonts w:hint="eastAsia" w:ascii="Times New Roman" w:hAnsi="Times New Roman" w:eastAsia="宋体" w:cs="宋体"/>
                <w:kern w:val="0"/>
                <w:sz w:val="24"/>
                <w:szCs w:val="24"/>
                <w:lang w:val="en-US" w:eastAsia="zh-CN" w:bidi="ar"/>
              </w:rPr>
              <w:t>分钟的微视频，每个知识点配备测验题。（</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3.</w:t>
            </w:r>
            <w:r>
              <w:rPr>
                <w:rFonts w:hint="eastAsia" w:ascii="Times New Roman" w:hAnsi="Times New Roman" w:eastAsia="宋体" w:cs="宋体"/>
                <w:kern w:val="0"/>
                <w:sz w:val="24"/>
                <w:szCs w:val="24"/>
                <w:lang w:val="en-US" w:eastAsia="zh-CN" w:bidi="ar"/>
              </w:rPr>
              <w:t>课程内容包括但不限于以下内容：国家安全、消防安全、人身安全、财产安全、交通安全、运动安全、公共安全、防灾减灾、网络安全、心理健康、留学安全、女生自我防护、实验室安全等。（</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lang w:val="en-US"/>
              </w:rPr>
            </w:pPr>
            <w:r>
              <w:rPr>
                <w:rFonts w:hint="default" w:ascii="Times New Roman" w:hAnsi="Times New Roman" w:eastAsia="宋体" w:cs="Times New Roman"/>
                <w:kern w:val="0"/>
                <w:sz w:val="24"/>
                <w:szCs w:val="24"/>
                <w:lang w:val="en-US" w:eastAsia="zh-CN" w:bidi="ar"/>
              </w:rPr>
              <w:t>4.</w:t>
            </w:r>
            <w:r>
              <w:rPr>
                <w:rFonts w:hint="eastAsia" w:ascii="Times New Roman" w:hAnsi="Times New Roman" w:eastAsia="宋体" w:cs="宋体"/>
                <w:kern w:val="0"/>
                <w:sz w:val="24"/>
                <w:szCs w:val="24"/>
                <w:lang w:val="en-US" w:eastAsia="zh-CN" w:bidi="ar"/>
              </w:rPr>
              <w:t>具备安全教育辅学资源，通过平台能检索到安全相关的图书专题频、期刊文章、法律法规、讲座视频等内容。（</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val="0"/>
              <w:suppressLineNumbers w:val="0"/>
              <w:tabs>
                <w:tab w:val="left" w:pos="425"/>
              </w:tabs>
              <w:spacing w:before="0" w:beforeAutospacing="0" w:after="0" w:afterAutospacing="0" w:line="400" w:lineRule="exact"/>
              <w:ind w:left="0" w:right="0" w:firstLine="480" w:firstLineChars="20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5</w:t>
            </w:r>
            <w:r>
              <w:rPr>
                <w:rFonts w:hint="eastAsia" w:ascii="Times New Roman" w:hAnsi="Times New Roman" w:eastAsia="宋体" w:cs="宋体"/>
                <w:kern w:val="0"/>
                <w:sz w:val="24"/>
                <w:szCs w:val="24"/>
                <w:lang w:val="en-US" w:eastAsia="zh-CN" w:bidi="ar"/>
              </w:rPr>
              <w:t>、</w:t>
            </w:r>
            <w:r>
              <w:rPr>
                <w:rFonts w:hint="eastAsia" w:ascii="Times New Roman" w:hAnsi="Times New Roman" w:eastAsia="宋体" w:cs="宋体"/>
                <w:kern w:val="2"/>
                <w:sz w:val="24"/>
                <w:szCs w:val="24"/>
                <w:lang w:val="en-US" w:eastAsia="zh-CN" w:bidi="ar"/>
              </w:rPr>
              <w:t>提供专门的</w:t>
            </w:r>
            <w:r>
              <w:rPr>
                <w:rFonts w:hint="default" w:ascii="Times New Roman" w:hAnsi="Times New Roman" w:eastAsia="宋体" w:cs="Times New Roman"/>
                <w:kern w:val="2"/>
                <w:sz w:val="24"/>
                <w:szCs w:val="24"/>
                <w:lang w:val="en-US" w:eastAsia="zh-CN" w:bidi="ar"/>
              </w:rPr>
              <w:t>APP</w:t>
            </w:r>
            <w:r>
              <w:rPr>
                <w:rFonts w:hint="eastAsia" w:ascii="Times New Roman" w:hAnsi="Times New Roman" w:eastAsia="宋体" w:cs="宋体"/>
                <w:kern w:val="2"/>
                <w:sz w:val="24"/>
                <w:szCs w:val="24"/>
                <w:lang w:val="en-US" w:eastAsia="zh-CN" w:bidi="ar"/>
              </w:rPr>
              <w:t>移动客户端，需支持</w:t>
            </w:r>
            <w:r>
              <w:rPr>
                <w:rFonts w:hint="default" w:ascii="Times New Roman" w:hAnsi="Times New Roman" w:eastAsia="宋体" w:cs="Times New Roman"/>
                <w:kern w:val="2"/>
                <w:sz w:val="24"/>
                <w:szCs w:val="24"/>
                <w:lang w:val="en-US" w:eastAsia="zh-CN" w:bidi="ar"/>
              </w:rPr>
              <w:t>iOS</w:t>
            </w:r>
            <w:r>
              <w:rPr>
                <w:rFonts w:hint="eastAsia" w:ascii="Times New Roman" w:hAnsi="Times New Roman" w:eastAsia="宋体" w:cs="宋体"/>
                <w:kern w:val="2"/>
                <w:sz w:val="24"/>
                <w:szCs w:val="24"/>
                <w:lang w:val="en-US" w:eastAsia="zh-CN" w:bidi="ar"/>
              </w:rPr>
              <w:t>和</w:t>
            </w:r>
            <w:r>
              <w:rPr>
                <w:rFonts w:hint="default" w:ascii="Times New Roman" w:hAnsi="Times New Roman" w:eastAsia="宋体" w:cs="Times New Roman"/>
                <w:kern w:val="2"/>
                <w:sz w:val="24"/>
                <w:szCs w:val="24"/>
                <w:lang w:val="en-US" w:eastAsia="zh-CN" w:bidi="ar"/>
              </w:rPr>
              <w:t>Android</w:t>
            </w:r>
            <w:r>
              <w:rPr>
                <w:rFonts w:hint="eastAsia" w:ascii="Times New Roman" w:hAnsi="Times New Roman" w:eastAsia="宋体" w:cs="宋体"/>
                <w:kern w:val="2"/>
                <w:sz w:val="24"/>
                <w:szCs w:val="24"/>
                <w:lang w:val="en-US" w:eastAsia="zh-CN" w:bidi="ar"/>
              </w:rPr>
              <w:t>系统。与</w:t>
            </w:r>
            <w:r>
              <w:rPr>
                <w:rFonts w:hint="default" w:ascii="Times New Roman" w:hAnsi="Times New Roman" w:eastAsia="宋体" w:cs="Times New Roman"/>
                <w:kern w:val="2"/>
                <w:sz w:val="24"/>
                <w:szCs w:val="24"/>
                <w:lang w:val="en-US" w:eastAsia="zh-CN" w:bidi="ar"/>
              </w:rPr>
              <w:t>pc</w:t>
            </w:r>
            <w:r>
              <w:rPr>
                <w:rFonts w:hint="eastAsia" w:ascii="Times New Roman" w:hAnsi="Times New Roman" w:eastAsia="宋体" w:cs="宋体"/>
                <w:kern w:val="2"/>
                <w:sz w:val="24"/>
                <w:szCs w:val="24"/>
                <w:lang w:val="en-US" w:eastAsia="zh-CN" w:bidi="ar"/>
              </w:rPr>
              <w:t>端安全教育平台能够对接，进行在线课程的学习、作业、考试等功能。（</w:t>
            </w:r>
            <w:r>
              <w:rPr>
                <w:rFonts w:hint="default" w:ascii="Times New Roman" w:hAnsi="Times New Roman" w:eastAsia="宋体" w:cs="Times New Roman"/>
                <w:kern w:val="2"/>
                <w:sz w:val="24"/>
                <w:szCs w:val="24"/>
                <w:lang w:val="en-US" w:eastAsia="zh-CN" w:bidi="ar"/>
              </w:rPr>
              <w:t>1</w:t>
            </w:r>
            <w:r>
              <w:rPr>
                <w:rFonts w:hint="eastAsia" w:ascii="Times New Roman" w:hAnsi="Times New Roman" w:eastAsia="宋体" w:cs="宋体"/>
                <w:kern w:val="2"/>
                <w:sz w:val="24"/>
                <w:szCs w:val="24"/>
                <w:lang w:val="en-US" w:eastAsia="zh-CN" w:bidi="ar"/>
              </w:rPr>
              <w:t>分）</w:t>
            </w:r>
            <w:r>
              <w:rPr>
                <w:rFonts w:hint="default" w:ascii="Times New Roman" w:hAnsi="Times New Roman" w:eastAsia="宋体" w:cs="Times New Roman"/>
                <w:kern w:val="2"/>
                <w:sz w:val="24"/>
                <w:szCs w:val="24"/>
                <w:lang w:val="en-US" w:eastAsia="zh-CN" w:bidi="ar"/>
              </w:rPr>
              <w:t xml:space="preserve"> </w:t>
            </w:r>
          </w:p>
          <w:p>
            <w:pPr>
              <w:keepNext w:val="0"/>
              <w:keepLines w:val="0"/>
              <w:widowControl/>
              <w:suppressLineNumbers w:val="0"/>
              <w:spacing w:before="0" w:beforeAutospacing="0" w:after="0" w:afterAutospacing="0" w:line="400" w:lineRule="exact"/>
              <w:ind w:left="0" w:right="0" w:firstLine="480" w:firstLineChars="200"/>
              <w:jc w:val="both"/>
              <w:rPr>
                <w:rFonts w:hint="default"/>
                <w:sz w:val="24"/>
                <w:szCs w:val="24"/>
                <w:lang w:val="en-US"/>
              </w:rPr>
            </w:pPr>
            <w:r>
              <w:rPr>
                <w:rFonts w:hint="default" w:ascii="Times New Roman" w:hAnsi="Times New Roman" w:eastAsia="宋体"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、教师可以针对每一个教学班对每个章节学习内容进行</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开放、定时开放、闯关模式开放、关闭</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等设置；课程的教学视频文件具有</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防拖拽和防窗口切换</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功能。（</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sz w:val="24"/>
                <w:szCs w:val="24"/>
                <w:lang w:val="en-US"/>
              </w:rPr>
            </w:pPr>
            <w:r>
              <w:rPr>
                <w:rFonts w:hint="default" w:ascii="Times New Roman" w:hAnsi="Times New Roman" w:eastAsia="宋体" w:cs="Times New Roman"/>
                <w:kern w:val="2"/>
                <w:sz w:val="24"/>
                <w:szCs w:val="24"/>
                <w:lang w:val="en-US" w:eastAsia="zh-CN" w:bidi="ar"/>
              </w:rPr>
              <w:t>7</w:t>
            </w:r>
            <w:r>
              <w:rPr>
                <w:rFonts w:hint="eastAsia" w:ascii="Times New Roman" w:hAnsi="Times New Roman" w:eastAsia="宋体" w:cs="宋体"/>
                <w:kern w:val="2"/>
                <w:sz w:val="24"/>
                <w:szCs w:val="24"/>
                <w:lang w:val="en-US" w:eastAsia="zh-CN" w:bidi="ar"/>
              </w:rPr>
              <w:t>、视频直播：移动客户端教师可以发起视频直播。（</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sz w:val="24"/>
                <w:szCs w:val="24"/>
                <w:lang w:val="en-US"/>
              </w:rPr>
            </w:pPr>
            <w:r>
              <w:rPr>
                <w:rFonts w:hint="default" w:ascii="Times New Roman" w:hAnsi="Times New Roman" w:eastAsia="宋体" w:cs="Times New Roman"/>
                <w:kern w:val="2"/>
                <w:sz w:val="24"/>
                <w:szCs w:val="24"/>
                <w:lang w:val="en-US" w:eastAsia="zh-CN" w:bidi="ar"/>
              </w:rPr>
              <w:t>8</w:t>
            </w:r>
            <w:r>
              <w:rPr>
                <w:rFonts w:hint="eastAsia" w:ascii="Times New Roman" w:hAnsi="Times New Roman" w:eastAsia="宋体" w:cs="宋体"/>
                <w:kern w:val="2"/>
                <w:sz w:val="24"/>
                <w:szCs w:val="24"/>
                <w:lang w:val="en-US" w:eastAsia="zh-CN" w:bidi="ar"/>
              </w:rPr>
              <w:t>、教师可以定向发布课程通知，系统实时反馈已读未读信息，针对未读人员，平台提供电话、邮件、系统内消息等多种提醒方式，保证信息送达到位。（</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pStyle w:val="3"/>
              <w:widowControl/>
              <w:ind w:left="0" w:firstLine="480"/>
              <w:rPr>
                <w:sz w:val="24"/>
                <w:szCs w:val="24"/>
                <w:lang w:val="en-US"/>
              </w:rPr>
            </w:pPr>
            <w:r>
              <w:rPr>
                <w:sz w:val="24"/>
                <w:szCs w:val="24"/>
                <w:lang w:val="en-US"/>
              </w:rPr>
              <w:t>9</w:t>
            </w:r>
            <w:r>
              <w:rPr>
                <w:rFonts w:hint="eastAsia" w:ascii="Times New Roman" w:hAnsi="Times New Roman" w:eastAsia="宋体" w:cs="宋体"/>
                <w:sz w:val="24"/>
                <w:szCs w:val="24"/>
              </w:rPr>
              <w:t>、教师可以将课程章节内视频、图书、作业等内容设置为任务点，要求学生必须完成，灵活控制学生学习的情况。（</w:t>
            </w:r>
            <w:r>
              <w:rPr>
                <w:sz w:val="24"/>
                <w:szCs w:val="24"/>
                <w:lang w:val="en-US"/>
              </w:rPr>
              <w:t>2</w:t>
            </w:r>
            <w:r>
              <w:rPr>
                <w:rFonts w:hint="eastAsia" w:ascii="Times New Roman" w:hAnsi="Times New Roman" w:eastAsia="宋体" w:cs="宋体"/>
                <w:sz w:val="24"/>
                <w:szCs w:val="24"/>
              </w:rPr>
              <w:t>分）</w:t>
            </w:r>
          </w:p>
          <w:p>
            <w:pPr>
              <w:keepNext w:val="0"/>
              <w:keepLines w:val="0"/>
              <w:widowControl/>
              <w:suppressLineNumbers w:val="0"/>
              <w:spacing w:before="0" w:beforeAutospacing="0" w:after="0" w:afterAutospacing="0" w:line="400" w:lineRule="exact"/>
              <w:ind w:left="0" w:right="0" w:firstLine="480" w:firstLineChars="200"/>
              <w:jc w:val="both"/>
              <w:rPr>
                <w:rFonts w:hint="default"/>
                <w:sz w:val="24"/>
                <w:szCs w:val="24"/>
                <w:lang w:val="en-US"/>
              </w:rPr>
            </w:pPr>
            <w:r>
              <w:rPr>
                <w:rFonts w:hint="default" w:ascii="Times New Roman" w:hAnsi="Times New Roman" w:eastAsia="宋体" w:cs="Times New Roman"/>
                <w:kern w:val="2"/>
                <w:sz w:val="24"/>
                <w:szCs w:val="24"/>
                <w:lang w:val="en-US" w:eastAsia="zh-CN" w:bidi="ar"/>
              </w:rPr>
              <w:t>10</w:t>
            </w:r>
            <w:r>
              <w:rPr>
                <w:rFonts w:hint="eastAsia" w:ascii="Times New Roman" w:hAnsi="Times New Roman" w:eastAsia="宋体" w:cs="宋体"/>
                <w:kern w:val="2"/>
                <w:sz w:val="24"/>
                <w:szCs w:val="24"/>
                <w:lang w:val="en-US" w:eastAsia="zh-CN" w:bidi="ar"/>
              </w:rPr>
              <w:t>、考试系统有对应的题库内容。涵盖</w:t>
            </w:r>
            <w:r>
              <w:rPr>
                <w:rFonts w:hint="eastAsia" w:ascii="Times New Roman" w:hAnsi="Times New Roman" w:eastAsia="宋体" w:cs="宋体"/>
                <w:kern w:val="0"/>
                <w:sz w:val="24"/>
                <w:szCs w:val="24"/>
                <w:lang w:val="en-US" w:eastAsia="zh-CN" w:bidi="ar"/>
              </w:rPr>
              <w:t>国家安全、消防安全、人身安全、财产安全、交通安全、运动安全、公共安全、防灾减灾、网络安全、心理健康、留学安全、女生自我防护、实验室安全</w:t>
            </w:r>
            <w:r>
              <w:rPr>
                <w:rFonts w:hint="eastAsia" w:ascii="Times New Roman" w:hAnsi="Times New Roman" w:eastAsia="宋体" w:cs="宋体"/>
                <w:kern w:val="2"/>
                <w:sz w:val="24"/>
                <w:szCs w:val="24"/>
                <w:lang w:val="en-US" w:eastAsia="zh-CN" w:bidi="ar"/>
              </w:rPr>
              <w:t>等多个题库分类。教师可以创建课程试题库，对试题库进行管理，包括添加、修改、删除、查询、浏览等功能。并且支持学生题库自测。（</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val="0"/>
              <w:suppressLineNumbers w:val="0"/>
              <w:spacing w:before="0" w:beforeAutospacing="0" w:after="0" w:afterAutospacing="0" w:line="400" w:lineRule="exact"/>
              <w:ind w:left="0" w:right="0" w:firstLine="480"/>
              <w:jc w:val="both"/>
              <w:rPr>
                <w:rFonts w:hint="default"/>
                <w:sz w:val="24"/>
                <w:szCs w:val="24"/>
                <w:lang w:val="en-US"/>
              </w:rPr>
            </w:pPr>
            <w:r>
              <w:rPr>
                <w:rFonts w:hint="default" w:ascii="Times New Roman" w:hAnsi="Times New Roman" w:eastAsia="宋体" w:cs="Times New Roman"/>
                <w:kern w:val="2"/>
                <w:sz w:val="24"/>
                <w:szCs w:val="24"/>
                <w:lang w:val="en-US" w:eastAsia="zh-CN" w:bidi="ar"/>
              </w:rPr>
              <w:t>11</w:t>
            </w:r>
            <w:r>
              <w:rPr>
                <w:rFonts w:hint="eastAsia" w:ascii="Times New Roman" w:hAnsi="Times New Roman" w:eastAsia="宋体" w:cs="宋体"/>
                <w:kern w:val="2"/>
                <w:sz w:val="24"/>
                <w:szCs w:val="24"/>
                <w:lang w:val="en-US" w:eastAsia="zh-CN" w:bidi="ar"/>
              </w:rPr>
              <w:t>、从课程题库中组卷测试，教师可以输入模拟试卷名称、出卷时间，可手动选题，也可设定题型、数量、难易度后系统随机生成模拟试卷。（</w:t>
            </w:r>
            <w:r>
              <w:rPr>
                <w:rFonts w:hint="default" w:ascii="Times New Roman" w:hAnsi="Times New Roman" w:eastAsia="宋体" w:cs="Times New Roman"/>
                <w:kern w:val="2"/>
                <w:sz w:val="24"/>
                <w:szCs w:val="24"/>
                <w:lang w:val="en-US" w:eastAsia="zh-CN" w:bidi="ar"/>
              </w:rPr>
              <w:t>1</w:t>
            </w:r>
            <w:r>
              <w:rPr>
                <w:rFonts w:hint="eastAsia" w:ascii="Times New Roman" w:hAnsi="Times New Roman" w:eastAsia="宋体" w:cs="宋体"/>
                <w:kern w:val="2"/>
                <w:sz w:val="24"/>
                <w:szCs w:val="24"/>
                <w:lang w:val="en-US" w:eastAsia="zh-CN" w:bidi="ar"/>
              </w:rPr>
              <w:t>分）</w:t>
            </w:r>
          </w:p>
          <w:p>
            <w:pPr>
              <w:pStyle w:val="3"/>
              <w:widowControl/>
              <w:ind w:left="0" w:firstLine="480"/>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1"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2"/>
                <w:sz w:val="24"/>
                <w:szCs w:val="24"/>
                <w:lang w:val="en-US" w:eastAsia="zh-CN" w:bidi="ar"/>
              </w:rPr>
              <w:t>知识产权</w:t>
            </w:r>
            <w:r>
              <w:rPr>
                <w:rFonts w:hint="default" w:ascii="Times New Roman" w:hAnsi="Times New Roman" w:eastAsia="宋体" w:cs="Times New Roman"/>
                <w:kern w:val="2"/>
                <w:sz w:val="24"/>
                <w:szCs w:val="24"/>
                <w:lang w:val="en-US" w:eastAsia="zh-CN" w:bidi="ar"/>
              </w:rPr>
              <w:t>3</w:t>
            </w:r>
            <w:r>
              <w:rPr>
                <w:rFonts w:hint="eastAsia" w:ascii="Times New Roman" w:hAnsi="Times New Roman" w:eastAsia="宋体" w:cs="宋体"/>
                <w:kern w:val="0"/>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2"/>
                <w:sz w:val="24"/>
                <w:szCs w:val="24"/>
                <w:lang w:val="en-US" w:eastAsia="zh-CN" w:bidi="ar"/>
              </w:rPr>
              <w:t>所有知识产权、信息网络传播权纠纷由供货方承担责任，提供知识产权承诺书。（</w:t>
            </w:r>
            <w:r>
              <w:rPr>
                <w:rFonts w:hint="default" w:ascii="Times New Roman" w:hAnsi="Times New Roman" w:eastAsia="宋体" w:cs="Times New Roman"/>
                <w:kern w:val="2"/>
                <w:sz w:val="24"/>
                <w:szCs w:val="24"/>
                <w:lang w:val="en-US" w:eastAsia="zh-CN" w:bidi="ar"/>
              </w:rPr>
              <w:t>3</w:t>
            </w:r>
            <w:r>
              <w:rPr>
                <w:rFonts w:hint="eastAsia" w:ascii="Times New Roman" w:hAnsi="Times New Roman" w:eastAsia="宋体" w:cs="宋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3"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售后服务</w:t>
            </w:r>
          </w:p>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12</w:t>
            </w:r>
            <w:r>
              <w:rPr>
                <w:rFonts w:hint="eastAsia" w:ascii="Times New Roman" w:hAnsi="Times New Roman" w:eastAsia="宋体" w:cs="宋体"/>
                <w:kern w:val="0"/>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拥有安徽地区本地化团队，并提供</w:t>
            </w:r>
            <w:r>
              <w:rPr>
                <w:rFonts w:hint="default" w:ascii="Times New Roman" w:hAnsi="Times New Roman" w:eastAsia="宋体" w:cs="Times New Roman"/>
                <w:kern w:val="2"/>
                <w:sz w:val="24"/>
                <w:szCs w:val="24"/>
                <w:lang w:val="en-US" w:eastAsia="zh-CN" w:bidi="ar"/>
              </w:rPr>
              <w:t>15</w:t>
            </w:r>
            <w:r>
              <w:rPr>
                <w:rFonts w:hint="eastAsia" w:ascii="Times New Roman" w:hAnsi="Times New Roman" w:eastAsia="宋体" w:cs="宋体"/>
                <w:kern w:val="2"/>
                <w:sz w:val="24"/>
                <w:szCs w:val="24"/>
                <w:lang w:val="en-US" w:eastAsia="zh-CN" w:bidi="ar"/>
              </w:rPr>
              <w:t>人及以上人员信息列表和人员社保，不提供不得分。（</w:t>
            </w:r>
            <w:r>
              <w:rPr>
                <w:rFonts w:hint="default" w:ascii="Times New Roman" w:hAnsi="Times New Roman" w:eastAsia="宋体"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根据售后服务方案优劣程度打分。（由评委酌情打分。优秀得</w:t>
            </w:r>
            <w:r>
              <w:rPr>
                <w:rFonts w:hint="default" w:ascii="Times New Roman" w:hAnsi="Times New Roman" w:eastAsia="宋体" w:cs="Times New Roman"/>
                <w:kern w:val="2"/>
                <w:sz w:val="24"/>
                <w:szCs w:val="24"/>
                <w:lang w:val="en-US" w:eastAsia="zh-CN" w:bidi="ar"/>
              </w:rPr>
              <w:t>5-6</w:t>
            </w:r>
            <w:r>
              <w:rPr>
                <w:rFonts w:hint="eastAsia" w:ascii="Times New Roman" w:hAnsi="Times New Roman" w:eastAsia="宋体" w:cs="宋体"/>
                <w:kern w:val="2"/>
                <w:sz w:val="24"/>
                <w:szCs w:val="24"/>
                <w:lang w:val="en-US" w:eastAsia="zh-CN" w:bidi="ar"/>
              </w:rPr>
              <w:t>分；良好的得</w:t>
            </w:r>
            <w:r>
              <w:rPr>
                <w:rFonts w:hint="default" w:ascii="Times New Roman" w:hAnsi="Times New Roman" w:eastAsia="宋体" w:cs="Times New Roman"/>
                <w:kern w:val="2"/>
                <w:sz w:val="24"/>
                <w:szCs w:val="24"/>
                <w:lang w:val="en-US" w:eastAsia="zh-CN" w:bidi="ar"/>
              </w:rPr>
              <w:t>2-3</w:t>
            </w:r>
            <w:r>
              <w:rPr>
                <w:rFonts w:hint="eastAsia" w:ascii="Times New Roman" w:hAnsi="Times New Roman" w:eastAsia="宋体" w:cs="宋体"/>
                <w:kern w:val="2"/>
                <w:sz w:val="24"/>
                <w:szCs w:val="24"/>
                <w:lang w:val="en-US" w:eastAsia="zh-CN" w:bidi="ar"/>
              </w:rPr>
              <w:t>分；差得</w:t>
            </w:r>
            <w:r>
              <w:rPr>
                <w:rFonts w:hint="default" w:ascii="Times New Roman" w:hAnsi="Times New Roman" w:eastAsia="宋体" w:cs="Times New Roman"/>
                <w:kern w:val="2"/>
                <w:sz w:val="24"/>
                <w:szCs w:val="24"/>
                <w:lang w:val="en-US" w:eastAsia="zh-CN" w:bidi="ar"/>
              </w:rPr>
              <w:t>1-2</w:t>
            </w:r>
            <w:r>
              <w:rPr>
                <w:rFonts w:hint="eastAsia" w:ascii="Times New Roman" w:hAnsi="Times New Roman" w:eastAsia="宋体" w:cs="宋体"/>
                <w:kern w:val="2"/>
                <w:sz w:val="24"/>
                <w:szCs w:val="24"/>
                <w:lang w:val="en-US" w:eastAsia="zh-CN" w:bidi="ar"/>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2" w:hRule="atLeast"/>
          <w:jc w:val="center"/>
        </w:trPr>
        <w:tc>
          <w:tcPr>
            <w:tcW w:w="12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left"/>
              <w:rPr>
                <w:rFonts w:hint="default"/>
                <w:kern w:val="0"/>
                <w:sz w:val="24"/>
                <w:szCs w:val="24"/>
                <w:lang w:val="en-US"/>
              </w:rPr>
            </w:pPr>
            <w:r>
              <w:rPr>
                <w:rFonts w:hint="eastAsia" w:ascii="Times New Roman" w:hAnsi="Times New Roman" w:eastAsia="宋体" w:cs="宋体"/>
                <w:kern w:val="0"/>
                <w:sz w:val="24"/>
                <w:szCs w:val="24"/>
                <w:lang w:val="en-US" w:eastAsia="zh-CN" w:bidi="ar"/>
              </w:rPr>
              <w:t>商务部分（</w:t>
            </w:r>
            <w:r>
              <w:rPr>
                <w:rFonts w:hint="default" w:ascii="Times New Roman" w:hAnsi="Times New Roman" w:eastAsia="宋体" w:cs="Times New Roman"/>
                <w:kern w:val="0"/>
                <w:sz w:val="24"/>
                <w:szCs w:val="24"/>
                <w:lang w:val="en-US" w:eastAsia="zh-CN" w:bidi="ar"/>
              </w:rPr>
              <w:t>23</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jc w:val="left"/>
              <w:rPr>
                <w:rFonts w:hint="default"/>
                <w:kern w:val="0"/>
                <w:sz w:val="24"/>
                <w:szCs w:val="24"/>
                <w:lang w:val="en-US"/>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2"/>
                <w:sz w:val="24"/>
                <w:szCs w:val="24"/>
                <w:lang w:val="en-US" w:eastAsia="zh-CN" w:bidi="ar"/>
              </w:rPr>
              <w:t>企业信用</w:t>
            </w:r>
            <w:r>
              <w:rPr>
                <w:rFonts w:hint="default" w:ascii="Times New Roman" w:hAnsi="Times New Roman" w:eastAsia="宋体"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提供企业信用等级证明：</w:t>
            </w:r>
            <w:r>
              <w:rPr>
                <w:rFonts w:hint="default" w:ascii="Times New Roman" w:hAnsi="Times New Roman" w:eastAsia="宋体" w:cs="Times New Roman"/>
                <w:kern w:val="2"/>
                <w:sz w:val="24"/>
                <w:szCs w:val="24"/>
                <w:lang w:val="en-US" w:eastAsia="zh-CN" w:bidi="ar"/>
              </w:rPr>
              <w:t>AAA</w:t>
            </w:r>
            <w:r>
              <w:rPr>
                <w:rFonts w:hint="eastAsia" w:ascii="Times New Roman" w:hAnsi="Times New Roman" w:eastAsia="宋体" w:cs="宋体"/>
                <w:kern w:val="2"/>
                <w:sz w:val="24"/>
                <w:szCs w:val="24"/>
                <w:lang w:val="en-US" w:eastAsia="zh-CN" w:bidi="ar"/>
              </w:rPr>
              <w:t>级，得分</w:t>
            </w:r>
            <w:r>
              <w:rPr>
                <w:rFonts w:hint="eastAsia"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AA</w:t>
            </w:r>
            <w:r>
              <w:rPr>
                <w:rFonts w:hint="eastAsia" w:ascii="Times New Roman" w:hAnsi="Times New Roman" w:eastAsia="宋体" w:cs="宋体"/>
                <w:kern w:val="2"/>
                <w:sz w:val="24"/>
                <w:szCs w:val="24"/>
                <w:lang w:val="en-US" w:eastAsia="zh-CN" w:bidi="ar"/>
              </w:rPr>
              <w:t>级，得</w:t>
            </w:r>
            <w:r>
              <w:rPr>
                <w:rFonts w:hint="eastAsia" w:cs="Times New Roman"/>
                <w:kern w:val="2"/>
                <w:sz w:val="24"/>
                <w:szCs w:val="24"/>
                <w:lang w:val="en-US" w:eastAsia="zh-CN" w:bidi="ar"/>
              </w:rPr>
              <w:t>3</w:t>
            </w:r>
            <w:r>
              <w:rPr>
                <w:rFonts w:hint="eastAsia" w:ascii="Times New Roman" w:hAnsi="Times New Roman" w:eastAsia="宋体" w:cs="宋体"/>
                <w:kern w:val="2"/>
                <w:sz w:val="24"/>
                <w:szCs w:val="24"/>
                <w:lang w:val="en-US" w:eastAsia="zh-CN" w:bidi="ar"/>
              </w:rPr>
              <w:t>分。</w:t>
            </w:r>
            <w:r>
              <w:rPr>
                <w:rFonts w:hint="default" w:ascii="Times New Roman" w:hAnsi="Times New Roman" w:eastAsia="宋体" w:cs="Times New Roman"/>
                <w:kern w:val="2"/>
                <w:sz w:val="24"/>
                <w:szCs w:val="24"/>
                <w:lang w:val="en-US" w:eastAsia="zh-CN" w:bidi="ar"/>
              </w:rPr>
              <w:t xml:space="preserve"> </w:t>
            </w:r>
            <w:r>
              <w:rPr>
                <w:rFonts w:hint="eastAsia" w:cs="宋体"/>
                <w:kern w:val="2"/>
                <w:sz w:val="24"/>
                <w:szCs w:val="24"/>
                <w:lang w:val="en-US" w:eastAsia="zh-CN" w:bidi="ar"/>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2"/>
                <w:sz w:val="24"/>
                <w:szCs w:val="24"/>
                <w:lang w:val="en-US" w:eastAsia="zh-CN" w:bidi="ar"/>
              </w:rPr>
              <w:t>企业资质</w:t>
            </w:r>
            <w:r>
              <w:rPr>
                <w:rFonts w:hint="default" w:ascii="Times New Roman" w:hAnsi="Times New Roman" w:eastAsia="宋体" w:cs="Times New Roman"/>
                <w:kern w:val="2"/>
                <w:sz w:val="24"/>
                <w:szCs w:val="24"/>
                <w:lang w:val="en-US" w:eastAsia="zh-CN" w:bidi="ar"/>
              </w:rPr>
              <w:t>9</w:t>
            </w:r>
            <w:r>
              <w:rPr>
                <w:rFonts w:hint="eastAsia" w:ascii="Times New Roman" w:hAnsi="Times New Roman" w:eastAsia="宋体" w:cs="宋体"/>
                <w:kern w:val="2"/>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具有出版物经营许可证书、广播电视节目制作经营许可证、软件企业证书，每项得</w:t>
            </w:r>
            <w:r>
              <w:rPr>
                <w:rFonts w:hint="default" w:ascii="Times New Roman" w:hAnsi="Times New Roman" w:eastAsia="宋体" w:cs="Times New Roman"/>
                <w:kern w:val="2"/>
                <w:sz w:val="24"/>
                <w:szCs w:val="24"/>
                <w:lang w:val="en-US" w:eastAsia="zh-CN" w:bidi="ar"/>
              </w:rPr>
              <w:t>3</w:t>
            </w:r>
            <w:r>
              <w:rPr>
                <w:rFonts w:hint="eastAsia" w:ascii="Times New Roman" w:hAnsi="Times New Roman" w:eastAsia="宋体" w:cs="宋体"/>
                <w:kern w:val="2"/>
                <w:sz w:val="24"/>
                <w:szCs w:val="24"/>
                <w:lang w:val="en-US" w:eastAsia="zh-CN" w:bidi="ar"/>
              </w:rPr>
              <w:t>分共</w:t>
            </w:r>
            <w:r>
              <w:rPr>
                <w:rFonts w:hint="default" w:ascii="Times New Roman" w:hAnsi="Times New Roman" w:eastAsia="宋体" w:cs="Times New Roman"/>
                <w:kern w:val="2"/>
                <w:sz w:val="24"/>
                <w:szCs w:val="24"/>
                <w:lang w:val="en-US" w:eastAsia="zh-CN" w:bidi="ar"/>
              </w:rPr>
              <w:t>9</w:t>
            </w:r>
            <w:r>
              <w:rPr>
                <w:rFonts w:hint="eastAsia" w:ascii="Times New Roman" w:hAnsi="Times New Roman" w:eastAsia="宋体" w:cs="宋体"/>
                <w:kern w:val="2"/>
                <w:sz w:val="24"/>
                <w:szCs w:val="24"/>
                <w:lang w:val="en-US" w:eastAsia="zh-CN" w:bidi="ar"/>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12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2"/>
                <w:sz w:val="24"/>
                <w:szCs w:val="24"/>
                <w:lang w:val="en-US" w:eastAsia="zh-CN" w:bidi="ar"/>
              </w:rPr>
              <w:t>著作权登记证书</w:t>
            </w:r>
            <w:r>
              <w:rPr>
                <w:rFonts w:hint="default" w:ascii="Times New Roman" w:hAnsi="Times New Roman" w:eastAsia="宋体" w:cs="Times New Roman"/>
                <w:kern w:val="2"/>
                <w:sz w:val="24"/>
                <w:szCs w:val="24"/>
                <w:lang w:val="en-US" w:eastAsia="zh-CN" w:bidi="ar"/>
              </w:rPr>
              <w:t>8</w:t>
            </w:r>
            <w:r>
              <w:rPr>
                <w:rFonts w:hint="eastAsia" w:ascii="Times New Roman" w:hAnsi="Times New Roman" w:eastAsia="宋体" w:cs="宋体"/>
                <w:kern w:val="2"/>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default"/>
                <w:sz w:val="24"/>
                <w:szCs w:val="24"/>
                <w:lang w:val="en-US"/>
              </w:rPr>
            </w:pPr>
            <w:r>
              <w:rPr>
                <w:rFonts w:hint="eastAsia" w:ascii="Times New Roman" w:hAnsi="Times New Roman" w:eastAsia="宋体" w:cs="宋体"/>
                <w:kern w:val="2"/>
                <w:sz w:val="24"/>
                <w:szCs w:val="24"/>
                <w:lang w:val="en-US" w:eastAsia="zh-CN" w:bidi="ar"/>
              </w:rPr>
              <w:t>具有门户系统计算机软件著作权证书、智慧考试及组卷系统计算机软件著作权证书、课程运行可视化计算机软件著作权证书、电子图书数据库计算机系统软件产品证书。满足全部条件得</w:t>
            </w:r>
            <w:r>
              <w:rPr>
                <w:rFonts w:hint="default" w:ascii="Times New Roman" w:hAnsi="Times New Roman" w:eastAsia="宋体" w:cs="Times New Roman"/>
                <w:kern w:val="2"/>
                <w:sz w:val="24"/>
                <w:szCs w:val="24"/>
                <w:lang w:val="en-US" w:eastAsia="zh-CN" w:bidi="ar"/>
              </w:rPr>
              <w:t>8</w:t>
            </w:r>
            <w:r>
              <w:rPr>
                <w:rFonts w:hint="eastAsia" w:ascii="Times New Roman" w:hAnsi="Times New Roman" w:eastAsia="宋体" w:cs="宋体"/>
                <w:kern w:val="2"/>
                <w:sz w:val="24"/>
                <w:szCs w:val="24"/>
                <w:lang w:val="en-US" w:eastAsia="zh-CN" w:bidi="ar"/>
              </w:rPr>
              <w:t>分，缺少一项扣</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8" w:hRule="atLeast"/>
          <w:jc w:val="center"/>
        </w:trPr>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价格评议（</w:t>
            </w:r>
            <w:r>
              <w:rPr>
                <w:rFonts w:hint="default" w:ascii="Times New Roman" w:hAnsi="Times New Roman" w:eastAsia="宋体" w:cs="Times New Roman"/>
                <w:kern w:val="0"/>
                <w:sz w:val="24"/>
                <w:szCs w:val="24"/>
                <w:lang w:val="en-US" w:eastAsia="zh-CN" w:bidi="ar"/>
              </w:rPr>
              <w:t>12</w:t>
            </w:r>
            <w:r>
              <w:rPr>
                <w:rFonts w:hint="eastAsia" w:ascii="Times New Roman" w:hAnsi="Times New Roman" w:eastAsia="宋体" w:cs="宋体"/>
                <w:kern w:val="0"/>
                <w:sz w:val="24"/>
                <w:szCs w:val="24"/>
                <w:lang w:val="en-US" w:eastAsia="zh-CN" w:bidi="ar"/>
              </w:rPr>
              <w:t>分）</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default" w:ascii="Times New Roman" w:hAnsi="Times New Roman" w:eastAsia="宋体" w:cs="Times New Roman"/>
                <w:kern w:val="0"/>
                <w:sz w:val="24"/>
                <w:szCs w:val="24"/>
                <w:lang w:val="en-US" w:eastAsia="zh-CN" w:bidi="ar"/>
              </w:rPr>
              <w:t>12</w:t>
            </w:r>
            <w:r>
              <w:rPr>
                <w:rFonts w:hint="eastAsia" w:ascii="Times New Roman" w:hAnsi="Times New Roman" w:eastAsia="宋体" w:cs="宋体"/>
                <w:kern w:val="0"/>
                <w:sz w:val="24"/>
                <w:szCs w:val="24"/>
                <w:lang w:val="en-US" w:eastAsia="zh-CN" w:bidi="ar"/>
              </w:rPr>
              <w:t>分</w:t>
            </w:r>
          </w:p>
        </w:tc>
        <w:tc>
          <w:tcPr>
            <w:tcW w:w="68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default"/>
                <w:kern w:val="0"/>
                <w:sz w:val="24"/>
                <w:szCs w:val="24"/>
                <w:lang w:val="en-US"/>
              </w:rPr>
            </w:pPr>
            <w:r>
              <w:rPr>
                <w:rFonts w:hint="eastAsia" w:ascii="Times New Roman" w:hAnsi="Times New Roman" w:eastAsia="宋体" w:cs="宋体"/>
                <w:kern w:val="0"/>
                <w:sz w:val="24"/>
                <w:szCs w:val="24"/>
                <w:lang w:val="en-US" w:eastAsia="zh-CN" w:bidi="ar"/>
              </w:rPr>
              <w:t>满足招标文件要求且投标价格最低的投标报价为评标基准价，其价格分为</w:t>
            </w:r>
            <w:r>
              <w:rPr>
                <w:rFonts w:hint="default" w:ascii="Times New Roman" w:hAnsi="Times New Roman" w:eastAsia="宋体" w:cs="Times New Roman"/>
                <w:kern w:val="0"/>
                <w:sz w:val="24"/>
                <w:szCs w:val="24"/>
                <w:lang w:val="en-US" w:eastAsia="zh-CN" w:bidi="ar"/>
              </w:rPr>
              <w:t>12</w:t>
            </w:r>
            <w:r>
              <w:rPr>
                <w:rFonts w:hint="eastAsia" w:ascii="Times New Roman" w:hAnsi="Times New Roman" w:eastAsia="宋体" w:cs="宋体"/>
                <w:kern w:val="0"/>
                <w:sz w:val="24"/>
                <w:szCs w:val="24"/>
                <w:lang w:val="en-US" w:eastAsia="zh-CN" w:bidi="ar"/>
              </w:rPr>
              <w:t>分。其他投标人的价格分按照下列公式计算：投标报价得分＝</w:t>
            </w:r>
            <w:r>
              <w:rPr>
                <w:rFonts w:hint="default" w:ascii="Times New Roman" w:hAnsi="Times New Roman" w:eastAsia="宋体" w:cs="Times New Roman"/>
                <w:kern w:val="0"/>
                <w:sz w:val="24"/>
                <w:szCs w:val="24"/>
                <w:lang w:val="en-US" w:eastAsia="zh-CN" w:bidi="ar"/>
              </w:rPr>
              <w:t>(</w:t>
            </w:r>
            <w:r>
              <w:rPr>
                <w:rFonts w:hint="eastAsia" w:ascii="Times New Roman" w:hAnsi="Times New Roman" w:eastAsia="宋体" w:cs="宋体"/>
                <w:kern w:val="0"/>
                <w:sz w:val="24"/>
                <w:szCs w:val="24"/>
                <w:lang w:val="en-US" w:eastAsia="zh-CN" w:bidi="ar"/>
              </w:rPr>
              <w:t>评标基准价／投标报价</w:t>
            </w:r>
            <w:r>
              <w:rPr>
                <w:rFonts w:hint="default" w:ascii="Times New Roman" w:hAnsi="Times New Roman" w:eastAsia="宋体" w:cs="Times New Roman"/>
                <w:kern w:val="0"/>
                <w:sz w:val="24"/>
                <w:szCs w:val="24"/>
                <w:lang w:val="en-US" w:eastAsia="zh-CN" w:bidi="ar"/>
              </w:rPr>
              <w:t>)×12</w:t>
            </w:r>
          </w:p>
        </w:tc>
      </w:tr>
    </w:tbl>
    <w:p>
      <w:pPr>
        <w:pStyle w:val="20"/>
        <w:tabs>
          <w:tab w:val="left" w:pos="748"/>
          <w:tab w:val="center" w:pos="4211"/>
        </w:tabs>
        <w:spacing w:line="380" w:lineRule="exact"/>
        <w:jc w:val="both"/>
        <w:rPr>
          <w:rFonts w:hint="eastAsia" w:ascii="宋体" w:hAnsi="宋体" w:cs="宋体"/>
          <w:b/>
          <w:bCs/>
          <w:lang w:eastAsia="zh-CN"/>
        </w:rPr>
      </w:pPr>
    </w:p>
    <w:p>
      <w:pPr>
        <w:pStyle w:val="20"/>
        <w:tabs>
          <w:tab w:val="left" w:pos="748"/>
          <w:tab w:val="center" w:pos="4211"/>
        </w:tabs>
        <w:spacing w:line="380" w:lineRule="exact"/>
        <w:jc w:val="both"/>
        <w:rPr>
          <w:rFonts w:ascii="宋体" w:hAnsi="宋体" w:eastAsia="宋体"/>
          <w:b/>
          <w:bCs/>
          <w:sz w:val="24"/>
          <w:szCs w:val="24"/>
        </w:rPr>
      </w:pPr>
      <w:r>
        <w:rPr>
          <w:rFonts w:hint="eastAsia" w:ascii="宋体" w:hAnsi="宋体" w:cs="宋体"/>
          <w:b/>
          <w:bCs/>
          <w:color w:val="C00000"/>
          <w:sz w:val="24"/>
          <w:szCs w:val="24"/>
          <w:lang w:eastAsia="zh-CN"/>
        </w:rPr>
        <w:t>注：因新冠肺炎疫情防控要求，投标单位不参与开标。故</w:t>
      </w:r>
      <w:r>
        <w:rPr>
          <w:rFonts w:hint="eastAsia" w:ascii="宋体" w:hAnsi="宋体" w:cs="宋体"/>
          <w:b/>
          <w:bCs/>
          <w:color w:val="C00000"/>
          <w:sz w:val="24"/>
          <w:szCs w:val="24"/>
          <w:lang w:eastAsia="zh-CN"/>
        </w:rPr>
        <w:t>投标人</w:t>
      </w:r>
      <w:r>
        <w:rPr>
          <w:rFonts w:hint="eastAsia" w:ascii="宋体" w:hAnsi="宋体" w:cs="宋体"/>
          <w:b/>
          <w:bCs/>
          <w:color w:val="C00000"/>
          <w:sz w:val="24"/>
          <w:szCs w:val="24"/>
          <w:lang w:eastAsia="zh-CN"/>
        </w:rPr>
        <w:t>涉及演示部分请投标单位录入U盘。必须使用真实系统进行演示，不得使用PPT演示。演示时间不得超过20分钟。随着投标文件一并递交。</w:t>
      </w:r>
      <w:r>
        <w:rPr>
          <w:rFonts w:hint="eastAsia" w:ascii="宋体" w:hAnsi="宋体" w:eastAsia="宋体" w:cs="宋体"/>
          <w:b/>
          <w:bCs/>
        </w:rPr>
        <w:br w:type="page"/>
      </w:r>
      <w:r>
        <w:rPr>
          <w:rFonts w:hint="eastAsia" w:ascii="宋体" w:hAnsi="宋体" w:eastAsia="宋体" w:cs="宋体"/>
          <w:b/>
          <w:bCs/>
          <w:sz w:val="24"/>
          <w:szCs w:val="24"/>
        </w:rPr>
        <w:t>（六）合同的签订、履行及签收</w:t>
      </w:r>
      <w:bookmarkEnd w:id="13"/>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19．合同的签订、履行及签收</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19.1签订合同</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19.1.1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退还磋商保证金、赔偿逾期时间内采购人所花费的一切损失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19.2履行合同</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19.2.1成交供应商与采购人签订合同后，合同双方应严格执行合同条款，履行合同规定的义务，保证合同的顺利完成。</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19.2.2</w:t>
      </w:r>
      <w:r>
        <w:rPr>
          <w:rFonts w:hint="eastAsia" w:ascii="宋体" w:hAnsi="宋体" w:eastAsia="宋体" w:cs="黑体"/>
          <w:sz w:val="24"/>
          <w:szCs w:val="24"/>
        </w:rPr>
        <w:t>若双方履行合同时发生纠纷，应协商处理，协商不成的，按照合同约定处理</w:t>
      </w:r>
      <w:r>
        <w:rPr>
          <w:rFonts w:hint="eastAsia" w:ascii="宋体" w:hAnsi="宋体" w:eastAsia="宋体" w:cs="宋体"/>
          <w:sz w:val="24"/>
          <w:szCs w:val="24"/>
        </w:rPr>
        <w:t>。</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19.2.3签收：成交供应商完成合同约定的内容后，由采购人依据合同进行签收。</w:t>
      </w:r>
    </w:p>
    <w:p>
      <w:pPr>
        <w:pStyle w:val="20"/>
        <w:spacing w:line="380" w:lineRule="exact"/>
        <w:rPr>
          <w:rFonts w:ascii="宋体" w:hAnsi="宋体" w:eastAsia="宋体"/>
          <w:b/>
          <w:bCs/>
          <w:sz w:val="24"/>
          <w:szCs w:val="24"/>
        </w:rPr>
      </w:pPr>
      <w:bookmarkStart w:id="18" w:name="_Toc383776349"/>
      <w:r>
        <w:rPr>
          <w:rFonts w:hint="eastAsia" w:ascii="宋体" w:hAnsi="宋体" w:eastAsia="宋体" w:cs="宋体"/>
          <w:b/>
          <w:bCs/>
          <w:sz w:val="24"/>
          <w:szCs w:val="24"/>
        </w:rPr>
        <w:t>（七）质疑</w:t>
      </w:r>
      <w:bookmarkEnd w:id="18"/>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20．质疑</w:t>
      </w:r>
    </w:p>
    <w:p>
      <w:pPr>
        <w:pStyle w:val="19"/>
        <w:tabs>
          <w:tab w:val="left" w:pos="1800"/>
          <w:tab w:val="clear" w:pos="1080"/>
        </w:tabs>
        <w:spacing w:line="380" w:lineRule="exact"/>
        <w:ind w:firstLine="470" w:firstLineChars="196"/>
        <w:jc w:val="both"/>
        <w:rPr>
          <w:rFonts w:ascii="宋体" w:hAnsi="宋体" w:eastAsia="宋体"/>
          <w:b w:val="0"/>
          <w:bCs w:val="0"/>
          <w:sz w:val="24"/>
          <w:szCs w:val="24"/>
        </w:rPr>
      </w:pPr>
      <w:bookmarkStart w:id="19" w:name="_Toc383776350"/>
      <w:r>
        <w:rPr>
          <w:rFonts w:hint="eastAsia" w:ascii="宋体" w:hAnsi="宋体" w:eastAsia="宋体"/>
          <w:b w:val="0"/>
          <w:bCs w:val="0"/>
          <w:sz w:val="24"/>
          <w:szCs w:val="24"/>
        </w:rPr>
        <w:t>供应商对成交公示有异议的，应在成交公示发布期间内以书面形式提出质疑，逾期不予受理。关于竞争性磋商文件中非通用条款部分方面及评审结果的质疑向采购人提出，采购人在七个工作日内作出答复，关于竞争性磋商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bookmarkEnd w:id="19"/>
    </w:p>
    <w:p>
      <w:pPr>
        <w:pStyle w:val="19"/>
        <w:tabs>
          <w:tab w:val="left" w:pos="1800"/>
          <w:tab w:val="clear" w:pos="1080"/>
        </w:tabs>
        <w:spacing w:line="380" w:lineRule="exact"/>
        <w:ind w:firstLine="470" w:firstLineChars="196"/>
        <w:jc w:val="both"/>
        <w:rPr>
          <w:rFonts w:ascii="宋体" w:hAnsi="宋体" w:eastAsia="宋体"/>
          <w:b w:val="0"/>
          <w:bCs w:val="0"/>
          <w:sz w:val="24"/>
          <w:szCs w:val="24"/>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p>
    <w:p>
      <w:pPr>
        <w:pStyle w:val="19"/>
        <w:tabs>
          <w:tab w:val="left" w:pos="1800"/>
          <w:tab w:val="clear" w:pos="1080"/>
        </w:tabs>
        <w:spacing w:line="380" w:lineRule="exact"/>
        <w:ind w:firstLine="551" w:firstLineChars="196"/>
        <w:jc w:val="center"/>
        <w:rPr>
          <w:rFonts w:hint="eastAsia" w:ascii="宋体" w:hAnsi="宋体" w:eastAsia="宋体"/>
          <w:b/>
          <w:bCs/>
          <w:sz w:val="28"/>
          <w:szCs w:val="28"/>
        </w:rPr>
      </w:pPr>
      <w:r>
        <w:rPr>
          <w:rFonts w:hint="eastAsia" w:ascii="宋体" w:hAnsi="宋体" w:eastAsia="宋体"/>
          <w:b/>
          <w:bCs/>
          <w:sz w:val="28"/>
          <w:szCs w:val="28"/>
        </w:rPr>
        <w:t>铜陵学院互联网+大学生安全教育平台服务项目采购需求</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项目需求制定应确保无倾向性、指定性，无遗漏项。一般应包含以下内容：</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一、项目基本情况</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 xml:space="preserve">1、服务对象：我校全体在校学生和教师。 </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2、服务内容及期限：向我校全体在校学生提供线上安全课程教育，实现安全教育全覆盖，全面提升广大学生的安全意识。内容包括：（1）2022级新生入学安全教育：包含线上学习内容、考试和学习结课报告。（2）全校学生安全主题月学习：不少于5次，包含线上学习内容和考试，可根据学校要求，不限制安全月学习次数。（3）提供免费安全教育资源，节假日及重要节点提供宣传知识等。使用日期2022年8月-2023年7月。如第一年双方合作满意，可续签下一年合同，续签最多不超过2次，合同一年一签。</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3.所提供的服务功能模块需要与易班深度整合，与易班平台实现用户与数据的对接，在易班校园首页中通过轻应用或首页图标方式进入，不需用户二次登陆；同时，所提供功能模块应是可独立存在的，也可单独登录使用。</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4.平台需向学校免费开放接口，与学校数据平台、统一身份认证对接。平台升级后，需及时提供对接服务。平台完成PC端、移动端与学校统一身份认证平台的对接。平台与学校数据平台数据对接，根据校方要求打通数据通道，上、下行数据明细链接方式及对照说明表，免费向校方开放，提供数据给学校数据平台。</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二、技术方案或服务的内容、范围</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（一）安全教育资源及范围</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1、安全教育模块涵盖以下内容</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安全意识、人身财产安全、正确的恋爱观、诈骗电信诈骗、防范新型诈骗、防范传销、防范盗窃、预防艾滋病、新冠肺炎防控、国家安全、女生安全、消防安全、远离黄赌毒、网络安全、公共安全、防灾减灾、急救常识、意外伤害预防与处理、防溺水、心里安全、交通安全、运动安全、实习实践与求职就业、留学安全、实验室安全、校园安全管理者应具有的基本安全素养、校园安全与安全科学基本原理课程等26个模块不低于100个微课。每个模块都有相关知识点测试，可及时检测、巩固所学安全知识。防范电信诈骗和新型诈骗的案例视频不低于30个。具备安全教育辅学资源，通过平台能检索到安全相关的图书、专题、视频、期刊文章、法律法规、讲座视频等内容。</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2、内容表现形式</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包含专家讲授、动画微课、操作演示等形式，富有知识性、生动性和实用性。每个知识点包含视频、阅读、习题、讨论等一个或多个形式。</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（二）安全教育平台功能及学习支持服务</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1、平台基本要求</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可供全校师生多终端、多场景使用，并基于大数据的统计分析让学校的安全教育有迹可循。学生可以在手机App、微信公众号、电脑网页上学习，并支持各终端学习数据同步。</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平台可与学校的微信公众号对接，可以显示学校logo图标等；平台可与易班平台对接。</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平台为第三方软件提供相关接口。</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2、平台功能</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学生端功能：安全微课学习、学习进度、在线考试、通知公告、失物招领、安全隐患随手拍、个人信息、在线课服、调查问卷、安全测评、安全法规、学习积分、积分排行榜、查看安全教育资源（图书、期刊、专题、讲座）等。</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管理端功能：查看教学计划、查看学习进度、查看数据统计、知识竞赛管理、通知公告管理、失物招领管理、安全隐患随手拍管理、调查问卷管理、积分式学习管理等。</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3、日常学习支持服务</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（1）开课前，发送学习平台使用说明，图例详解如何登录、学习、测试等；</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（2）按照学校教学计划，导入学生名单，开通学习账号，开通微课学习、测试等功能，保障学校教学活动正常运行；</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（3）在微课学习平台内推送开课通知；</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（4）开通安全服务平台的后台“校、院管理员”账号，方便校、院对接老师导出成绩、实时查看学习进度、发送通知、调查问卷；</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（5）在微课学习平台推送学校提供的紧急通知、警情通报等；</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（6）根据学校要求，编写、推送调查问卷，包括安全意识调查、学生用户体验调查等；根据学校需要，定期反馈学习进度报告；</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（7）学习中期或末期，征询学校负责人对安全微课的整体使用和服务的情况及建议，收集学校个性化学习支持服务需求，评估可行性并做出实施计划，以便更好的提供学校个性化服务；</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（8）根据学生学习进度，通过消息推送或校、院负责人督促，不定时提醒学生学习课程、参加考试、参与调查问卷等学习活动。</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4、学习数据报告分析</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（1）结课后，出具学生成绩单和结课分析报告，从多角度分析学生学习行为轨迹，根据学生考试情况，总结错题排行，为学校相关部门下一步的安全工作提出参考意见；</w:t>
      </w:r>
    </w:p>
    <w:p>
      <w:pPr>
        <w:pStyle w:val="19"/>
        <w:tabs>
          <w:tab w:val="left" w:pos="1800"/>
          <w:tab w:val="clear" w:pos="1080"/>
        </w:tabs>
        <w:spacing w:line="380" w:lineRule="exact"/>
        <w:ind w:firstLine="470" w:firstLineChars="196"/>
        <w:jc w:val="both"/>
        <w:rPr>
          <w:rFonts w:hint="eastAsia" w:ascii="宋体" w:hAnsi="宋体" w:eastAsia="宋体"/>
          <w:b w:val="0"/>
          <w:bCs w:val="0"/>
          <w:sz w:val="24"/>
          <w:szCs w:val="24"/>
        </w:rPr>
      </w:pPr>
      <w:r>
        <w:rPr>
          <w:rFonts w:hint="eastAsia" w:ascii="宋体" w:hAnsi="宋体" w:eastAsia="宋体"/>
          <w:b w:val="0"/>
          <w:bCs w:val="0"/>
          <w:sz w:val="24"/>
          <w:szCs w:val="24"/>
        </w:rPr>
        <w:t>（2）协助学校收集、整理学生对于安全知识学习所反馈的意见或感想。</w:t>
      </w:r>
    </w:p>
    <w:p>
      <w:pPr>
        <w:pStyle w:val="19"/>
        <w:tabs>
          <w:tab w:val="left" w:pos="1800"/>
          <w:tab w:val="clear" w:pos="1080"/>
        </w:tabs>
        <w:spacing w:line="380" w:lineRule="exact"/>
        <w:ind w:firstLine="470" w:firstLineChars="196"/>
        <w:jc w:val="both"/>
        <w:rPr>
          <w:rFonts w:ascii="宋体" w:hAnsi="宋体" w:eastAsia="宋体"/>
          <w:b w:val="0"/>
          <w:bCs w:val="0"/>
          <w:sz w:val="24"/>
          <w:szCs w:val="24"/>
        </w:rPr>
      </w:pPr>
    </w:p>
    <w:p>
      <w:pPr>
        <w:pStyle w:val="19"/>
        <w:tabs>
          <w:tab w:val="left" w:pos="1800"/>
          <w:tab w:val="clear" w:pos="1080"/>
        </w:tabs>
        <w:spacing w:line="380" w:lineRule="exact"/>
        <w:ind w:firstLine="470" w:firstLineChars="196"/>
        <w:jc w:val="both"/>
        <w:rPr>
          <w:rFonts w:ascii="宋体" w:hAnsi="宋体" w:eastAsia="宋体"/>
          <w:b w:val="0"/>
          <w:bCs w:val="0"/>
          <w:sz w:val="24"/>
          <w:szCs w:val="24"/>
        </w:rPr>
      </w:pPr>
    </w:p>
    <w:p>
      <w:pPr>
        <w:pStyle w:val="19"/>
        <w:tabs>
          <w:tab w:val="left" w:pos="1800"/>
          <w:tab w:val="clear" w:pos="1080"/>
        </w:tabs>
        <w:spacing w:line="380" w:lineRule="exact"/>
        <w:ind w:firstLine="470" w:firstLineChars="196"/>
        <w:jc w:val="both"/>
        <w:rPr>
          <w:rFonts w:ascii="宋体" w:hAnsi="宋体" w:eastAsia="宋体"/>
          <w:b w:val="0"/>
          <w:bCs w:val="0"/>
          <w:sz w:val="24"/>
          <w:szCs w:val="24"/>
        </w:rPr>
      </w:pPr>
    </w:p>
    <w:p>
      <w:pPr>
        <w:pStyle w:val="20"/>
        <w:numPr>
          <w:ilvl w:val="0"/>
          <w:numId w:val="3"/>
        </w:numPr>
        <w:spacing w:line="380" w:lineRule="exact"/>
        <w:rPr>
          <w:rFonts w:ascii="宋体" w:hAnsi="宋体" w:cs="宋体"/>
          <w:b/>
          <w:bCs/>
          <w:sz w:val="28"/>
          <w:szCs w:val="28"/>
        </w:rPr>
      </w:pPr>
      <w:r>
        <w:rPr>
          <w:rFonts w:hint="eastAsia" w:ascii="宋体" w:hAnsi="宋体" w:cs="宋体"/>
          <w:b/>
          <w:bCs/>
          <w:sz w:val="28"/>
          <w:szCs w:val="28"/>
        </w:rPr>
        <w:t>项目</w:t>
      </w:r>
      <w:bookmarkStart w:id="20" w:name="_Toc383776351"/>
      <w:r>
        <w:rPr>
          <w:rFonts w:hint="eastAsia" w:ascii="宋体" w:hAnsi="宋体" w:cs="宋体"/>
          <w:b/>
          <w:bCs/>
          <w:sz w:val="28"/>
          <w:szCs w:val="28"/>
        </w:rPr>
        <w:t>的</w:t>
      </w:r>
      <w:r>
        <w:rPr>
          <w:rFonts w:hint="eastAsia" w:ascii="宋体" w:hAnsi="宋体" w:cs="宋体"/>
          <w:b/>
          <w:bCs/>
          <w:kern w:val="0"/>
          <w:sz w:val="28"/>
          <w:szCs w:val="28"/>
        </w:rPr>
        <w:t>具体内容、技术要求及其方案</w:t>
      </w:r>
    </w:p>
    <w:p>
      <w:pPr>
        <w:keepNext w:val="0"/>
        <w:keepLines w:val="0"/>
        <w:widowControl w:val="0"/>
        <w:suppressLineNumbers w:val="0"/>
        <w:adjustRightInd w:val="0"/>
        <w:snapToGrid w:val="0"/>
        <w:spacing w:before="0" w:beforeAutospacing="0" w:after="0" w:afterAutospacing="0" w:line="420" w:lineRule="exact"/>
        <w:ind w:left="0" w:right="0" w:firstLine="562" w:firstLineChars="200"/>
        <w:jc w:val="left"/>
        <w:rPr>
          <w:rFonts w:hint="eastAsia" w:ascii="宋体" w:hAnsi="宋体" w:eastAsia="宋体" w:cs="宋体"/>
          <w:b/>
          <w:bCs w:val="0"/>
          <w:sz w:val="24"/>
          <w:szCs w:val="24"/>
          <w:lang w:val="en-US"/>
        </w:rPr>
      </w:pPr>
      <w:r>
        <w:rPr>
          <w:rFonts w:hint="eastAsia" w:ascii="宋体" w:hAnsi="宋体" w:cs="宋体"/>
          <w:b/>
          <w:bCs/>
          <w:kern w:val="0"/>
          <w:sz w:val="28"/>
          <w:szCs w:val="28"/>
        </w:rPr>
        <w:t xml:space="preserve">     </w:t>
      </w:r>
    </w:p>
    <w:tbl>
      <w:tblPr>
        <w:tblStyle w:val="15"/>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0"/>
        <w:gridCol w:w="888"/>
        <w:gridCol w:w="5556"/>
        <w:gridCol w:w="852"/>
        <w:gridCol w:w="607"/>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序号</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品目</w:t>
            </w:r>
          </w:p>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名称</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技术参数要求</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数量</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单位</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系统功能</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（1）系统设计满足大规模用户使用，支持分布式部署，采用云服务的部署方式。</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（2）★系统提供APP移动客户端，需支持iOS和Android系统，并与PC端对接，支持学生线上学习和教师线上管理，支持开展线上活动。</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（3）★系统提供专属门户，采用B/S结构，基于J2EE架构，页面采用Web2.0 AJAX开发，不需要另行安装插件就可以支持IE9及以上版本、safari、firefox、chrome等浏览器。</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层级管理</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（1）角色管理：可建立学生、教师、管理员、超级管理员等角色，各级管理员也可以根据自身的需求创建角色和为角色指定权限。</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（2）权限管理：可为每个导航功能点分配访问、管理等不同的权限，管理员可以批量给用户分配、收回权限，具有权限整体移交功能。</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（3）机构和用户管理：管理员可以批量增加、删除、修改组织机构树，可单个、批量增加、删除、修改、查找用户信息。</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安全课程</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）★课程体系需完整，应具备前置入学安全课程、在校安全课程，以及面向教职工的安全管理课程。</w:t>
            </w:r>
          </w:p>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）课程形式丰富，应包括专家授课、动画微课、情景再现等。</w:t>
            </w:r>
          </w:p>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）★课程包含的教学知识点应不低于</w:t>
            </w:r>
            <w:r>
              <w:rPr>
                <w:rFonts w:hint="default" w:ascii="Times New Roman" w:hAnsi="Times New Roman" w:eastAsia="宋体" w:cs="Times New Roman"/>
                <w:kern w:val="2"/>
                <w:sz w:val="21"/>
                <w:szCs w:val="24"/>
                <w:lang w:val="en-US" w:eastAsia="zh-CN" w:bidi="ar"/>
              </w:rPr>
              <w:t>80</w:t>
            </w:r>
            <w:r>
              <w:rPr>
                <w:rFonts w:hint="eastAsia" w:ascii="Times New Roman" w:hAnsi="Times New Roman" w:eastAsia="宋体" w:cs="宋体"/>
                <w:kern w:val="2"/>
                <w:sz w:val="21"/>
                <w:szCs w:val="24"/>
                <w:lang w:val="en-US" w:eastAsia="zh-CN" w:bidi="ar"/>
              </w:rPr>
              <w:t>个，每个知识点是不低于</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分钟的微视频，每个知识点配备测验题。</w:t>
            </w:r>
          </w:p>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4</w:t>
            </w:r>
            <w:r>
              <w:rPr>
                <w:rFonts w:hint="eastAsia" w:ascii="Times New Roman" w:hAnsi="Times New Roman" w:eastAsia="宋体" w:cs="宋体"/>
                <w:kern w:val="2"/>
                <w:sz w:val="21"/>
                <w:szCs w:val="24"/>
                <w:lang w:val="en-US" w:eastAsia="zh-CN" w:bidi="ar"/>
              </w:rPr>
              <w:t>）★课程内容包括但不限于以下内容：安全意识、人身财产安全、正确的恋爱观、诈骗电信诈骗、防范新型诈骗、防范传销、防范盗窃、预防艾滋病、新冠肺炎防控、国家安全、女生安全、消防安全、远离黄赌毒、网络安全、公共安全、防灾减灾、急救常识、意外伤害预防与处理、防溺水、心里安全、交通安全、运动安全、实习实践与求职就业、留学安全、实验室安全、校园安全管理者应具有的基本安全素养、校园安全与安全科学基本原理课程等</w:t>
            </w:r>
            <w:r>
              <w:rPr>
                <w:rFonts w:hint="default" w:ascii="Times New Roman" w:hAnsi="Times New Roman" w:eastAsia="宋体" w:cs="Times New Roman"/>
                <w:kern w:val="2"/>
                <w:sz w:val="21"/>
                <w:szCs w:val="24"/>
                <w:lang w:val="en-US" w:eastAsia="zh-CN" w:bidi="ar"/>
              </w:rPr>
              <w:t>26</w:t>
            </w:r>
            <w:r>
              <w:rPr>
                <w:rFonts w:hint="eastAsia" w:ascii="Times New Roman" w:hAnsi="Times New Roman" w:eastAsia="宋体" w:cs="宋体"/>
                <w:kern w:val="2"/>
                <w:sz w:val="21"/>
                <w:szCs w:val="24"/>
                <w:lang w:val="en-US" w:eastAsia="zh-CN" w:bidi="ar"/>
              </w:rPr>
              <w:t>个模块。</w:t>
            </w:r>
          </w:p>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5</w:t>
            </w:r>
            <w:r>
              <w:rPr>
                <w:rFonts w:hint="eastAsia" w:ascii="Times New Roman" w:hAnsi="Times New Roman" w:eastAsia="宋体" w:cs="宋体"/>
                <w:kern w:val="2"/>
                <w:sz w:val="21"/>
                <w:szCs w:val="24"/>
                <w:lang w:val="en-US" w:eastAsia="zh-CN" w:bidi="ar"/>
              </w:rPr>
              <w:t>）★具备安全教育辅学资源，通过平台能检索到安全相关的图书专题频、期刊文章、法律法规、讲座视频等内容。</w:t>
            </w:r>
          </w:p>
          <w:p>
            <w:pPr>
              <w:keepNext w:val="0"/>
              <w:keepLines w:val="0"/>
              <w:widowControl w:val="0"/>
              <w:suppressLineNumbers w:val="0"/>
              <w:spacing w:before="0" w:beforeAutospacing="0" w:after="0" w:afterAutospacing="0" w:line="360" w:lineRule="auto"/>
              <w:ind w:left="0" w:right="0"/>
              <w:jc w:val="both"/>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6</w:t>
            </w:r>
            <w:r>
              <w:rPr>
                <w:rFonts w:hint="eastAsia" w:ascii="Times New Roman" w:hAnsi="Times New Roman" w:eastAsia="宋体" w:cs="宋体"/>
                <w:kern w:val="2"/>
                <w:sz w:val="21"/>
                <w:szCs w:val="24"/>
                <w:lang w:val="en-US" w:eastAsia="zh-CN" w:bidi="ar"/>
              </w:rPr>
              <w:t>）提供教宣资料供用户活动宣传使用，资料覆盖范围包括但不限于国家安全、新生安全、消防安全、网络安全、防范电信诈骗等。</w:t>
            </w:r>
          </w:p>
          <w:p>
            <w:pPr>
              <w:pStyle w:val="14"/>
              <w:keepNext w:val="0"/>
              <w:keepLines w:val="0"/>
              <w:widowControl w:val="0"/>
              <w:suppressLineNumbers w:val="0"/>
              <w:spacing w:before="0" w:beforeAutospacing="0" w:after="0" w:afterAutospacing="0"/>
              <w:ind w:left="0" w:right="0" w:firstLine="0" w:firstLineChars="0"/>
              <w:jc w:val="both"/>
              <w:rPr>
                <w:rFonts w:hint="default"/>
                <w:lang w:val="en-US"/>
              </w:rPr>
            </w:pPr>
            <w:r>
              <w:rPr>
                <w:rFonts w:hint="eastAsia" w:ascii="宋体" w:hAnsi="宋体" w:eastAsia="宋体" w:cs="宋体"/>
                <w:kern w:val="2"/>
                <w:sz w:val="21"/>
                <w:szCs w:val="21"/>
                <w:lang w:val="en-US" w:eastAsia="zh-CN" w:bidi="ar"/>
              </w:rPr>
              <w:t>（7）防范电信诈骗、新型诈骗的案例视频不低于30个。</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套</w:t>
            </w: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安全门户</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（1）安全门户支持主流浏览器打开，用户可以在门户浏览信息。</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（2）门户页面支持用户登录到个人空间，管理员登录到管理后台。</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（3）门户拥有安全资讯、安全法规、安全知识等模块，拥有轮播图展示区，并支持轮播图更换。</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（4）后台管理支持页面各模块的内容删除、添加，支持添加新的栏目。</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个</w:t>
            </w: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教学管理</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（1）支持多种模式的安全教育教学，包括但不限于辅助教学、翻转课堂、纯网络学习、网络修学分、直播课等模式。</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（2）★PC端与移动端的学习进度保持同步，可以实现学习记录的持续性，系统也可对任何终端的学习行为进行监控。</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（3）支持在线交流、在线学习、在线考试，实时展现课程学习要求、已完成进度、待完成任务。</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（4）教师端提供课程管理、班级管理、教师团队管理、助教管理、统计、考试及作业管理、课程通告管理等，支持进度统计功能、成绩统计并支持成绩导出和课程运行报告导出。</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（5）★教师可以针对每一个教学班对每个章节学习内容进行“开放、定时开放、固定模式开放、关闭”等设置。</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（6）可以跟踪记录并统计基于每个学生的课程登录次数、作业和测试完成情况、参加答疑讨论的情况等多项学习考核指标。</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（7）教师可以将课程章节内视频、图书、作业等内容设置为任务点，要求学生必须完成，灵活控制学生学习的情况。</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（8）★APP可以实现课堂签到、问题抢答、随机选人、课堂投票等功能。</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考试管理</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（1）提供不低于1000道的安全知识相关的试题。</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（2）考试时间：可以设置考试开始时间、截至时间、考试时长，最早交卷时间、最晚进入考试时间。</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（3）考试发放：平台支持针对考试发放对象的选择，可选择全部发放，也可以选择按班级发放。</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（4）支持教师在线编辑试题，包括单选题、多选题、填空题、判断题、简答题等题型。</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（5）★题库建设时可直接从文档中智能识别题并录入题库，识别有误时智能提醒，调整后再次录入。</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（6）★支持系统组卷，组卷过程中可设置难度、章节和知识点对应题目数量，试题分数等参数，支持试题乱序、试卷混排。</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套</w:t>
            </w: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积分管理</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（1）★学习考核以积分制模式进行，学生在系统内发生学习行为时，系统可以根据校方预先设置的分数值，自动记录其行为对应的分数。</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（2）★积分的学习行为需包含以下操作行为：登录、视频观看时长、阅读时长、测验题、讨论、学习笔记。积分维度分值用户可自定义。</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（3）★用户应可自定义每日得分上限，视频观看、阅读、测验题等重点学习行为累积得分下限。</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（4）用户可自主选择是否设置期末考试。期末考试采取百分制形式，根据预先选定的知识点随机组卷进行考核。</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（5）教师端提供知识点管理、首页设置、积分规则设置、积分管理、班级管理、通知、讨论、资料。</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（6）★知识点管理支持编辑内容、编辑封面、设置推荐、设置必学。</w:t>
            </w:r>
          </w:p>
          <w:p>
            <w:pPr>
              <w:pStyle w:val="14"/>
              <w:keepNext w:val="0"/>
              <w:keepLines w:val="0"/>
              <w:widowControl w:val="0"/>
              <w:suppressLineNumbers w:val="0"/>
              <w:spacing w:before="0" w:beforeAutospacing="0" w:after="0" w:afterAutospacing="0" w:line="36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（7）★积分规则管理支持基础模块积分规则设置、总积分及相关积分上/下限设置、考试成绩设置。</w:t>
            </w:r>
          </w:p>
          <w:p>
            <w:pPr>
              <w:pStyle w:val="14"/>
              <w:keepNext w:val="0"/>
              <w:keepLines w:val="0"/>
              <w:widowControl w:val="0"/>
              <w:suppressLineNumbers w:val="0"/>
              <w:spacing w:before="0" w:beforeAutospacing="0" w:after="0" w:afterAutospacing="0" w:line="360" w:lineRule="auto"/>
              <w:ind w:left="0" w:right="0" w:firstLine="0" w:firstLine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（8）★积分管理支持学生积分查看、导出积分和管理线下积分活动。</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安全测评</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（1）测评内容体系分为国家安全、消防安全、实验室安全、人身财产安全、交通安全、运动安全、心理健康、应急安全等。</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（2）系统能对测评结果做雷达图分析，测评者能查看结果。</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（3）★允许多次测评，可以根据测评结果进行个性化内容推送。</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套</w:t>
            </w: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9</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安全应用</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（1）系统可在移动端配置隐患上报，该应用支持安全巡检，使用者发现安全隐患，可通过拍摄照片、文字描述等形式上报隐患。</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（2）系统可在移动端配置失物招领小组，支持失物信息发布、查看。</w:t>
            </w:r>
          </w:p>
        </w:tc>
        <w:tc>
          <w:tcPr>
            <w:tcW w:w="85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套</w:t>
            </w: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服务标准</w:t>
            </w:r>
          </w:p>
        </w:tc>
        <w:tc>
          <w:tcPr>
            <w:tcW w:w="55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（1）供应商应提供远程服务，服务标准应不低于：有专门的热线服务，能及时反馈用户需求。</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（2）供应商应提供线下服务，服务标准应不低于：供应商具备本地服务团队，团队规模不少于10人。</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p>
        </w:tc>
        <w:tc>
          <w:tcPr>
            <w:tcW w:w="6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8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djustRightInd w:val="0"/>
              <w:snapToGrid w:val="0"/>
              <w:spacing w:before="0" w:beforeAutospacing="0" w:after="0" w:afterAutospacing="0" w:line="420" w:lineRule="exact"/>
              <w:ind w:left="0" w:right="0" w:firstLine="420" w:firstLineChars="200"/>
              <w:jc w:val="left"/>
              <w:rPr>
                <w:rFonts w:hint="eastAsia" w:ascii="宋体" w:hAnsi="宋体" w:eastAsia="宋体" w:cs="宋体"/>
                <w:szCs w:val="21"/>
                <w:lang w:val="en-US"/>
              </w:rPr>
            </w:pPr>
          </w:p>
        </w:tc>
      </w:tr>
    </w:tbl>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注：（1）技术参数中关键参数以“★”标示，（即“★”参数必须满足），技术参数要求栏只填写本栏相关内容，资质类、服务期等其他要求不填写此处。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（2）充分竞争情况指至少保证3家不同厂商（服务商）产品，并列举。</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（3）定量参数尽量用“≥”或“≤”表示。</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（4）如需投标人提供样品，应在备注栏说明。</w:t>
      </w: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sz w:val="24"/>
          <w:szCs w:val="24"/>
          <w:lang w:val="en-US"/>
        </w:rPr>
      </w:pPr>
      <w:r>
        <w:rPr>
          <w:rFonts w:hint="eastAsia" w:ascii="宋体" w:hAnsi="宋体" w:eastAsia="宋体" w:cs="宋体"/>
          <w:b/>
          <w:bCs w:val="0"/>
          <w:kern w:val="2"/>
          <w:sz w:val="24"/>
          <w:szCs w:val="24"/>
          <w:lang w:val="en-US" w:eastAsia="zh-CN" w:bidi="ar"/>
        </w:rPr>
        <w:t>3.（售后）服务要求：</w:t>
      </w:r>
      <w:r>
        <w:rPr>
          <w:rFonts w:hint="eastAsia" w:ascii="宋体" w:hAnsi="宋体" w:eastAsia="宋体" w:cs="宋体"/>
          <w:kern w:val="2"/>
          <w:sz w:val="24"/>
          <w:szCs w:val="24"/>
          <w:lang w:val="en-US" w:eastAsia="zh-CN" w:bidi="ar"/>
        </w:rPr>
        <w:t>包括所有标的（品目）的服务要求。</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（1）供应商应提供远程服务，服务标准应不低于：有专门的热线服务，能及时反馈用户需求。</w:t>
      </w:r>
    </w:p>
    <w:p>
      <w:pPr>
        <w:pStyle w:val="14"/>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（2）供应商应提供线下服务，服务标准应不低于：供应商具备本地服务团队，团队规模不少于10人。</w:t>
      </w:r>
    </w:p>
    <w:p>
      <w:pPr>
        <w:pStyle w:val="14"/>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（3）售后服务内容包含：学生学习操作手册撰写、答疑、安全主题日宣传内容发布、协助校内教师发布课程、测评、组织安全知识竞答活动等。</w:t>
      </w:r>
    </w:p>
    <w:p>
      <w:pPr>
        <w:pStyle w:val="14"/>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（4）需免费对接到易班APP，实现学生在易班登录就可以打开课程学习，不用二次登录。</w:t>
      </w: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sz w:val="24"/>
          <w:szCs w:val="24"/>
          <w:lang w:val="en-US"/>
        </w:rPr>
      </w:pPr>
      <w:r>
        <w:rPr>
          <w:rFonts w:hint="eastAsia" w:ascii="宋体" w:hAnsi="宋体" w:eastAsia="宋体" w:cs="宋体"/>
          <w:b/>
          <w:bCs w:val="0"/>
          <w:kern w:val="2"/>
          <w:sz w:val="24"/>
          <w:szCs w:val="24"/>
          <w:lang w:val="en-US" w:eastAsia="zh-CN" w:bidi="ar"/>
        </w:rPr>
        <w:t>4.质保及服务要求：</w:t>
      </w:r>
      <w:r>
        <w:rPr>
          <w:rFonts w:hint="eastAsia" w:ascii="宋体" w:hAnsi="宋体" w:eastAsia="宋体" w:cs="宋体"/>
          <w:kern w:val="2"/>
          <w:sz w:val="24"/>
          <w:szCs w:val="24"/>
          <w:lang w:val="en-US" w:eastAsia="zh-CN" w:bidi="ar"/>
        </w:rPr>
        <w:t>（货物类采购项目）</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质保期1年。质保期原则上执行国家标准质保规定，需要购买超过标准质保的服务，须在需求中作为购买服务单独列明，要求供应商单独明确报价，或在综合评分办法中作为加分项。在供应商供货时可要求其提供质保服务承诺函或在合同中明确质保服务要求。</w:t>
      </w:r>
    </w:p>
    <w:p>
      <w:pPr>
        <w:pStyle w:val="14"/>
        <w:keepNext w:val="0"/>
        <w:keepLines w:val="0"/>
        <w:widowControl w:val="0"/>
        <w:suppressLineNumbers w:val="0"/>
        <w:spacing w:before="0" w:beforeAutospacing="0" w:after="0" w:afterAutospacing="0"/>
        <w:ind w:left="0" w:right="0" w:firstLine="420" w:firstLineChars="200"/>
        <w:jc w:val="both"/>
        <w:rPr>
          <w:lang w:val="en-US"/>
        </w:rPr>
      </w:pPr>
      <w:r>
        <w:rPr>
          <w:rFonts w:hint="eastAsia" w:ascii="Times New Roman" w:hAnsi="Times New Roman" w:eastAsia="宋体" w:cs="宋体"/>
          <w:kern w:val="2"/>
          <w:sz w:val="21"/>
          <w:szCs w:val="24"/>
          <w:lang w:val="en-US" w:eastAsia="zh-CN" w:bidi="ar"/>
        </w:rPr>
        <w:t>服务期从合同签订之日起为期</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年，若业务部门对上一年度服务满意，可续签下一年合同，最多可以续签两次（服务期最多三年）。</w:t>
      </w:r>
    </w:p>
    <w:p>
      <w:pPr>
        <w:pStyle w:val="14"/>
        <w:keepNext w:val="0"/>
        <w:keepLines w:val="0"/>
        <w:widowControl w:val="0"/>
        <w:suppressLineNumbers w:val="0"/>
        <w:spacing w:before="0" w:beforeAutospacing="0" w:after="0" w:afterAutospacing="0"/>
        <w:ind w:left="0" w:right="0" w:firstLine="480" w:firstLineChars="200"/>
        <w:jc w:val="both"/>
        <w:rPr>
          <w:lang w:val="en-US"/>
        </w:rPr>
      </w:pP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5.主要标的物一览表</w:t>
      </w:r>
      <w:r>
        <w:rPr>
          <w:rFonts w:hint="eastAsia" w:ascii="宋体" w:hAnsi="宋体" w:eastAsia="宋体" w:cs="宋体"/>
          <w:kern w:val="2"/>
          <w:sz w:val="24"/>
          <w:szCs w:val="24"/>
          <w:lang w:val="en-US" w:eastAsia="zh-CN" w:bidi="ar"/>
        </w:rPr>
        <w:t>（服务类采购项目可不提供）</w:t>
      </w:r>
    </w:p>
    <w:tbl>
      <w:tblPr>
        <w:tblStyle w:val="15"/>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7"/>
        <w:gridCol w:w="1336"/>
        <w:gridCol w:w="3495"/>
        <w:gridCol w:w="1274"/>
        <w:gridCol w:w="942"/>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9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序号</w:t>
            </w: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标的名称</w:t>
            </w:r>
          </w:p>
        </w:tc>
        <w:tc>
          <w:tcPr>
            <w:tcW w:w="3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技术参数</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数量</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单价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13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3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sz w:val="24"/>
                <w:szCs w:val="24"/>
                <w:lang w:val="en-US"/>
              </w:rPr>
            </w:pPr>
          </w:p>
        </w:tc>
      </w:tr>
    </w:tbl>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注：（1）选择价值高或数量大的核心产品，并在采购需求表中对应品目名称前标注▲号，▲号产品随评审结果一并公示名称、技术参数、数量、单价等信息。</w:t>
      </w:r>
    </w:p>
    <w:p>
      <w:pPr>
        <w:keepNext w:val="0"/>
        <w:keepLines w:val="0"/>
        <w:widowControl w:val="0"/>
        <w:suppressLineNumbers w:val="0"/>
        <w:adjustRightInd w:val="0"/>
        <w:snapToGrid w:val="0"/>
        <w:spacing w:before="0" w:beforeAutospacing="0" w:after="0" w:afterAutospacing="0" w:line="420" w:lineRule="exact"/>
        <w:ind w:left="0" w:right="0" w:firstLine="720" w:firstLineChars="300"/>
        <w:jc w:val="left"/>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（2）货物类政府采购项目，本表将随中标结果公告一并发布，接受社会监督。</w:t>
      </w: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sz w:val="24"/>
          <w:szCs w:val="24"/>
          <w:lang w:val="en-US"/>
        </w:rPr>
      </w:pPr>
      <w:r>
        <w:rPr>
          <w:rFonts w:hint="eastAsia" w:ascii="宋体" w:hAnsi="宋体" w:eastAsia="宋体" w:cs="宋体"/>
          <w:b/>
          <w:bCs w:val="0"/>
          <w:kern w:val="2"/>
          <w:sz w:val="24"/>
          <w:szCs w:val="24"/>
          <w:lang w:val="en-US" w:eastAsia="zh-CN" w:bidi="ar"/>
        </w:rPr>
        <w:t>6.其他要求：</w:t>
      </w:r>
      <w:r>
        <w:rPr>
          <w:rFonts w:hint="eastAsia" w:ascii="宋体" w:hAnsi="宋体" w:eastAsia="宋体" w:cs="宋体"/>
          <w:kern w:val="2"/>
          <w:sz w:val="24"/>
          <w:szCs w:val="24"/>
          <w:lang w:val="en-US" w:eastAsia="zh-CN" w:bidi="ar"/>
        </w:rPr>
        <w:t>如需要进行现场演示的，需提供书面说明，包括演示具体内容、方案、评价标准等。</w:t>
      </w:r>
    </w:p>
    <w:p>
      <w:pPr>
        <w:pStyle w:val="14"/>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现场演示要求：</w:t>
      </w:r>
    </w:p>
    <w:p>
      <w:pPr>
        <w:keepNext w:val="0"/>
        <w:keepLines w:val="0"/>
        <w:widowControl/>
        <w:suppressLineNumbers w:val="0"/>
        <w:spacing w:before="0" w:beforeAutospacing="0" w:after="0" w:afterAutospacing="0" w:line="400" w:lineRule="exact"/>
        <w:ind w:left="0" w:right="0" w:firstLine="480" w:firstLineChars="200"/>
        <w:jc w:val="both"/>
        <w:rPr>
          <w:kern w:val="0"/>
          <w:sz w:val="24"/>
          <w:szCs w:val="24"/>
          <w:lang w:val="en-US"/>
        </w:rPr>
      </w:pPr>
      <w:r>
        <w:rPr>
          <w:rFonts w:hint="eastAsia" w:ascii="Times New Roman" w:hAnsi="Times New Roman" w:eastAsia="宋体" w:cs="宋体"/>
          <w:kern w:val="0"/>
          <w:sz w:val="24"/>
          <w:szCs w:val="24"/>
          <w:lang w:val="en-US" w:eastAsia="zh-CN" w:bidi="ar"/>
        </w:rPr>
        <w:t>功能演示</w:t>
      </w:r>
      <w:r>
        <w:rPr>
          <w:rFonts w:hint="default" w:ascii="Times New Roman" w:hAnsi="Times New Roman" w:eastAsia="宋体" w:cs="Times New Roman"/>
          <w:kern w:val="0"/>
          <w:sz w:val="24"/>
          <w:szCs w:val="24"/>
          <w:lang w:val="en-US" w:eastAsia="zh-CN" w:bidi="ar"/>
        </w:rPr>
        <w:t>20</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kern w:val="0"/>
          <w:sz w:val="24"/>
          <w:szCs w:val="24"/>
          <w:lang w:val="en-US"/>
        </w:rPr>
      </w:pPr>
      <w:r>
        <w:rPr>
          <w:rFonts w:hint="eastAsia" w:ascii="Times New Roman" w:hAnsi="Times New Roman" w:eastAsia="宋体" w:cs="宋体"/>
          <w:kern w:val="0"/>
          <w:sz w:val="24"/>
          <w:szCs w:val="24"/>
          <w:lang w:val="en-US" w:eastAsia="zh-CN" w:bidi="ar"/>
        </w:rPr>
        <w:t>投标供应商对所投产品部分内容进行演示，演示内容如下：</w:t>
      </w:r>
    </w:p>
    <w:p>
      <w:pPr>
        <w:keepNext w:val="0"/>
        <w:keepLines w:val="0"/>
        <w:widowControl/>
        <w:suppressLineNumbers w:val="0"/>
        <w:spacing w:before="0" w:beforeAutospacing="0" w:after="0" w:afterAutospacing="0" w:line="400" w:lineRule="exact"/>
        <w:ind w:left="0" w:right="0" w:firstLine="480" w:firstLineChars="200"/>
        <w:jc w:val="both"/>
        <w:rPr>
          <w:kern w:val="0"/>
          <w:sz w:val="24"/>
          <w:szCs w:val="24"/>
          <w:lang w:val="en-US"/>
        </w:rPr>
      </w:pPr>
      <w:r>
        <w:rPr>
          <w:rFonts w:hint="default" w:ascii="Times New Roman" w:hAnsi="Times New Roman" w:eastAsia="宋体" w:cs="Times New Roman"/>
          <w:kern w:val="0"/>
          <w:sz w:val="24"/>
          <w:szCs w:val="24"/>
          <w:lang w:val="en-US" w:eastAsia="zh-CN" w:bidi="ar"/>
        </w:rPr>
        <w:t>1.</w:t>
      </w:r>
      <w:r>
        <w:rPr>
          <w:rFonts w:hint="eastAsia" w:ascii="Times New Roman" w:hAnsi="Times New Roman" w:eastAsia="宋体" w:cs="宋体"/>
          <w:kern w:val="0"/>
          <w:sz w:val="24"/>
          <w:szCs w:val="24"/>
          <w:lang w:val="en-US" w:eastAsia="zh-CN" w:bidi="ar"/>
        </w:rPr>
        <w:t>所提供安全课程应包含前置安全课程、在校安全课程，以及面向教职工的安全管理课程。课程内容形式丰富，应包括专家授课、动画微课、情景再现等。（</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kern w:val="0"/>
          <w:sz w:val="24"/>
          <w:szCs w:val="24"/>
          <w:lang w:val="en-US"/>
        </w:rPr>
      </w:pP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课程包含的教学知识点应不低于</w:t>
      </w:r>
      <w:r>
        <w:rPr>
          <w:rFonts w:hint="default" w:ascii="Times New Roman" w:hAnsi="Times New Roman" w:eastAsia="宋体" w:cs="Times New Roman"/>
          <w:kern w:val="0"/>
          <w:sz w:val="24"/>
          <w:szCs w:val="24"/>
          <w:lang w:val="en-US" w:eastAsia="zh-CN" w:bidi="ar"/>
        </w:rPr>
        <w:t>80</w:t>
      </w:r>
      <w:r>
        <w:rPr>
          <w:rFonts w:hint="eastAsia" w:ascii="Times New Roman" w:hAnsi="Times New Roman" w:eastAsia="宋体" w:cs="宋体"/>
          <w:kern w:val="0"/>
          <w:sz w:val="24"/>
          <w:szCs w:val="24"/>
          <w:lang w:val="en-US" w:eastAsia="zh-CN" w:bidi="ar"/>
        </w:rPr>
        <w:t>个，每个知识点是不低于</w:t>
      </w:r>
      <w:r>
        <w:rPr>
          <w:rFonts w:hint="default" w:ascii="Times New Roman" w:hAnsi="Times New Roman" w:eastAsia="宋体" w:cs="Times New Roman"/>
          <w:kern w:val="0"/>
          <w:sz w:val="24"/>
          <w:szCs w:val="24"/>
          <w:lang w:val="en-US" w:eastAsia="zh-CN" w:bidi="ar"/>
        </w:rPr>
        <w:t>3</w:t>
      </w:r>
      <w:r>
        <w:rPr>
          <w:rFonts w:hint="eastAsia" w:ascii="Times New Roman" w:hAnsi="Times New Roman" w:eastAsia="宋体" w:cs="宋体"/>
          <w:kern w:val="0"/>
          <w:sz w:val="24"/>
          <w:szCs w:val="24"/>
          <w:lang w:val="en-US" w:eastAsia="zh-CN" w:bidi="ar"/>
        </w:rPr>
        <w:t>分钟的微视频，每个知识点配备测验题。（</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kern w:val="0"/>
          <w:sz w:val="24"/>
          <w:szCs w:val="24"/>
          <w:lang w:val="en-US"/>
        </w:rPr>
      </w:pPr>
      <w:r>
        <w:rPr>
          <w:rFonts w:hint="default" w:ascii="Times New Roman" w:hAnsi="Times New Roman" w:eastAsia="宋体" w:cs="Times New Roman"/>
          <w:kern w:val="0"/>
          <w:sz w:val="24"/>
          <w:szCs w:val="24"/>
          <w:lang w:val="en-US" w:eastAsia="zh-CN" w:bidi="ar"/>
        </w:rPr>
        <w:t>3.</w:t>
      </w:r>
      <w:r>
        <w:rPr>
          <w:rFonts w:hint="eastAsia" w:ascii="Times New Roman" w:hAnsi="Times New Roman" w:eastAsia="宋体" w:cs="宋体"/>
          <w:kern w:val="0"/>
          <w:sz w:val="24"/>
          <w:szCs w:val="24"/>
          <w:lang w:val="en-US" w:eastAsia="zh-CN" w:bidi="ar"/>
        </w:rPr>
        <w:t>课程内容包括但不限于以下内容：国家安全、消防安全、人身安全、财产安全、交通安全、运动安全、公共安全、防灾减灾、网络安全、心理健康、留学安全、女生自我防护、实验室安全等。（</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lang w:val="en-US"/>
        </w:rPr>
      </w:pPr>
      <w:r>
        <w:rPr>
          <w:rFonts w:hint="default" w:ascii="Times New Roman" w:hAnsi="Times New Roman" w:eastAsia="宋体" w:cs="Times New Roman"/>
          <w:kern w:val="0"/>
          <w:sz w:val="24"/>
          <w:szCs w:val="24"/>
          <w:lang w:val="en-US" w:eastAsia="zh-CN" w:bidi="ar"/>
        </w:rPr>
        <w:t>4.</w:t>
      </w:r>
      <w:r>
        <w:rPr>
          <w:rFonts w:hint="eastAsia" w:ascii="Times New Roman" w:hAnsi="Times New Roman" w:eastAsia="宋体" w:cs="宋体"/>
          <w:kern w:val="0"/>
          <w:sz w:val="24"/>
          <w:szCs w:val="24"/>
          <w:lang w:val="en-US" w:eastAsia="zh-CN" w:bidi="ar"/>
        </w:rPr>
        <w:t>具备安全教育辅学资源，通过平台能检索到安全相关的图书专题频、期刊文章、法律法规、讲座视频等内容。（</w:t>
      </w:r>
      <w:r>
        <w:rPr>
          <w:rFonts w:hint="default" w:ascii="Times New Roman" w:hAnsi="Times New Roman" w:eastAsia="宋体" w:cs="Times New Roman"/>
          <w:kern w:val="0"/>
          <w:sz w:val="24"/>
          <w:szCs w:val="24"/>
          <w:lang w:val="en-US" w:eastAsia="zh-CN" w:bidi="ar"/>
        </w:rPr>
        <w:t>2</w:t>
      </w:r>
      <w:r>
        <w:rPr>
          <w:rFonts w:hint="eastAsia" w:ascii="Times New Roman" w:hAnsi="Times New Roman" w:eastAsia="宋体" w:cs="宋体"/>
          <w:kern w:val="0"/>
          <w:sz w:val="24"/>
          <w:szCs w:val="24"/>
          <w:lang w:val="en-US" w:eastAsia="zh-CN" w:bidi="ar"/>
        </w:rPr>
        <w:t>分）</w:t>
      </w:r>
    </w:p>
    <w:p>
      <w:pPr>
        <w:keepNext w:val="0"/>
        <w:keepLines w:val="0"/>
        <w:widowControl w:val="0"/>
        <w:suppressLineNumbers w:val="0"/>
        <w:tabs>
          <w:tab w:val="left" w:pos="425"/>
        </w:tabs>
        <w:spacing w:before="0" w:beforeAutospacing="0" w:after="0" w:afterAutospacing="0" w:line="400" w:lineRule="exact"/>
        <w:ind w:left="0" w:right="0" w:firstLine="480" w:firstLineChars="200"/>
        <w:jc w:val="both"/>
        <w:rPr>
          <w:kern w:val="0"/>
          <w:sz w:val="24"/>
          <w:szCs w:val="24"/>
          <w:lang w:val="en-US"/>
        </w:rPr>
      </w:pPr>
      <w:r>
        <w:rPr>
          <w:rFonts w:hint="default" w:ascii="Times New Roman" w:hAnsi="Times New Roman" w:eastAsia="宋体" w:cs="Times New Roman"/>
          <w:kern w:val="0"/>
          <w:sz w:val="24"/>
          <w:szCs w:val="24"/>
          <w:lang w:val="en-US" w:eastAsia="zh-CN" w:bidi="ar"/>
        </w:rPr>
        <w:t>5</w:t>
      </w:r>
      <w:r>
        <w:rPr>
          <w:rFonts w:hint="eastAsia" w:ascii="Times New Roman" w:hAnsi="Times New Roman" w:eastAsia="宋体" w:cs="宋体"/>
          <w:kern w:val="0"/>
          <w:sz w:val="24"/>
          <w:szCs w:val="24"/>
          <w:lang w:val="en-US" w:eastAsia="zh-CN" w:bidi="ar"/>
        </w:rPr>
        <w:t>、</w:t>
      </w:r>
      <w:r>
        <w:rPr>
          <w:rFonts w:hint="eastAsia" w:ascii="Times New Roman" w:hAnsi="Times New Roman" w:eastAsia="宋体" w:cs="宋体"/>
          <w:kern w:val="2"/>
          <w:sz w:val="24"/>
          <w:szCs w:val="24"/>
          <w:lang w:val="en-US" w:eastAsia="zh-CN" w:bidi="ar"/>
        </w:rPr>
        <w:t>提供专门的</w:t>
      </w:r>
      <w:r>
        <w:rPr>
          <w:rFonts w:hint="default" w:ascii="Times New Roman" w:hAnsi="Times New Roman" w:eastAsia="宋体" w:cs="Times New Roman"/>
          <w:kern w:val="2"/>
          <w:sz w:val="24"/>
          <w:szCs w:val="24"/>
          <w:lang w:val="en-US" w:eastAsia="zh-CN" w:bidi="ar"/>
        </w:rPr>
        <w:t>APP</w:t>
      </w:r>
      <w:r>
        <w:rPr>
          <w:rFonts w:hint="eastAsia" w:ascii="Times New Roman" w:hAnsi="Times New Roman" w:eastAsia="宋体" w:cs="宋体"/>
          <w:kern w:val="2"/>
          <w:sz w:val="24"/>
          <w:szCs w:val="24"/>
          <w:lang w:val="en-US" w:eastAsia="zh-CN" w:bidi="ar"/>
        </w:rPr>
        <w:t>移动客户端，需支持</w:t>
      </w:r>
      <w:r>
        <w:rPr>
          <w:rFonts w:hint="default" w:ascii="Times New Roman" w:hAnsi="Times New Roman" w:eastAsia="宋体" w:cs="Times New Roman"/>
          <w:kern w:val="2"/>
          <w:sz w:val="24"/>
          <w:szCs w:val="24"/>
          <w:lang w:val="en-US" w:eastAsia="zh-CN" w:bidi="ar"/>
        </w:rPr>
        <w:t>iOS</w:t>
      </w:r>
      <w:r>
        <w:rPr>
          <w:rFonts w:hint="eastAsia" w:ascii="Times New Roman" w:hAnsi="Times New Roman" w:eastAsia="宋体" w:cs="宋体"/>
          <w:kern w:val="2"/>
          <w:sz w:val="24"/>
          <w:szCs w:val="24"/>
          <w:lang w:val="en-US" w:eastAsia="zh-CN" w:bidi="ar"/>
        </w:rPr>
        <w:t>和</w:t>
      </w:r>
      <w:r>
        <w:rPr>
          <w:rFonts w:hint="default" w:ascii="Times New Roman" w:hAnsi="Times New Roman" w:eastAsia="宋体" w:cs="Times New Roman"/>
          <w:kern w:val="2"/>
          <w:sz w:val="24"/>
          <w:szCs w:val="24"/>
          <w:lang w:val="en-US" w:eastAsia="zh-CN" w:bidi="ar"/>
        </w:rPr>
        <w:t>Android</w:t>
      </w:r>
      <w:r>
        <w:rPr>
          <w:rFonts w:hint="eastAsia" w:ascii="Times New Roman" w:hAnsi="Times New Roman" w:eastAsia="宋体" w:cs="宋体"/>
          <w:kern w:val="2"/>
          <w:sz w:val="24"/>
          <w:szCs w:val="24"/>
          <w:lang w:val="en-US" w:eastAsia="zh-CN" w:bidi="ar"/>
        </w:rPr>
        <w:t>系统。与</w:t>
      </w:r>
      <w:r>
        <w:rPr>
          <w:rFonts w:hint="default" w:ascii="Times New Roman" w:hAnsi="Times New Roman" w:eastAsia="宋体" w:cs="Times New Roman"/>
          <w:kern w:val="2"/>
          <w:sz w:val="24"/>
          <w:szCs w:val="24"/>
          <w:lang w:val="en-US" w:eastAsia="zh-CN" w:bidi="ar"/>
        </w:rPr>
        <w:t>pc</w:t>
      </w:r>
      <w:r>
        <w:rPr>
          <w:rFonts w:hint="eastAsia" w:ascii="Times New Roman" w:hAnsi="Times New Roman" w:eastAsia="宋体" w:cs="宋体"/>
          <w:kern w:val="2"/>
          <w:sz w:val="24"/>
          <w:szCs w:val="24"/>
          <w:lang w:val="en-US" w:eastAsia="zh-CN" w:bidi="ar"/>
        </w:rPr>
        <w:t>端安全教育平台能够对接，进行在线课程的学习、作业、考试等功能。（</w:t>
      </w:r>
      <w:r>
        <w:rPr>
          <w:rFonts w:hint="default" w:ascii="Times New Roman" w:hAnsi="Times New Roman" w:eastAsia="宋体" w:cs="Times New Roman"/>
          <w:kern w:val="2"/>
          <w:sz w:val="24"/>
          <w:szCs w:val="24"/>
          <w:lang w:val="en-US" w:eastAsia="zh-CN" w:bidi="ar"/>
        </w:rPr>
        <w:t>1</w:t>
      </w:r>
      <w:r>
        <w:rPr>
          <w:rFonts w:hint="eastAsia" w:ascii="Times New Roman" w:hAnsi="Times New Roman" w:eastAsia="宋体" w:cs="宋体"/>
          <w:kern w:val="2"/>
          <w:sz w:val="24"/>
          <w:szCs w:val="24"/>
          <w:lang w:val="en-US" w:eastAsia="zh-CN" w:bidi="ar"/>
        </w:rPr>
        <w:t>分）</w:t>
      </w:r>
      <w:r>
        <w:rPr>
          <w:rFonts w:hint="default" w:ascii="Times New Roman" w:hAnsi="Times New Roman" w:eastAsia="宋体" w:cs="Times New Roman"/>
          <w:kern w:val="2"/>
          <w:sz w:val="24"/>
          <w:szCs w:val="24"/>
          <w:lang w:val="en-US" w:eastAsia="zh-CN" w:bidi="ar"/>
        </w:rPr>
        <w:t xml:space="preserve"> </w:t>
      </w:r>
    </w:p>
    <w:p>
      <w:pPr>
        <w:keepNext w:val="0"/>
        <w:keepLines w:val="0"/>
        <w:widowControl/>
        <w:suppressLineNumbers w:val="0"/>
        <w:spacing w:before="0" w:beforeAutospacing="0" w:after="0" w:afterAutospacing="0" w:line="400" w:lineRule="exact"/>
        <w:ind w:left="0" w:right="0" w:firstLine="480" w:firstLineChars="200"/>
        <w:jc w:val="both"/>
        <w:rPr>
          <w:sz w:val="24"/>
          <w:szCs w:val="24"/>
          <w:lang w:val="en-US"/>
        </w:rPr>
      </w:pPr>
      <w:r>
        <w:rPr>
          <w:rFonts w:hint="default" w:ascii="Times New Roman" w:hAnsi="Times New Roman" w:eastAsia="宋体"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、教师可以针对每一个教学班对每个章节学习内容进行</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开放、定时开放、闯关模式开放、关闭</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等设置；课程的教学视频文件具有</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防拖拽和防窗口切换</w:t>
      </w:r>
      <w:r>
        <w:rPr>
          <w:rFonts w:hint="default" w:ascii="Times New Roman" w:hAnsi="Times New Roman" w:eastAsia="宋体" w:cs="Times New Roman"/>
          <w:kern w:val="2"/>
          <w:sz w:val="24"/>
          <w:szCs w:val="24"/>
          <w:lang w:val="en-US" w:eastAsia="zh-CN" w:bidi="ar"/>
        </w:rPr>
        <w:t>”</w:t>
      </w:r>
      <w:r>
        <w:rPr>
          <w:rFonts w:hint="eastAsia" w:ascii="Times New Roman" w:hAnsi="Times New Roman" w:eastAsia="宋体" w:cs="宋体"/>
          <w:kern w:val="2"/>
          <w:sz w:val="24"/>
          <w:szCs w:val="24"/>
          <w:lang w:val="en-US" w:eastAsia="zh-CN" w:bidi="ar"/>
        </w:rPr>
        <w:t>功能。（</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sz w:val="24"/>
          <w:szCs w:val="24"/>
          <w:lang w:val="en-US"/>
        </w:rPr>
      </w:pPr>
      <w:r>
        <w:rPr>
          <w:rFonts w:hint="default" w:ascii="Times New Roman" w:hAnsi="Times New Roman" w:eastAsia="宋体" w:cs="Times New Roman"/>
          <w:kern w:val="2"/>
          <w:sz w:val="24"/>
          <w:szCs w:val="24"/>
          <w:lang w:val="en-US" w:eastAsia="zh-CN" w:bidi="ar"/>
        </w:rPr>
        <w:t>7</w:t>
      </w:r>
      <w:r>
        <w:rPr>
          <w:rFonts w:hint="eastAsia" w:ascii="Times New Roman" w:hAnsi="Times New Roman" w:eastAsia="宋体" w:cs="宋体"/>
          <w:kern w:val="2"/>
          <w:sz w:val="24"/>
          <w:szCs w:val="24"/>
          <w:lang w:val="en-US" w:eastAsia="zh-CN" w:bidi="ar"/>
        </w:rPr>
        <w:t>、视频直播：移动客户端教师可以发起视频直播。（</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sz w:val="24"/>
          <w:szCs w:val="24"/>
          <w:lang w:val="en-US"/>
        </w:rPr>
      </w:pPr>
      <w:r>
        <w:rPr>
          <w:rFonts w:hint="default" w:ascii="Times New Roman" w:hAnsi="Times New Roman" w:eastAsia="宋体" w:cs="Times New Roman"/>
          <w:kern w:val="2"/>
          <w:sz w:val="24"/>
          <w:szCs w:val="24"/>
          <w:lang w:val="en-US" w:eastAsia="zh-CN" w:bidi="ar"/>
        </w:rPr>
        <w:t>8</w:t>
      </w:r>
      <w:r>
        <w:rPr>
          <w:rFonts w:hint="eastAsia" w:ascii="Times New Roman" w:hAnsi="Times New Roman" w:eastAsia="宋体" w:cs="宋体"/>
          <w:kern w:val="2"/>
          <w:sz w:val="24"/>
          <w:szCs w:val="24"/>
          <w:lang w:val="en-US" w:eastAsia="zh-CN" w:bidi="ar"/>
        </w:rPr>
        <w:t>、教师可以定向发布课程通知，系统实时反馈已读未读信息，针对未读人员，平台提供电话、邮件、系统内消息等多种提醒方式，保证信息送达到位。（</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pStyle w:val="14"/>
        <w:keepNext w:val="0"/>
        <w:keepLines w:val="0"/>
        <w:widowControl w:val="0"/>
        <w:suppressLineNumbers w:val="0"/>
        <w:spacing w:before="0" w:beforeAutospacing="0" w:after="0" w:afterAutospacing="0"/>
        <w:ind w:left="0" w:right="0" w:firstLine="480" w:firstLineChars="200"/>
        <w:jc w:val="both"/>
        <w:rPr>
          <w:sz w:val="24"/>
          <w:szCs w:val="24"/>
          <w:lang w:val="en-US"/>
        </w:rPr>
      </w:pPr>
      <w:r>
        <w:rPr>
          <w:rFonts w:hint="default" w:ascii="Times New Roman" w:hAnsi="Times New Roman" w:eastAsia="宋体" w:cs="Times New Roman"/>
          <w:kern w:val="2"/>
          <w:sz w:val="24"/>
          <w:szCs w:val="24"/>
          <w:lang w:val="en-US" w:eastAsia="zh-CN" w:bidi="ar"/>
        </w:rPr>
        <w:t>9</w:t>
      </w:r>
      <w:r>
        <w:rPr>
          <w:rFonts w:hint="eastAsia" w:ascii="Times New Roman" w:hAnsi="Times New Roman" w:eastAsia="宋体" w:cs="宋体"/>
          <w:kern w:val="2"/>
          <w:sz w:val="24"/>
          <w:szCs w:val="24"/>
          <w:lang w:val="en-US" w:eastAsia="zh-CN" w:bidi="ar"/>
        </w:rPr>
        <w:t>、教师可以将课程章节内视频、图书、作业等内容设置为任务点，要求学生必须完成，灵活控制学生学习的情况。（</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suppressLineNumbers w:val="0"/>
        <w:spacing w:before="0" w:beforeAutospacing="0" w:after="0" w:afterAutospacing="0" w:line="400" w:lineRule="exact"/>
        <w:ind w:left="0" w:right="0" w:firstLine="480" w:firstLineChars="200"/>
        <w:jc w:val="both"/>
        <w:rPr>
          <w:sz w:val="24"/>
          <w:szCs w:val="24"/>
          <w:lang w:val="en-US"/>
        </w:rPr>
      </w:pPr>
      <w:r>
        <w:rPr>
          <w:rFonts w:hint="default" w:ascii="Times New Roman" w:hAnsi="Times New Roman" w:eastAsia="宋体" w:cs="Times New Roman"/>
          <w:kern w:val="2"/>
          <w:sz w:val="24"/>
          <w:szCs w:val="24"/>
          <w:lang w:val="en-US" w:eastAsia="zh-CN" w:bidi="ar"/>
        </w:rPr>
        <w:t>10</w:t>
      </w:r>
      <w:r>
        <w:rPr>
          <w:rFonts w:hint="eastAsia" w:ascii="Times New Roman" w:hAnsi="Times New Roman" w:eastAsia="宋体" w:cs="宋体"/>
          <w:kern w:val="2"/>
          <w:sz w:val="24"/>
          <w:szCs w:val="24"/>
          <w:lang w:val="en-US" w:eastAsia="zh-CN" w:bidi="ar"/>
        </w:rPr>
        <w:t>、考试系统有对应的题库内容。涵盖</w:t>
      </w:r>
      <w:r>
        <w:rPr>
          <w:rFonts w:hint="eastAsia" w:ascii="Times New Roman" w:hAnsi="Times New Roman" w:eastAsia="宋体" w:cs="宋体"/>
          <w:kern w:val="0"/>
          <w:sz w:val="24"/>
          <w:szCs w:val="24"/>
          <w:lang w:val="en-US" w:eastAsia="zh-CN" w:bidi="ar"/>
        </w:rPr>
        <w:t>国家安全、消防安全、人身安全、财产安全、交通安全、运动安全、公共安全、防灾减灾、网络安全、心理健康、留学安全、女生自我防护、实验室安全</w:t>
      </w:r>
      <w:r>
        <w:rPr>
          <w:rFonts w:hint="eastAsia" w:ascii="Times New Roman" w:hAnsi="Times New Roman" w:eastAsia="宋体" w:cs="宋体"/>
          <w:kern w:val="2"/>
          <w:sz w:val="24"/>
          <w:szCs w:val="24"/>
          <w:lang w:val="en-US" w:eastAsia="zh-CN" w:bidi="ar"/>
        </w:rPr>
        <w:t>等多个题库分类。教师可以创建课程试题库，对试题库进行管理，包括添加、修改、删除、查询、浏览等功能。并且支持学生题库自测。（</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分）</w:t>
      </w:r>
    </w:p>
    <w:p>
      <w:pPr>
        <w:keepNext w:val="0"/>
        <w:keepLines w:val="0"/>
        <w:widowControl w:val="0"/>
        <w:suppressLineNumbers w:val="0"/>
        <w:spacing w:before="0" w:beforeAutospacing="0" w:after="0" w:afterAutospacing="0" w:line="400" w:lineRule="exact"/>
        <w:ind w:left="0" w:right="0" w:firstLine="480"/>
        <w:jc w:val="both"/>
        <w:rPr>
          <w:sz w:val="24"/>
          <w:szCs w:val="24"/>
          <w:lang w:val="en-US"/>
        </w:rPr>
      </w:pPr>
      <w:r>
        <w:rPr>
          <w:rFonts w:hint="default" w:ascii="Times New Roman" w:hAnsi="Times New Roman" w:eastAsia="宋体" w:cs="Times New Roman"/>
          <w:kern w:val="2"/>
          <w:sz w:val="24"/>
          <w:szCs w:val="24"/>
          <w:lang w:val="en-US" w:eastAsia="zh-CN" w:bidi="ar"/>
        </w:rPr>
        <w:t>11</w:t>
      </w:r>
      <w:r>
        <w:rPr>
          <w:rFonts w:hint="eastAsia" w:ascii="Times New Roman" w:hAnsi="Times New Roman" w:eastAsia="宋体" w:cs="宋体"/>
          <w:kern w:val="2"/>
          <w:sz w:val="24"/>
          <w:szCs w:val="24"/>
          <w:lang w:val="en-US" w:eastAsia="zh-CN" w:bidi="ar"/>
        </w:rPr>
        <w:t>、从课程题库中组卷测试，教师可以输入模拟试卷名称、出卷时间，可手动选题，也可设定题型、数量、难易度后系统随机生成模拟试卷。（</w:t>
      </w:r>
      <w:r>
        <w:rPr>
          <w:rFonts w:hint="default" w:ascii="Times New Roman" w:hAnsi="Times New Roman" w:eastAsia="宋体" w:cs="Times New Roman"/>
          <w:kern w:val="2"/>
          <w:sz w:val="24"/>
          <w:szCs w:val="24"/>
          <w:lang w:val="en-US" w:eastAsia="zh-CN" w:bidi="ar"/>
        </w:rPr>
        <w:t>1</w:t>
      </w:r>
      <w:r>
        <w:rPr>
          <w:rFonts w:hint="eastAsia" w:ascii="Times New Roman" w:hAnsi="Times New Roman" w:eastAsia="宋体" w:cs="宋体"/>
          <w:kern w:val="2"/>
          <w:sz w:val="24"/>
          <w:szCs w:val="24"/>
          <w:lang w:val="en-US" w:eastAsia="zh-CN" w:bidi="ar"/>
        </w:rPr>
        <w:t>分）</w:t>
      </w:r>
    </w:p>
    <w:p>
      <w:pPr>
        <w:pStyle w:val="14"/>
        <w:keepNext w:val="0"/>
        <w:keepLines w:val="0"/>
        <w:widowControl w:val="0"/>
        <w:suppressLineNumbers w:val="0"/>
        <w:spacing w:before="0" w:beforeAutospacing="0" w:after="0" w:afterAutospacing="0"/>
        <w:ind w:left="0" w:right="0" w:firstLine="480" w:firstLineChars="200"/>
        <w:jc w:val="both"/>
        <w:rPr>
          <w:lang w:val="en-US"/>
        </w:rPr>
      </w:pPr>
      <w:r>
        <w:rPr>
          <w:rFonts w:hint="eastAsia" w:ascii="Times New Roman" w:hAnsi="Times New Roman" w:eastAsia="宋体" w:cs="宋体"/>
          <w:kern w:val="2"/>
          <w:sz w:val="24"/>
          <w:szCs w:val="24"/>
          <w:lang w:val="en-US" w:eastAsia="zh-CN" w:bidi="ar"/>
        </w:rPr>
        <w:t>备注：供应商需自行准备演示所需设备、网络等，必须使用真实系统进行演示，不得使用</w:t>
      </w:r>
      <w:r>
        <w:rPr>
          <w:rFonts w:hint="default" w:ascii="Times New Roman" w:hAnsi="Times New Roman" w:eastAsia="宋体" w:cs="Times New Roman"/>
          <w:kern w:val="2"/>
          <w:sz w:val="24"/>
          <w:szCs w:val="24"/>
          <w:lang w:val="en-US" w:eastAsia="zh-CN" w:bidi="ar"/>
        </w:rPr>
        <w:t>PPT</w:t>
      </w:r>
      <w:r>
        <w:rPr>
          <w:rFonts w:hint="eastAsia" w:ascii="Times New Roman" w:hAnsi="Times New Roman" w:eastAsia="宋体" w:cs="宋体"/>
          <w:kern w:val="2"/>
          <w:sz w:val="24"/>
          <w:szCs w:val="24"/>
          <w:lang w:val="en-US" w:eastAsia="zh-CN" w:bidi="ar"/>
        </w:rPr>
        <w:t>演示。</w:t>
      </w:r>
      <w:r>
        <w:rPr>
          <w:rFonts w:hint="eastAsia" w:ascii="Times New Roman" w:hAnsi="Times New Roman" w:eastAsia="宋体" w:cs="宋体"/>
          <w:kern w:val="0"/>
          <w:sz w:val="24"/>
          <w:szCs w:val="24"/>
          <w:lang w:val="en-US" w:eastAsia="zh-CN" w:bidi="ar"/>
        </w:rPr>
        <w:t>演示时间不得超过</w:t>
      </w:r>
      <w:r>
        <w:rPr>
          <w:rFonts w:hint="default" w:ascii="Times New Roman" w:hAnsi="Times New Roman" w:eastAsia="宋体" w:cs="Times New Roman"/>
          <w:kern w:val="0"/>
          <w:sz w:val="24"/>
          <w:szCs w:val="24"/>
          <w:lang w:val="en-US" w:eastAsia="zh-CN" w:bidi="ar"/>
        </w:rPr>
        <w:t>20</w:t>
      </w:r>
      <w:r>
        <w:rPr>
          <w:rFonts w:hint="eastAsia" w:ascii="Times New Roman" w:hAnsi="Times New Roman" w:eastAsia="宋体" w:cs="宋体"/>
          <w:kern w:val="0"/>
          <w:sz w:val="24"/>
          <w:szCs w:val="24"/>
          <w:lang w:val="en-US" w:eastAsia="zh-CN" w:bidi="ar"/>
        </w:rPr>
        <w:t>分钟。若因疫情影响导致供应商不得到达评审现场的，需提供真实系统演示所录制的视频，放在</w:t>
      </w:r>
      <w:r>
        <w:rPr>
          <w:rFonts w:hint="default" w:ascii="Times New Roman" w:hAnsi="Times New Roman" w:eastAsia="宋体" w:cs="Times New Roman"/>
          <w:kern w:val="0"/>
          <w:sz w:val="24"/>
          <w:szCs w:val="24"/>
          <w:lang w:val="en-US" w:eastAsia="zh-CN" w:bidi="ar"/>
        </w:rPr>
        <w:t>U</w:t>
      </w:r>
      <w:r>
        <w:rPr>
          <w:rFonts w:hint="eastAsia" w:ascii="Times New Roman" w:hAnsi="Times New Roman" w:eastAsia="宋体" w:cs="宋体"/>
          <w:kern w:val="0"/>
          <w:sz w:val="24"/>
          <w:szCs w:val="24"/>
          <w:lang w:val="en-US" w:eastAsia="zh-CN" w:bidi="ar"/>
        </w:rPr>
        <w:t>盘中随投标文件一起邮寄。投标供应商需在中标后</w:t>
      </w:r>
      <w:r>
        <w:rPr>
          <w:rFonts w:hint="default" w:ascii="Times New Roman" w:hAnsi="Times New Roman" w:eastAsia="宋体" w:cs="Times New Roman"/>
          <w:kern w:val="0"/>
          <w:sz w:val="24"/>
          <w:szCs w:val="24"/>
          <w:lang w:val="en-US" w:eastAsia="zh-CN" w:bidi="ar"/>
        </w:rPr>
        <w:t>3</w:t>
      </w:r>
      <w:r>
        <w:rPr>
          <w:rFonts w:hint="eastAsia" w:ascii="Times New Roman" w:hAnsi="Times New Roman" w:eastAsia="宋体" w:cs="宋体"/>
          <w:kern w:val="0"/>
          <w:sz w:val="24"/>
          <w:szCs w:val="24"/>
          <w:lang w:val="en-US" w:eastAsia="zh-CN" w:bidi="ar"/>
        </w:rPr>
        <w:t>日内对所有参数进行演示，若不能满足，将取消中标资格。</w:t>
      </w:r>
    </w:p>
    <w:p>
      <w:pPr>
        <w:pStyle w:val="20"/>
        <w:spacing w:line="380" w:lineRule="exact"/>
        <w:jc w:val="both"/>
        <w:rPr>
          <w:rFonts w:hint="eastAsia" w:ascii="宋体" w:hAnsi="宋体" w:eastAsia="宋体" w:cs="宋体"/>
          <w:sz w:val="28"/>
          <w:szCs w:val="28"/>
        </w:rPr>
      </w:pPr>
      <w:r>
        <w:rPr>
          <w:rFonts w:hint="eastAsia" w:ascii="宋体" w:hAnsi="宋体" w:cs="宋体"/>
          <w:b/>
          <w:bCs/>
          <w:kern w:val="0"/>
          <w:sz w:val="28"/>
          <w:szCs w:val="28"/>
        </w:rPr>
        <w:t xml:space="preserve">   </w:t>
      </w:r>
      <w:r>
        <w:rPr>
          <w:rFonts w:hint="eastAsia" w:ascii="宋体" w:hAnsi="宋体" w:eastAsia="宋体" w:cs="宋体"/>
          <w:sz w:val="28"/>
          <w:szCs w:val="28"/>
        </w:rPr>
        <w:t xml:space="preserve">  </w:t>
      </w:r>
    </w:p>
    <w:p>
      <w:pPr>
        <w:pStyle w:val="20"/>
        <w:spacing w:line="380" w:lineRule="exact"/>
        <w:jc w:val="both"/>
        <w:rPr>
          <w:rFonts w:ascii="宋体" w:hAnsi="宋体" w:eastAsia="宋体" w:cs="宋体"/>
          <w:b/>
          <w:bCs/>
          <w:sz w:val="28"/>
          <w:szCs w:val="28"/>
        </w:rPr>
      </w:pPr>
      <w:r>
        <w:rPr>
          <w:rFonts w:hint="eastAsia" w:ascii="宋体" w:hAnsi="宋体" w:eastAsia="宋体" w:cs="宋体"/>
          <w:sz w:val="28"/>
          <w:szCs w:val="28"/>
        </w:rPr>
        <w:t>（详见磋商响应报价表内容及附件一、二）</w:t>
      </w:r>
    </w:p>
    <w:p>
      <w:pPr>
        <w:spacing w:beforeLines="50" w:line="380" w:lineRule="exact"/>
        <w:rPr>
          <w:rFonts w:ascii="宋体" w:hAnsi="宋体" w:cs="宋体"/>
        </w:rPr>
      </w:pPr>
    </w:p>
    <w:p>
      <w:pPr>
        <w:spacing w:beforeLines="50" w:line="360" w:lineRule="auto"/>
        <w:rPr>
          <w:rFonts w:ascii="宋体" w:hAnsi="宋体" w:cs="宋体"/>
        </w:rPr>
      </w:pPr>
    </w:p>
    <w:p>
      <w:pPr>
        <w:pStyle w:val="19"/>
        <w:tabs>
          <w:tab w:val="left" w:pos="420"/>
        </w:tabs>
        <w:jc w:val="both"/>
        <w:rPr>
          <w:rFonts w:ascii="宋体" w:hAnsi="宋体" w:eastAsia="宋体"/>
        </w:rPr>
      </w:pPr>
    </w:p>
    <w:p>
      <w:pPr>
        <w:pStyle w:val="19"/>
        <w:tabs>
          <w:tab w:val="left" w:pos="420"/>
        </w:tabs>
        <w:rPr>
          <w:rFonts w:hint="eastAsia" w:ascii="宋体" w:hAnsi="宋体" w:eastAsia="宋体"/>
        </w:rPr>
      </w:pPr>
    </w:p>
    <w:p>
      <w:pPr>
        <w:pStyle w:val="19"/>
        <w:tabs>
          <w:tab w:val="left" w:pos="420"/>
        </w:tabs>
        <w:rPr>
          <w:rFonts w:ascii="宋体" w:hAnsi="宋体" w:eastAsia="宋体" w:cs="Times New Roman"/>
        </w:rPr>
      </w:pPr>
      <w:r>
        <w:rPr>
          <w:rFonts w:hint="eastAsia" w:ascii="宋体" w:hAnsi="宋体" w:eastAsia="宋体"/>
        </w:rPr>
        <w:t>第二章  磋商响应书</w:t>
      </w:r>
      <w:bookmarkEnd w:id="20"/>
    </w:p>
    <w:p>
      <w:pPr>
        <w:jc w:val="center"/>
        <w:rPr>
          <w:rFonts w:ascii="宋体" w:hAnsi="宋体" w:eastAsia="宋体"/>
          <w:b/>
          <w:bCs/>
          <w:sz w:val="28"/>
          <w:szCs w:val="28"/>
        </w:rPr>
      </w:pPr>
    </w:p>
    <w:p>
      <w:pPr>
        <w:pStyle w:val="20"/>
        <w:rPr>
          <w:rFonts w:ascii="宋体" w:hAnsi="宋体" w:eastAsia="宋体"/>
          <w:sz w:val="28"/>
          <w:szCs w:val="28"/>
        </w:rPr>
      </w:pPr>
      <w:bookmarkStart w:id="21" w:name="_Toc383776352"/>
      <w:r>
        <w:rPr>
          <w:rFonts w:hint="eastAsia" w:ascii="宋体" w:hAnsi="宋体" w:eastAsia="宋体" w:cs="宋体"/>
          <w:sz w:val="28"/>
          <w:szCs w:val="28"/>
        </w:rPr>
        <w:t>封面</w:t>
      </w:r>
      <w:bookmarkEnd w:id="21"/>
    </w:p>
    <w:p>
      <w:pPr>
        <w:jc w:val="center"/>
        <w:rPr>
          <w:rFonts w:ascii="宋体" w:hAnsi="宋体" w:eastAsia="宋体"/>
          <w:sz w:val="72"/>
          <w:szCs w:val="72"/>
        </w:rPr>
      </w:pPr>
      <w:r>
        <w:rPr>
          <w:rFonts w:hint="eastAsia" w:ascii="宋体" w:hAnsi="宋体" w:eastAsia="宋体" w:cs="宋体"/>
          <w:b/>
          <w:bCs/>
          <w:sz w:val="72"/>
          <w:szCs w:val="72"/>
        </w:rPr>
        <w:t>磋商响应书</w:t>
      </w:r>
    </w:p>
    <w:p>
      <w:pPr>
        <w:ind w:firstLine="1650" w:firstLineChars="550"/>
        <w:rPr>
          <w:rFonts w:ascii="宋体" w:hAnsi="宋体" w:eastAsia="宋体"/>
          <w:sz w:val="30"/>
          <w:szCs w:val="30"/>
        </w:rPr>
      </w:pPr>
    </w:p>
    <w:p>
      <w:pPr>
        <w:ind w:firstLine="1540" w:firstLineChars="550"/>
        <w:rPr>
          <w:rFonts w:ascii="宋体" w:hAnsi="宋体" w:eastAsia="宋体"/>
          <w:sz w:val="28"/>
          <w:szCs w:val="28"/>
        </w:rPr>
      </w:pPr>
      <w:r>
        <w:rPr>
          <w:rFonts w:hint="eastAsia" w:ascii="宋体" w:hAnsi="宋体" w:eastAsia="宋体" w:cs="宋体"/>
          <w:sz w:val="28"/>
          <w:szCs w:val="28"/>
        </w:rPr>
        <w:t>项目编号：</w:t>
      </w:r>
    </w:p>
    <w:p>
      <w:pPr>
        <w:jc w:val="cente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ind w:firstLine="1540" w:firstLineChars="550"/>
        <w:rPr>
          <w:rFonts w:ascii="宋体" w:hAnsi="宋体" w:eastAsia="宋体" w:cs="宋体"/>
          <w:sz w:val="28"/>
          <w:szCs w:val="28"/>
          <w:u w:val="single"/>
        </w:rPr>
      </w:pPr>
      <w:r>
        <w:rPr>
          <w:rFonts w:hint="eastAsia" w:ascii="宋体" w:hAnsi="宋体" w:eastAsia="宋体" w:cs="宋体"/>
          <w:sz w:val="28"/>
          <w:szCs w:val="28"/>
        </w:rPr>
        <w:t>项目名称：</w:t>
      </w:r>
    </w:p>
    <w:p>
      <w:pPr>
        <w:ind w:firstLine="1540" w:firstLineChars="550"/>
        <w:rPr>
          <w:rFonts w:ascii="宋体" w:hAnsi="宋体" w:eastAsia="宋体" w:cs="宋体"/>
          <w:b/>
          <w:bCs/>
          <w:sz w:val="28"/>
          <w:szCs w:val="28"/>
          <w:u w:val="single"/>
        </w:rPr>
      </w:pPr>
      <w:r>
        <w:rPr>
          <w:rFonts w:hint="eastAsia" w:ascii="宋体" w:hAnsi="宋体" w:eastAsia="宋体" w:cs="宋体"/>
          <w:sz w:val="28"/>
          <w:szCs w:val="28"/>
        </w:rPr>
        <w:t>供应商：</w:t>
      </w:r>
    </w:p>
    <w:p>
      <w:pPr>
        <w:ind w:firstLine="1540" w:firstLineChars="550"/>
        <w:rPr>
          <w:rFonts w:ascii="宋体" w:hAnsi="宋体" w:eastAsia="宋体" w:cs="宋体"/>
          <w:sz w:val="28"/>
          <w:szCs w:val="28"/>
        </w:rPr>
      </w:pPr>
      <w:r>
        <w:rPr>
          <w:rFonts w:hint="eastAsia" w:ascii="宋体" w:hAnsi="宋体" w:eastAsia="宋体" w:cs="宋体"/>
          <w:sz w:val="28"/>
          <w:szCs w:val="28"/>
        </w:rPr>
        <w:t>法定代表人</w:t>
      </w:r>
    </w:p>
    <w:p>
      <w:pPr>
        <w:ind w:firstLine="1540" w:firstLineChars="550"/>
        <w:rPr>
          <w:rFonts w:ascii="宋体" w:hAnsi="宋体" w:eastAsia="宋体" w:cs="宋体"/>
          <w:sz w:val="28"/>
          <w:szCs w:val="28"/>
        </w:rPr>
      </w:pPr>
      <w:r>
        <w:rPr>
          <w:rFonts w:hint="eastAsia" w:ascii="宋体" w:hAnsi="宋体" w:eastAsia="宋体" w:cs="宋体"/>
          <w:sz w:val="28"/>
          <w:szCs w:val="28"/>
        </w:rPr>
        <w:t>或其委托代理人：（签字或盖章）</w:t>
      </w:r>
    </w:p>
    <w:p>
      <w:pPr>
        <w:ind w:firstLine="1650" w:firstLineChars="550"/>
        <w:rPr>
          <w:rFonts w:ascii="宋体" w:hAnsi="宋体" w:eastAsia="宋体" w:cs="宋体"/>
          <w:sz w:val="30"/>
          <w:szCs w:val="30"/>
        </w:rPr>
      </w:pPr>
    </w:p>
    <w:p>
      <w:pPr>
        <w:ind w:firstLine="3300" w:firstLineChars="1100"/>
        <w:jc w:val="center"/>
        <w:rPr>
          <w:rFonts w:ascii="宋体" w:hAnsi="宋体" w:eastAsia="宋体"/>
          <w:sz w:val="30"/>
          <w:szCs w:val="30"/>
        </w:rPr>
      </w:pPr>
      <w:r>
        <w:rPr>
          <w:rFonts w:hint="eastAsia" w:ascii="宋体" w:hAnsi="宋体" w:eastAsia="宋体" w:cs="宋体"/>
          <w:sz w:val="30"/>
          <w:szCs w:val="30"/>
        </w:rPr>
        <w:t>年    月    日</w:t>
      </w:r>
    </w:p>
    <w:p>
      <w:pPr>
        <w:rPr>
          <w:rFonts w:ascii="宋体" w:hAnsi="宋体" w:eastAsia="宋体"/>
          <w:sz w:val="30"/>
          <w:szCs w:val="30"/>
        </w:rPr>
      </w:pPr>
    </w:p>
    <w:p>
      <w:pPr>
        <w:rPr>
          <w:rFonts w:ascii="宋体" w:hAnsi="宋体" w:eastAsia="宋体"/>
          <w:sz w:val="30"/>
          <w:szCs w:val="30"/>
        </w:rPr>
      </w:pPr>
    </w:p>
    <w:p>
      <w:pPr>
        <w:pStyle w:val="2"/>
        <w:spacing w:before="0" w:after="0" w:line="240" w:lineRule="auto"/>
        <w:jc w:val="center"/>
        <w:rPr>
          <w:rFonts w:ascii="宋体" w:hAnsi="宋体" w:eastAsia="宋体" w:cs="Times New Roman"/>
          <w:sz w:val="28"/>
          <w:szCs w:val="28"/>
        </w:rPr>
      </w:pPr>
      <w:r>
        <w:rPr>
          <w:rFonts w:hint="eastAsia" w:ascii="宋体" w:hAnsi="宋体" w:eastAsia="宋体" w:cs="宋体"/>
          <w:sz w:val="28"/>
          <w:szCs w:val="28"/>
        </w:rPr>
        <w:t>目  录</w:t>
      </w:r>
    </w:p>
    <w:p>
      <w:pPr>
        <w:pStyle w:val="2"/>
        <w:spacing w:before="0" w:after="0" w:line="240" w:lineRule="auto"/>
        <w:rPr>
          <w:rFonts w:ascii="宋体" w:hAnsi="宋体" w:eastAsia="宋体" w:cs="宋体"/>
          <w:b w:val="0"/>
          <w:bCs w:val="0"/>
          <w:sz w:val="28"/>
          <w:szCs w:val="28"/>
        </w:rPr>
      </w:pPr>
    </w:p>
    <w:p>
      <w:pPr>
        <w:pStyle w:val="2"/>
        <w:spacing w:before="0" w:after="0" w:line="240" w:lineRule="auto"/>
        <w:rPr>
          <w:rFonts w:ascii="宋体" w:hAnsi="宋体" w:eastAsia="宋体" w:cs="Times New Roman"/>
          <w:b w:val="0"/>
          <w:bCs w:val="0"/>
          <w:sz w:val="28"/>
          <w:szCs w:val="28"/>
        </w:rPr>
      </w:pPr>
      <w:r>
        <w:rPr>
          <w:rFonts w:hint="eastAsia" w:ascii="宋体" w:hAnsi="宋体" w:eastAsia="宋体" w:cs="宋体"/>
          <w:b w:val="0"/>
          <w:bCs w:val="0"/>
          <w:sz w:val="28"/>
          <w:szCs w:val="28"/>
        </w:rPr>
        <w:t>一、磋商响应函格式</w:t>
      </w:r>
    </w:p>
    <w:p>
      <w:pPr>
        <w:rPr>
          <w:rFonts w:ascii="宋体" w:hAnsi="宋体" w:eastAsia="宋体" w:cs="宋体"/>
          <w:sz w:val="28"/>
          <w:szCs w:val="28"/>
        </w:rPr>
      </w:pPr>
      <w:r>
        <w:rPr>
          <w:rFonts w:hint="eastAsia" w:ascii="宋体" w:hAnsi="宋体" w:eastAsia="宋体" w:cs="宋体"/>
          <w:sz w:val="28"/>
          <w:szCs w:val="28"/>
        </w:rPr>
        <w:t>二、技术服务方案</w:t>
      </w:r>
    </w:p>
    <w:p>
      <w:pPr>
        <w:rPr>
          <w:rFonts w:ascii="宋体" w:hAnsi="宋体" w:eastAsia="宋体"/>
          <w:sz w:val="28"/>
          <w:szCs w:val="28"/>
        </w:rPr>
      </w:pPr>
      <w:r>
        <w:rPr>
          <w:rFonts w:hint="eastAsia" w:ascii="宋体" w:hAnsi="宋体" w:eastAsia="宋体" w:cs="宋体"/>
          <w:sz w:val="28"/>
          <w:szCs w:val="28"/>
        </w:rPr>
        <w:t>三、法定代表人授权书</w:t>
      </w:r>
    </w:p>
    <w:p>
      <w:pPr>
        <w:widowControl/>
        <w:spacing w:line="360" w:lineRule="auto"/>
        <w:rPr>
          <w:rFonts w:ascii="宋体" w:hAnsi="宋体" w:eastAsia="宋体" w:cs="宋体"/>
          <w:sz w:val="28"/>
          <w:szCs w:val="28"/>
        </w:rPr>
      </w:pPr>
      <w:r>
        <w:rPr>
          <w:rFonts w:hint="eastAsia" w:ascii="宋体" w:hAnsi="宋体" w:eastAsia="宋体" w:cs="宋体"/>
          <w:sz w:val="28"/>
          <w:szCs w:val="28"/>
        </w:rPr>
        <w:t>四、资格证明文件</w:t>
      </w:r>
    </w:p>
    <w:p>
      <w:pPr>
        <w:rPr>
          <w:rFonts w:ascii="宋体" w:hAnsi="宋体" w:eastAsia="宋体" w:cs="宋体"/>
          <w:sz w:val="28"/>
          <w:szCs w:val="28"/>
        </w:rPr>
      </w:pPr>
      <w:r>
        <w:rPr>
          <w:rFonts w:hint="eastAsia" w:ascii="宋体" w:hAnsi="宋体" w:eastAsia="宋体" w:cs="宋体"/>
          <w:sz w:val="28"/>
          <w:szCs w:val="28"/>
        </w:rPr>
        <w:t>五、需要提供的其他证明材料</w:t>
      </w:r>
    </w:p>
    <w:p>
      <w:pPr>
        <w:rPr>
          <w:rFonts w:ascii="宋体" w:hAnsi="宋体" w:eastAsia="宋体" w:cs="宋体"/>
          <w:sz w:val="28"/>
          <w:szCs w:val="28"/>
        </w:rPr>
      </w:pPr>
      <w:r>
        <w:rPr>
          <w:rFonts w:hint="eastAsia" w:ascii="宋体" w:hAnsi="宋体" w:eastAsia="宋体" w:cs="宋体"/>
          <w:sz w:val="28"/>
          <w:szCs w:val="28"/>
        </w:rPr>
        <w:t>六、磋商响应报价表</w:t>
      </w:r>
    </w:p>
    <w:p>
      <w:pPr>
        <w:rPr>
          <w:rFonts w:ascii="宋体" w:hAnsi="宋体" w:eastAsia="宋体"/>
          <w:sz w:val="32"/>
          <w:szCs w:val="32"/>
        </w:rPr>
      </w:pPr>
    </w:p>
    <w:p>
      <w:pPr>
        <w:pStyle w:val="20"/>
        <w:widowControl/>
        <w:rPr>
          <w:rFonts w:ascii="宋体" w:hAnsi="宋体" w:eastAsia="宋体"/>
          <w:b/>
          <w:bCs/>
          <w:sz w:val="28"/>
          <w:szCs w:val="28"/>
        </w:rPr>
      </w:pPr>
      <w:r>
        <w:rPr>
          <w:rFonts w:ascii="宋体" w:hAnsi="宋体" w:eastAsia="宋体"/>
        </w:rPr>
        <w:br w:type="page"/>
      </w:r>
      <w:bookmarkStart w:id="22" w:name="_Toc383776353"/>
      <w:r>
        <w:rPr>
          <w:rFonts w:hint="eastAsia" w:ascii="宋体" w:hAnsi="宋体" w:eastAsia="宋体" w:cs="宋体"/>
          <w:b/>
          <w:bCs/>
          <w:sz w:val="28"/>
          <w:szCs w:val="28"/>
        </w:rPr>
        <w:t>一、磋商响应函格式</w:t>
      </w:r>
      <w:bookmarkEnd w:id="22"/>
    </w:p>
    <w:p>
      <w:pPr>
        <w:pStyle w:val="8"/>
        <w:widowControl/>
        <w:tabs>
          <w:tab w:val="left" w:pos="900"/>
        </w:tabs>
        <w:rPr>
          <w:rFonts w:ascii="宋体" w:hAnsi="宋体" w:eastAsia="宋体" w:cs="Times New Roman"/>
          <w:sz w:val="24"/>
          <w:szCs w:val="24"/>
        </w:rPr>
      </w:pPr>
      <w:r>
        <w:rPr>
          <w:rFonts w:hint="eastAsia" w:ascii="宋体" w:hAnsi="宋体" w:eastAsia="宋体" w:cs="宋体"/>
          <w:sz w:val="24"/>
          <w:szCs w:val="24"/>
        </w:rPr>
        <w:t xml:space="preserve">致： </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1．我们决定参加贵方组织的</w:t>
      </w:r>
      <w:r>
        <w:rPr>
          <w:rFonts w:hint="eastAsia" w:ascii="宋体" w:hAnsi="宋体" w:eastAsia="宋体" w:cs="宋体"/>
          <w:sz w:val="24"/>
          <w:szCs w:val="24"/>
          <w:u w:val="single"/>
        </w:rPr>
        <w:t xml:space="preserve">             </w:t>
      </w:r>
      <w:r>
        <w:rPr>
          <w:rFonts w:hint="eastAsia" w:ascii="宋体" w:hAnsi="宋体" w:eastAsia="宋体" w:cs="宋体"/>
          <w:sz w:val="24"/>
          <w:szCs w:val="24"/>
        </w:rPr>
        <w:t>（编号：</w:t>
      </w:r>
      <w:r>
        <w:rPr>
          <w:rFonts w:hint="eastAsia" w:ascii="宋体" w:hAnsi="宋体" w:eastAsia="宋体" w:cs="宋体"/>
          <w:sz w:val="24"/>
          <w:szCs w:val="24"/>
          <w:u w:val="single"/>
        </w:rPr>
        <w:t xml:space="preserve">              </w:t>
      </w:r>
      <w:r>
        <w:rPr>
          <w:rFonts w:hint="eastAsia" w:ascii="宋体" w:hAnsi="宋体" w:eastAsia="宋体" w:cs="宋体"/>
          <w:sz w:val="24"/>
          <w:szCs w:val="24"/>
        </w:rPr>
        <w:t>）竞争性磋商活动。我方授权(姓名和职务)代表我方（磋商响应单位的名称）全权处理本项目磋商的有关事宜。</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2．我方愿意按照竞争性磋商文件规定的各项要求，向采购人提供所需的服务。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3．我方愿意按照竞争性磋商文件规定的要求，缴纳磋商响应保证金</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4．一旦我方被推荐为成交供应商，我方将严格履行合同规定的责任和义务。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5．我方为本项目提交的磋商响应书一式三份，其中正本一份、副本二份。</w:t>
      </w:r>
    </w:p>
    <w:p>
      <w:pPr>
        <w:tabs>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6．我方愿意提供贵方可能另外要求的、与磋商有关的文件资料，并保证我方已提供和将要提供的文件是真实的、准确的。</w:t>
      </w:r>
    </w:p>
    <w:p>
      <w:pPr>
        <w:tabs>
          <w:tab w:val="left" w:pos="0"/>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7．我方完全理解贵方不一定将合同授予最低报价（折扣）的供应商。</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磋商响应单位名称：（公    章）</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磋商响应单位授权代表姓名（签字）：</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日    期：</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通讯地址：</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邮政编码：           电   话：          传    真：</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 xml:space="preserve">磋商响应单位开户行: </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 xml:space="preserve">账          号: </w:t>
      </w:r>
    </w:p>
    <w:p>
      <w:pPr>
        <w:pStyle w:val="20"/>
        <w:widowControl/>
        <w:rPr>
          <w:rFonts w:ascii="宋体" w:hAnsi="宋体" w:eastAsia="宋体" w:cs="宋体"/>
          <w:b/>
          <w:bCs/>
          <w:sz w:val="28"/>
          <w:szCs w:val="28"/>
        </w:rPr>
      </w:pPr>
      <w:bookmarkStart w:id="23" w:name="_Toc383776354"/>
    </w:p>
    <w:p>
      <w:pPr>
        <w:pStyle w:val="20"/>
        <w:widowControl/>
        <w:rPr>
          <w:rFonts w:ascii="宋体" w:hAnsi="宋体" w:eastAsia="宋体" w:cs="宋体"/>
          <w:b/>
          <w:bCs/>
          <w:sz w:val="28"/>
          <w:szCs w:val="28"/>
        </w:rPr>
      </w:pPr>
    </w:p>
    <w:p>
      <w:pPr>
        <w:pStyle w:val="20"/>
        <w:widowControl/>
        <w:rPr>
          <w:rFonts w:ascii="宋体" w:hAnsi="宋体" w:eastAsia="宋体"/>
          <w:b/>
          <w:bCs/>
          <w:sz w:val="28"/>
          <w:szCs w:val="28"/>
        </w:rPr>
      </w:pPr>
      <w:r>
        <w:rPr>
          <w:rFonts w:hint="eastAsia" w:ascii="宋体" w:hAnsi="宋体" w:eastAsia="宋体" w:cs="宋体"/>
          <w:b/>
          <w:bCs/>
          <w:sz w:val="28"/>
          <w:szCs w:val="28"/>
        </w:rPr>
        <w:t>二、</w:t>
      </w:r>
      <w:bookmarkEnd w:id="23"/>
      <w:r>
        <w:rPr>
          <w:rFonts w:hint="eastAsia" w:ascii="宋体" w:hAnsi="宋体" w:eastAsia="宋体" w:cs="宋体"/>
          <w:b/>
          <w:bCs/>
          <w:sz w:val="28"/>
          <w:szCs w:val="28"/>
        </w:rPr>
        <w:t>技术服务方案</w:t>
      </w:r>
    </w:p>
    <w:p>
      <w:pPr>
        <w:wordWrap w:val="0"/>
        <w:adjustRightInd w:val="0"/>
        <w:snapToGrid w:val="0"/>
        <w:rPr>
          <w:rFonts w:ascii="宋体" w:hAnsi="宋体" w:eastAsia="宋体" w:cs="宋体"/>
          <w:b/>
          <w:sz w:val="28"/>
          <w:szCs w:val="28"/>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（一）供应商简介</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（不超过1000字）</w:t>
      </w:r>
    </w:p>
    <w:p>
      <w:pPr>
        <w:wordWrap w:val="0"/>
        <w:adjustRightInd w:val="0"/>
        <w:snapToGrid w:val="0"/>
        <w:rPr>
          <w:rFonts w:ascii="宋体" w:hAnsi="宋体" w:eastAsia="宋体" w:cs="宋体"/>
          <w:b/>
          <w:sz w:val="24"/>
          <w:szCs w:val="24"/>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（二）技术服务方案</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（详细说明）</w:t>
      </w:r>
    </w:p>
    <w:p>
      <w:pPr>
        <w:rPr>
          <w:rFonts w:ascii="宋体" w:hAnsi="宋体" w:eastAsia="宋体"/>
          <w:color w:val="FF0000"/>
          <w:sz w:val="28"/>
          <w:szCs w:val="28"/>
        </w:rPr>
      </w:pPr>
    </w:p>
    <w:p>
      <w:pPr>
        <w:pStyle w:val="20"/>
        <w:widowControl/>
        <w:rPr>
          <w:rFonts w:ascii="宋体" w:hAnsi="宋体" w:eastAsia="宋体"/>
          <w:b/>
          <w:bCs/>
          <w:sz w:val="28"/>
          <w:szCs w:val="28"/>
        </w:rPr>
      </w:pPr>
      <w:bookmarkStart w:id="24" w:name="_Toc383776356"/>
      <w:r>
        <w:rPr>
          <w:rFonts w:hint="eastAsia" w:ascii="宋体" w:hAnsi="宋体" w:eastAsia="宋体" w:cs="宋体"/>
          <w:b/>
          <w:bCs/>
          <w:sz w:val="28"/>
          <w:szCs w:val="28"/>
        </w:rPr>
        <w:t>三、法定代表人授权书</w:t>
      </w:r>
      <w:bookmarkEnd w:id="24"/>
    </w:p>
    <w:p>
      <w:pPr>
        <w:rPr>
          <w:rFonts w:ascii="宋体" w:hAnsi="宋体" w:eastAsia="宋体"/>
          <w:b/>
          <w:bCs/>
          <w:sz w:val="28"/>
          <w:szCs w:val="28"/>
        </w:rPr>
      </w:pPr>
    </w:p>
    <w:p>
      <w:pPr>
        <w:pStyle w:val="8"/>
        <w:widowControl/>
        <w:tabs>
          <w:tab w:val="left" w:pos="900"/>
        </w:tabs>
        <w:spacing w:line="360" w:lineRule="auto"/>
        <w:rPr>
          <w:rFonts w:ascii="宋体" w:hAnsi="宋体" w:eastAsia="宋体" w:cs="Times New Roman"/>
          <w:sz w:val="24"/>
          <w:szCs w:val="24"/>
        </w:rPr>
      </w:pPr>
      <w:r>
        <w:rPr>
          <w:rFonts w:hint="eastAsia" w:ascii="宋体" w:hAnsi="宋体" w:eastAsia="宋体" w:cs="宋体"/>
          <w:sz w:val="24"/>
          <w:szCs w:val="24"/>
        </w:rPr>
        <w:t>致：</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本授权书声明：</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（供应商名称）的</w:t>
      </w:r>
      <w:r>
        <w:rPr>
          <w:rFonts w:hint="eastAsia" w:ascii="宋体" w:hAnsi="宋体" w:eastAsia="宋体" w:cs="宋体"/>
          <w:sz w:val="24"/>
          <w:szCs w:val="24"/>
          <w:u w:val="single"/>
        </w:rPr>
        <w:t xml:space="preserve">     </w:t>
      </w:r>
      <w:r>
        <w:rPr>
          <w:rFonts w:hint="eastAsia" w:ascii="宋体" w:hAnsi="宋体" w:eastAsia="宋体" w:cs="宋体"/>
          <w:sz w:val="24"/>
          <w:szCs w:val="24"/>
        </w:rPr>
        <w:t>（法人代表姓名、职务）授权</w:t>
      </w:r>
      <w:r>
        <w:rPr>
          <w:rFonts w:hint="eastAsia" w:ascii="宋体" w:hAnsi="宋体" w:eastAsia="宋体" w:cs="宋体"/>
          <w:sz w:val="24"/>
          <w:szCs w:val="24"/>
          <w:u w:val="single"/>
        </w:rPr>
        <w:t xml:space="preserve">   </w:t>
      </w:r>
      <w:r>
        <w:rPr>
          <w:rFonts w:hint="eastAsia" w:ascii="宋体" w:hAnsi="宋体" w:eastAsia="宋体" w:cs="宋体"/>
          <w:sz w:val="24"/>
          <w:szCs w:val="24"/>
        </w:rPr>
        <w:t>（被授权人的姓名、职务）为我方就＂</w:t>
      </w:r>
      <w:r>
        <w:rPr>
          <w:rFonts w:hint="eastAsia" w:ascii="宋体" w:hAnsi="宋体" w:eastAsia="宋体" w:cs="宋体"/>
          <w:sz w:val="24"/>
          <w:szCs w:val="24"/>
          <w:u w:val="single"/>
        </w:rPr>
        <w:t>（项目全称）</w:t>
      </w:r>
      <w:r>
        <w:rPr>
          <w:rFonts w:hint="eastAsia" w:ascii="宋体" w:hAnsi="宋体" w:eastAsia="宋体" w:cs="宋体"/>
          <w:sz w:val="24"/>
          <w:szCs w:val="24"/>
        </w:rPr>
        <w:t>＂竞争性磋商活动的合法代理人，以我方名义全权处理与该项目响应、磋商、签订合同以及合同执行有关的一切事务。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特此声明。</w:t>
      </w: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法定代表人（签字并盖章）：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代理人（被授权人）签字或盖章：</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供应商名称：（公章）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日      期：</w:t>
      </w:r>
    </w:p>
    <w:p>
      <w:pPr>
        <w:pStyle w:val="2"/>
        <w:widowControl/>
        <w:spacing w:before="0" w:after="0" w:line="360" w:lineRule="auto"/>
        <w:ind w:firstLine="480" w:firstLineChars="200"/>
        <w:rPr>
          <w:rFonts w:ascii="宋体" w:hAnsi="宋体" w:eastAsia="宋体" w:cs="Times New Roman"/>
          <w:b w:val="0"/>
          <w:bCs w:val="0"/>
          <w:sz w:val="24"/>
          <w:szCs w:val="24"/>
        </w:rPr>
      </w:pPr>
      <w:r>
        <w:rPr>
          <w:rFonts w:hint="eastAsia" w:ascii="宋体" w:hAnsi="宋体" w:eastAsia="宋体" w:cs="宋体"/>
          <w:b w:val="0"/>
          <w:bCs w:val="0"/>
          <w:sz w:val="24"/>
          <w:szCs w:val="24"/>
        </w:rPr>
        <w:t>（提供供应商法定代表人、被授权代表人身份证复印件）</w:t>
      </w:r>
    </w:p>
    <w:p>
      <w:pPr>
        <w:ind w:firstLine="560" w:firstLineChars="200"/>
        <w:rPr>
          <w:rFonts w:ascii="宋体" w:hAnsi="宋体" w:eastAsia="宋体"/>
          <w:sz w:val="28"/>
          <w:szCs w:val="28"/>
          <w:u w:val="single"/>
        </w:rPr>
      </w:pPr>
    </w:p>
    <w:p>
      <w:pPr>
        <w:pStyle w:val="20"/>
        <w:widowControl/>
        <w:rPr>
          <w:rFonts w:ascii="宋体" w:hAnsi="宋体" w:eastAsia="宋体"/>
          <w:b/>
          <w:bCs/>
          <w:sz w:val="28"/>
          <w:szCs w:val="28"/>
        </w:rPr>
      </w:pPr>
      <w:r>
        <w:rPr>
          <w:rFonts w:hint="eastAsia" w:ascii="宋体" w:hAnsi="宋体" w:eastAsia="宋体"/>
          <w:sz w:val="28"/>
          <w:szCs w:val="28"/>
        </w:rPr>
        <w:br w:type="page"/>
      </w:r>
      <w:bookmarkStart w:id="25" w:name="_Toc383776357"/>
      <w:r>
        <w:rPr>
          <w:rFonts w:hint="eastAsia" w:ascii="宋体" w:hAnsi="宋体" w:eastAsia="宋体" w:cs="宋体"/>
          <w:b/>
          <w:bCs/>
          <w:sz w:val="28"/>
          <w:szCs w:val="28"/>
        </w:rPr>
        <w:t>四、资格证明文件</w:t>
      </w:r>
      <w:bookmarkEnd w:id="25"/>
    </w:p>
    <w:p>
      <w:pPr>
        <w:spacing w:line="360" w:lineRule="auto"/>
        <w:ind w:firstLine="480" w:firstLineChars="200"/>
        <w:rPr>
          <w:rFonts w:ascii="宋体" w:hAnsi="宋体" w:eastAsia="宋体" w:cs="宋体"/>
          <w:sz w:val="24"/>
          <w:szCs w:val="24"/>
        </w:rPr>
      </w:pPr>
      <w:bookmarkStart w:id="26" w:name="_Toc383776358"/>
      <w:bookmarkStart w:id="27" w:name="_Toc380389245"/>
      <w:r>
        <w:rPr>
          <w:rFonts w:hint="eastAsia" w:ascii="宋体" w:hAnsi="宋体" w:eastAsia="宋体" w:cs="宋体"/>
          <w:sz w:val="24"/>
          <w:szCs w:val="24"/>
        </w:rPr>
        <w:t>（一）营业执照</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（二）磋商保证金转账单据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（三）承诺函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（四）供应商认为需要提交的其它资料</w:t>
      </w:r>
    </w:p>
    <w:bookmarkEnd w:id="26"/>
    <w:bookmarkEnd w:id="27"/>
    <w:p>
      <w:pPr>
        <w:pStyle w:val="20"/>
        <w:widowControl/>
        <w:spacing w:line="360" w:lineRule="auto"/>
        <w:jc w:val="left"/>
        <w:rPr>
          <w:rFonts w:ascii="宋体" w:hAnsi="宋体" w:eastAsia="宋体" w:cs="宋体"/>
          <w:b/>
          <w:bCs/>
          <w:sz w:val="24"/>
          <w:szCs w:val="24"/>
        </w:rPr>
      </w:pPr>
      <w:bookmarkStart w:id="28" w:name="_Toc383776359"/>
    </w:p>
    <w:p>
      <w:pPr>
        <w:pStyle w:val="20"/>
        <w:widowControl/>
        <w:spacing w:line="360" w:lineRule="auto"/>
        <w:jc w:val="left"/>
        <w:rPr>
          <w:rFonts w:ascii="宋体" w:hAnsi="宋体" w:eastAsia="宋体" w:cs="宋体"/>
          <w:b/>
          <w:bCs/>
          <w:sz w:val="24"/>
          <w:szCs w:val="24"/>
        </w:rPr>
      </w:pPr>
    </w:p>
    <w:p>
      <w:pPr>
        <w:pStyle w:val="20"/>
        <w:widowControl/>
        <w:spacing w:line="360" w:lineRule="auto"/>
        <w:jc w:val="left"/>
        <w:rPr>
          <w:rFonts w:ascii="宋体" w:hAnsi="宋体" w:eastAsia="宋体" w:cs="宋体"/>
          <w:b/>
          <w:bCs/>
          <w:sz w:val="24"/>
          <w:szCs w:val="24"/>
        </w:rPr>
      </w:pPr>
    </w:p>
    <w:p>
      <w:pPr>
        <w:pStyle w:val="20"/>
        <w:widowControl/>
        <w:spacing w:line="360" w:lineRule="auto"/>
        <w:rPr>
          <w:rFonts w:ascii="宋体" w:hAnsi="宋体" w:eastAsia="宋体"/>
          <w:b/>
          <w:bCs/>
          <w:sz w:val="28"/>
          <w:szCs w:val="28"/>
        </w:rPr>
      </w:pPr>
      <w:r>
        <w:rPr>
          <w:rFonts w:hint="eastAsia" w:ascii="宋体" w:hAnsi="宋体" w:eastAsia="宋体" w:cs="宋体"/>
          <w:b/>
          <w:bCs/>
          <w:sz w:val="28"/>
          <w:szCs w:val="28"/>
        </w:rPr>
        <w:t>五、本磋商文件需要提供的其他证明材料</w:t>
      </w:r>
      <w:bookmarkEnd w:id="28"/>
    </w:p>
    <w:p>
      <w:pPr>
        <w:jc w:val="center"/>
        <w:rPr>
          <w:rFonts w:hint="eastAsia" w:ascii="宋体" w:hAnsi="宋体" w:eastAsia="宋体"/>
        </w:rPr>
        <w:sectPr>
          <w:footerReference r:id="rId10" w:type="first"/>
          <w:footerReference r:id="rId9" w:type="default"/>
          <w:pgSz w:w="11906" w:h="16838"/>
          <w:pgMar w:top="1440" w:right="1689" w:bottom="1440" w:left="1689" w:header="851" w:footer="992" w:gutter="0"/>
          <w:cols w:space="720" w:num="1"/>
          <w:titlePg/>
          <w:docGrid w:type="lines" w:linePitch="319" w:charSpace="0"/>
        </w:sectPr>
      </w:pPr>
    </w:p>
    <w:p>
      <w:pPr>
        <w:jc w:val="center"/>
        <w:rPr>
          <w:rFonts w:ascii="宋体" w:hAnsi="宋体" w:eastAsia="宋体" w:cs="宋体"/>
          <w:b/>
          <w:bCs/>
          <w:sz w:val="28"/>
          <w:szCs w:val="28"/>
        </w:rPr>
      </w:pPr>
      <w:r>
        <w:rPr>
          <w:rFonts w:hint="eastAsia" w:ascii="宋体" w:hAnsi="宋体" w:eastAsia="宋体" w:cs="宋体"/>
          <w:b/>
          <w:bCs/>
          <w:sz w:val="28"/>
          <w:szCs w:val="28"/>
        </w:rPr>
        <w:t>六、磋商响应</w:t>
      </w:r>
      <w:r>
        <w:rPr>
          <w:rFonts w:hint="eastAsia" w:ascii="宋体" w:hAnsi="宋体" w:cs="宋体"/>
          <w:b/>
          <w:bCs/>
          <w:sz w:val="28"/>
          <w:szCs w:val="28"/>
          <w:lang w:eastAsia="zh-CN"/>
        </w:rPr>
        <w:t>承诺</w:t>
      </w:r>
      <w:r>
        <w:rPr>
          <w:rFonts w:hint="eastAsia" w:ascii="宋体" w:hAnsi="宋体" w:eastAsia="宋体" w:cs="宋体"/>
          <w:b/>
          <w:bCs/>
          <w:sz w:val="28"/>
          <w:szCs w:val="28"/>
        </w:rPr>
        <w:t>表</w:t>
      </w:r>
    </w:p>
    <w:p>
      <w:pPr>
        <w:rPr>
          <w:sz w:val="24"/>
        </w:rPr>
      </w:pPr>
      <w:r>
        <w:rPr>
          <w:rFonts w:hint="eastAsia" w:ascii="宋体" w:hAnsi="宋体" w:cs="宋体"/>
          <w:bCs/>
          <w:kern w:val="0"/>
        </w:rPr>
        <w:t>项</w:t>
      </w:r>
      <w:r>
        <w:rPr>
          <w:rFonts w:hint="eastAsia" w:ascii="宋体" w:hAnsi="宋体" w:cs="宋体"/>
        </w:rPr>
        <w:t>目名称</w:t>
      </w:r>
      <w:r>
        <w:rPr>
          <w:rFonts w:hint="eastAsia"/>
        </w:rPr>
        <w:t>：</w:t>
      </w:r>
      <w:r>
        <w:rPr>
          <w:rFonts w:hint="eastAsia"/>
          <w:u w:val="single"/>
        </w:rPr>
        <w:t xml:space="preserve"> </w:t>
      </w:r>
      <w:r>
        <w:rPr>
          <w:rFonts w:hint="eastAsia"/>
          <w:u w:val="single"/>
          <w:lang w:eastAsia="zh-CN"/>
        </w:rPr>
        <w:t>铜陵学院互联网+大学安全教育平台服务采购项目</w:t>
      </w:r>
      <w:r>
        <w:rPr>
          <w:rFonts w:hint="eastAsia"/>
          <w:u w:val="single"/>
        </w:rPr>
        <w:t xml:space="preserve"> </w:t>
      </w:r>
      <w:r>
        <w:rPr>
          <w:rFonts w:hint="eastAsia"/>
        </w:rPr>
        <w:t xml:space="preserve"> </w:t>
      </w:r>
      <w:r>
        <w:rPr>
          <w:rFonts w:hint="eastAsia" w:ascii="仿宋_GB2312" w:hAnsi="宋体" w:eastAsia="仿宋_GB2312" w:cs="宋体"/>
          <w:bCs/>
          <w:kern w:val="0"/>
          <w:sz w:val="24"/>
        </w:rPr>
        <w:t xml:space="preserve">                           </w:t>
      </w:r>
    </w:p>
    <w:tbl>
      <w:tblPr>
        <w:tblStyle w:val="15"/>
        <w:tblW w:w="14269"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9"/>
        <w:gridCol w:w="11376"/>
        <w:gridCol w:w="888"/>
        <w:gridCol w:w="8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2"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cs="宋体"/>
                <w:bCs/>
                <w:kern w:val="0"/>
              </w:rPr>
            </w:pPr>
            <w:r>
              <w:rPr>
                <w:rFonts w:hint="eastAsia" w:ascii="宋体" w:hAnsi="宋体" w:cs="宋体"/>
                <w:bCs/>
                <w:kern w:val="0"/>
              </w:rPr>
              <w:t>项目(设备)名称</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cs="宋体"/>
                <w:bCs/>
                <w:kern w:val="0"/>
              </w:rPr>
            </w:pPr>
            <w:r>
              <w:rPr>
                <w:rFonts w:hint="eastAsia" w:ascii="宋体" w:hAnsi="宋体" w:cs="宋体"/>
                <w:bCs/>
                <w:kern w:val="0"/>
              </w:rPr>
              <w:t>详细技术参数或规格型号要求</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bCs/>
                <w:kern w:val="0"/>
                <w:lang w:eastAsia="zh-CN"/>
              </w:rPr>
            </w:pPr>
            <w:r>
              <w:rPr>
                <w:rFonts w:hint="eastAsia" w:ascii="宋体" w:hAnsi="宋体" w:cs="宋体"/>
                <w:bCs/>
                <w:kern w:val="0"/>
                <w:lang w:eastAsia="zh-CN"/>
              </w:rPr>
              <w:t>响应表</w:t>
            </w:r>
          </w:p>
        </w:tc>
        <w:tc>
          <w:tcPr>
            <w:tcW w:w="8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cs="宋体"/>
                <w:bCs/>
                <w:kern w:val="0"/>
              </w:rPr>
            </w:pPr>
            <w:r>
              <w:rPr>
                <w:rFonts w:hint="eastAsia" w:ascii="宋体" w:hAnsi="宋体" w:cs="宋体"/>
                <w:bCs/>
                <w:kern w:val="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cs="宋体"/>
                <w:bCs/>
                <w:kern w:val="0"/>
              </w:rPr>
            </w:pPr>
            <w:r>
              <w:rPr>
                <w:rFonts w:hint="eastAsia" w:ascii="宋体" w:hAnsi="宋体" w:eastAsia="宋体" w:cs="宋体"/>
                <w:kern w:val="2"/>
                <w:sz w:val="21"/>
                <w:szCs w:val="21"/>
                <w:lang w:val="en-US" w:eastAsia="zh-CN" w:bidi="ar"/>
              </w:rPr>
              <w:t>系统功能</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（1）系统设计满足大规模用户使用，支持分布式部署，采用云服务的部署方式。</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（2）★系统提供APP移动客户端，需支持iOS和Android系统，并与PC端对接，支持学生线上学习和教师线上管理，支持开展线上活动。</w:t>
            </w:r>
          </w:p>
          <w:p>
            <w:pPr>
              <w:keepNext w:val="0"/>
              <w:keepLines w:val="0"/>
              <w:widowControl w:val="0"/>
              <w:suppressLineNumbers w:val="0"/>
              <w:spacing w:before="0" w:beforeAutospacing="0" w:after="0" w:afterAutospacing="0" w:line="240" w:lineRule="auto"/>
              <w:ind w:left="0" w:leftChars="0" w:right="0" w:right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（3）★系统提供专属门户，采用B/S结构，基于J2EE架构，页面采用Web2.0 AJAX开发，不需要另行安装插件就可以支持IE9及以上版本、safari、firefox、chrome等浏览器。</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层级管理</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（1）角色管理：可建立学生、教师、管理员、超级管理员等角色，各级管理员也可以根据自身的需求创建角色和为角色指定权限。</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（2）权限管理：可为每个导航功能点分配访问、管理等不同的权限，管理员可以批量给用户分配、收回权限，具有权限整体移交功能。</w:t>
            </w:r>
          </w:p>
          <w:p>
            <w:pPr>
              <w:keepNext w:val="0"/>
              <w:keepLines w:val="0"/>
              <w:widowControl w:val="0"/>
              <w:suppressLineNumbers w:val="0"/>
              <w:spacing w:before="0" w:beforeAutospacing="0" w:after="0" w:afterAutospacing="0" w:line="240" w:lineRule="auto"/>
              <w:ind w:left="0" w:leftChars="0" w:right="0" w:right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（3）机构和用户管理：管理员可以批量增加、删除、修改组织机构树，可单个、批量增加、删除、修改、查找用户信息。</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安全课程</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）★课程体系需完整，应具备前置入学安全课程、在校安全课程，以及面向教职工的安全管理课程。</w:t>
            </w:r>
          </w:p>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）课程形式丰富，应包括专家授课、动画微课、情景再现等。</w:t>
            </w:r>
          </w:p>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）★课程包含的教学知识点应不低于</w:t>
            </w:r>
            <w:r>
              <w:rPr>
                <w:rFonts w:hint="default" w:ascii="Times New Roman" w:hAnsi="Times New Roman" w:eastAsia="宋体" w:cs="Times New Roman"/>
                <w:kern w:val="2"/>
                <w:sz w:val="21"/>
                <w:szCs w:val="24"/>
                <w:lang w:val="en-US" w:eastAsia="zh-CN" w:bidi="ar"/>
              </w:rPr>
              <w:t>80</w:t>
            </w:r>
            <w:r>
              <w:rPr>
                <w:rFonts w:hint="eastAsia" w:ascii="Times New Roman" w:hAnsi="Times New Roman" w:eastAsia="宋体" w:cs="宋体"/>
                <w:kern w:val="2"/>
                <w:sz w:val="21"/>
                <w:szCs w:val="24"/>
                <w:lang w:val="en-US" w:eastAsia="zh-CN" w:bidi="ar"/>
              </w:rPr>
              <w:t>个，每个知识点是不低于</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分钟的微视频，每个知识点配备测验题。</w:t>
            </w:r>
          </w:p>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4</w:t>
            </w:r>
            <w:r>
              <w:rPr>
                <w:rFonts w:hint="eastAsia" w:ascii="Times New Roman" w:hAnsi="Times New Roman" w:eastAsia="宋体" w:cs="宋体"/>
                <w:kern w:val="2"/>
                <w:sz w:val="21"/>
                <w:szCs w:val="24"/>
                <w:lang w:val="en-US" w:eastAsia="zh-CN" w:bidi="ar"/>
              </w:rPr>
              <w:t>）★课程内容包括但不限于以下内容：安全意识、人身财产安全、正确的恋爱观、诈骗电信诈骗、防范新型诈骗、防范传销、防范盗窃、预防艾滋病、新冠肺炎防控、国家安全、女生安全、消防安全、远离黄赌毒、网络安全、公共安全、防灾减灾、急救常识、意外伤害预防与处理、防溺水、心里安全、交通安全、运动安全、实习实践与求职就业、留学安全、实验室安全、校园安全管理者应具有的基本安全素养、校园安全与安全科学基本原理课程等</w:t>
            </w:r>
            <w:r>
              <w:rPr>
                <w:rFonts w:hint="default" w:ascii="Times New Roman" w:hAnsi="Times New Roman" w:eastAsia="宋体" w:cs="Times New Roman"/>
                <w:kern w:val="2"/>
                <w:sz w:val="21"/>
                <w:szCs w:val="24"/>
                <w:lang w:val="en-US" w:eastAsia="zh-CN" w:bidi="ar"/>
              </w:rPr>
              <w:t>26</w:t>
            </w:r>
            <w:r>
              <w:rPr>
                <w:rFonts w:hint="eastAsia" w:ascii="Times New Roman" w:hAnsi="Times New Roman" w:eastAsia="宋体" w:cs="宋体"/>
                <w:kern w:val="2"/>
                <w:sz w:val="21"/>
                <w:szCs w:val="24"/>
                <w:lang w:val="en-US" w:eastAsia="zh-CN" w:bidi="ar"/>
              </w:rPr>
              <w:t>个模块。</w:t>
            </w:r>
          </w:p>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5</w:t>
            </w:r>
            <w:r>
              <w:rPr>
                <w:rFonts w:hint="eastAsia" w:ascii="Times New Roman" w:hAnsi="Times New Roman" w:eastAsia="宋体" w:cs="宋体"/>
                <w:kern w:val="2"/>
                <w:sz w:val="21"/>
                <w:szCs w:val="24"/>
                <w:lang w:val="en-US" w:eastAsia="zh-CN" w:bidi="ar"/>
              </w:rPr>
              <w:t>）★具备安全教育辅学资源，通过平台能检索到安全相关的图书专题频、期刊文章、法律法规、讲座视频等内容。</w:t>
            </w:r>
          </w:p>
          <w:p>
            <w:pPr>
              <w:keepNext w:val="0"/>
              <w:keepLines w:val="0"/>
              <w:widowControl w:val="0"/>
              <w:suppressLineNumbers w:val="0"/>
              <w:spacing w:before="0" w:beforeAutospacing="0" w:after="0" w:afterAutospacing="0" w:line="240" w:lineRule="auto"/>
              <w:ind w:left="0" w:right="0"/>
              <w:jc w:val="both"/>
              <w:rPr>
                <w:rFonts w:hint="default"/>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6</w:t>
            </w:r>
            <w:r>
              <w:rPr>
                <w:rFonts w:hint="eastAsia" w:ascii="Times New Roman" w:hAnsi="Times New Roman" w:eastAsia="宋体" w:cs="宋体"/>
                <w:kern w:val="2"/>
                <w:sz w:val="21"/>
                <w:szCs w:val="24"/>
                <w:lang w:val="en-US" w:eastAsia="zh-CN" w:bidi="ar"/>
              </w:rPr>
              <w:t>）提供教宣资料供用户活动宣传使用，资料覆盖范围包括但不限于国家安全、新生安全、消防安全、网络安全、防范电信诈骗等。</w:t>
            </w:r>
          </w:p>
          <w:p>
            <w:pPr>
              <w:pStyle w:val="14"/>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（7）防范电信诈骗、新型诈骗的案例视频不低于30个。</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安全门户</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（1）安全门户支持主流浏览器打开，用户可以在门户浏览信息。</w:t>
            </w:r>
          </w:p>
          <w:p>
            <w:pPr>
              <w:pStyle w:val="14"/>
              <w:keepNext w:val="0"/>
              <w:keepLines w:val="0"/>
              <w:widowControl w:val="0"/>
              <w:suppressLineNumbers w:val="0"/>
              <w:spacing w:before="0" w:beforeAutospacing="0" w:after="0" w:afterAutospacing="0" w:line="240" w:lineRule="auto"/>
              <w:ind w:left="0" w:right="0" w:firstLine="0" w:firstLineChars="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（2）门户页面支持用户登录到个人空间，管理员登录到管理后台。</w:t>
            </w:r>
          </w:p>
          <w:p>
            <w:pPr>
              <w:pStyle w:val="14"/>
              <w:keepNext w:val="0"/>
              <w:keepLines w:val="0"/>
              <w:widowControl w:val="0"/>
              <w:suppressLineNumbers w:val="0"/>
              <w:spacing w:before="0" w:beforeAutospacing="0" w:after="0" w:afterAutospacing="0" w:line="240" w:lineRule="auto"/>
              <w:ind w:left="0" w:right="0" w:firstLine="0" w:firstLineChars="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（3）门户拥有安全资讯、安全法规、安全知识等模块，拥有轮播图展示区，并支持轮播图更换。</w:t>
            </w:r>
          </w:p>
          <w:p>
            <w:pPr>
              <w:pStyle w:val="14"/>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_GB2312" w:hAnsi="宋体" w:eastAsia="仿宋_GB2312" w:cs="宋体"/>
                <w:bCs/>
                <w:kern w:val="0"/>
              </w:rPr>
            </w:pPr>
            <w:r>
              <w:rPr>
                <w:rFonts w:hint="eastAsia" w:ascii="宋体" w:hAnsi="宋体" w:eastAsia="宋体" w:cs="宋体"/>
                <w:kern w:val="2"/>
                <w:sz w:val="21"/>
                <w:szCs w:val="24"/>
                <w:lang w:val="en-US" w:eastAsia="zh-CN" w:bidi="ar"/>
              </w:rPr>
              <w:t>（4）后台管理支持页面各模块的内容删除、添加，支持添加新的栏目。</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教学管理</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（1）支持多种模式的安全教育教学，包括但不限于辅助教学、翻转课堂、纯网络学习、网络修学分、直播课等模式。</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（2）★PC端与移动端的学习进度保持同步，可以实现学习记录的持续性，系统也可对任何终端的学习行为进行监控。</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（3）支持在线交流、在线学习、在线考试，实时展现课程学习要求、已完成进度、待完成任务。</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（4）教师端提供课程管理、班级管理、教师团队管理、助教管理、统计、考试及作业管理、课程通告管理等，支持进度统计功能、成绩统计并支持成绩导出和课程运行报告导出。</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（5）★教师可以针对每一个教学班对每个章节学习内容进行“开放、定时开放、固定模式开放、关闭”等设置。</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（6）可以跟踪记录并统计基于每个学生的课程登录次数、作业和测试完成情况、参加答疑讨论的情况等多项学习考核指标。</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（7）教师可以将课程章节内视频、图书、作业等内容设置为任务点，要求学生必须完成，灵活控制学生学习的情况。</w:t>
            </w:r>
          </w:p>
          <w:p>
            <w:pPr>
              <w:keepNext w:val="0"/>
              <w:keepLines w:val="0"/>
              <w:widowControl w:val="0"/>
              <w:suppressLineNumbers w:val="0"/>
              <w:spacing w:before="0" w:beforeAutospacing="0" w:after="0" w:afterAutospacing="0" w:line="240" w:lineRule="auto"/>
              <w:ind w:left="0" w:leftChars="0" w:right="0" w:rightChars="0"/>
              <w:jc w:val="left"/>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（8）★APP可以实现课堂签到、问题抢答、随机选人、课堂投票等功能。</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考试管理</w:t>
            </w:r>
          </w:p>
        </w:tc>
        <w:tc>
          <w:tcPr>
            <w:tcW w:w="11376" w:type="dxa"/>
            <w:tcBorders>
              <w:top w:val="single" w:color="auto" w:sz="4" w:space="0"/>
              <w:left w:val="single" w:color="auto" w:sz="4" w:space="0"/>
              <w:bottom w:val="single" w:color="auto" w:sz="4" w:space="0"/>
              <w:right w:val="single" w:color="auto" w:sz="4" w:space="0"/>
            </w:tcBorders>
            <w:vAlign w:val="center"/>
          </w:tcPr>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（1）提供不低于1000道的安全知识相关的试题。</w:t>
            </w:r>
          </w:p>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（2）考试时间：可以设置考试开始时间、截至时间、考试时长，最早交卷时间、最晚进入考试时间。</w:t>
            </w:r>
          </w:p>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（3）考试发放：平台支持针对考试发放对象的选择，可选择全部发放，也可以选择按班级发放。</w:t>
            </w:r>
          </w:p>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（4）支持教师在线编辑试题，包括单选题、多选题、填空题、判断题、简答题等题型。</w:t>
            </w:r>
          </w:p>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（5）★题库建设时可直接从文档中智能识别题并录入题库，识别有误时智能提醒，调整后再次录入。</w:t>
            </w:r>
          </w:p>
          <w:p>
            <w:pPr>
              <w:pStyle w:val="14"/>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（6）★支持系统组卷，组卷过程中可设置难度、章节和知识点对应题目数量，试题分数等参数，支持试题乱序、试卷混排。</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宋体"/>
                <w:bCs/>
                <w:kern w:val="0"/>
                <w:sz w:val="21"/>
                <w:szCs w:val="21"/>
                <w:lang w:val="en-US" w:eastAsia="zh-CN" w:bidi="ar-SA"/>
              </w:rPr>
            </w:pPr>
            <w:r>
              <w:rPr>
                <w:rFonts w:hint="eastAsia" w:ascii="宋体" w:hAnsi="宋体" w:eastAsia="宋体" w:cs="宋体"/>
                <w:kern w:val="2"/>
                <w:sz w:val="21"/>
                <w:szCs w:val="21"/>
                <w:lang w:val="en-US" w:eastAsia="zh-CN" w:bidi="ar"/>
              </w:rPr>
              <w:t>积分管理</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（1）★学习考核以积分制模式进行，学生在系统内发生学习行为时，系统可以根据校方预先设置的分数值，自动记录其行为对应的分数。</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（2）★积分的学习行为需包含以下操作行为：登录、视频观看时长、阅读时长、测验题、讨论、学习笔记。积分维度分值用户可自定义。</w:t>
            </w:r>
          </w:p>
          <w:p>
            <w:pPr>
              <w:pStyle w:val="14"/>
              <w:keepNext w:val="0"/>
              <w:keepLines w:val="0"/>
              <w:widowControl w:val="0"/>
              <w:suppressLineNumbers w:val="0"/>
              <w:spacing w:before="0" w:beforeAutospacing="0" w:after="0" w:afterAutospacing="0" w:line="240" w:lineRule="auto"/>
              <w:ind w:left="0" w:right="0" w:firstLine="0" w:firstLine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（3）★用户应可自定义每日得分上限，视频观看、阅读、测验题等重点学习行为累积得分下限。</w:t>
            </w:r>
          </w:p>
          <w:p>
            <w:pPr>
              <w:pStyle w:val="14"/>
              <w:keepNext w:val="0"/>
              <w:keepLines w:val="0"/>
              <w:widowControl w:val="0"/>
              <w:suppressLineNumbers w:val="0"/>
              <w:spacing w:before="0" w:beforeAutospacing="0" w:after="0" w:afterAutospacing="0" w:line="240" w:lineRule="auto"/>
              <w:ind w:left="0" w:right="0" w:firstLine="0" w:firstLineChars="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（4）用户可自主选择是否设置期末考试。期末考试采取百分制形式，根据预先选定的知识点随机组卷进行考核。</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（5）教师端提供知识点管理、首页设置、积分规则设置、积分管理、班级管理、通知、讨论、资料。</w:t>
            </w:r>
          </w:p>
          <w:p>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（6）★知识点管理支持编辑内容、编辑封面、设置推荐、设置必学。</w:t>
            </w:r>
          </w:p>
          <w:p>
            <w:pPr>
              <w:pStyle w:val="14"/>
              <w:keepNext w:val="0"/>
              <w:keepLines w:val="0"/>
              <w:widowControl w:val="0"/>
              <w:suppressLineNumbers w:val="0"/>
              <w:spacing w:before="0" w:beforeAutospacing="0" w:after="0" w:afterAutospacing="0" w:line="240" w:lineRule="auto"/>
              <w:ind w:left="0" w:right="0" w:firstLine="0" w:firstLineChars="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（7）★积分规则管理支持基础模块积分规则设置、总积分及相关积分上/下限设置、考试成绩设置。</w:t>
            </w:r>
          </w:p>
          <w:p>
            <w:pPr>
              <w:pStyle w:val="14"/>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（8）★积分管理支持学生积分查看、导出积分和管理线下积分活动。</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安全测评</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（1）测评内容体系分为国家安全、消防安全、实验室安全、人身财产安全、交通安全、运动安全、心理健康、应急安全等。</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（2）系统能对测评结果做雷达图分析，测评者能查看结果。</w:t>
            </w:r>
          </w:p>
          <w:p>
            <w:pPr>
              <w:keepNext w:val="0"/>
              <w:keepLines w:val="0"/>
              <w:widowControl w:val="0"/>
              <w:suppressLineNumbers w:val="0"/>
              <w:spacing w:before="0" w:beforeAutospacing="0" w:after="0" w:afterAutospacing="0" w:line="240" w:lineRule="auto"/>
              <w:ind w:left="0" w:leftChars="0" w:right="0" w:right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（3）★允许多次测评，可以根据测评结果进行个性化内容推送。</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安全应用</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（1）系统可在移动端配置隐患上报，该应用支持安全巡检，使用者发现安全隐患，可通过拍摄照片、文字描述等形式上报隐患。</w:t>
            </w:r>
          </w:p>
          <w:p>
            <w:pPr>
              <w:keepNext w:val="0"/>
              <w:keepLines w:val="0"/>
              <w:widowControl w:val="0"/>
              <w:suppressLineNumbers w:val="0"/>
              <w:spacing w:before="0" w:beforeAutospacing="0" w:after="0" w:afterAutospacing="0" w:line="240" w:lineRule="auto"/>
              <w:ind w:left="0" w:leftChars="0" w:right="0" w:right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（2）系统可在移动端配置失物招领小组，支持失物信息发布、查看。</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服务标准</w:t>
            </w:r>
          </w:p>
        </w:tc>
        <w:tc>
          <w:tcPr>
            <w:tcW w:w="113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（1）供应商应提供远程服务，服务标准应不低于：有专门的热线服务，能及时反馈用户需求。</w:t>
            </w:r>
          </w:p>
          <w:p>
            <w:pPr>
              <w:keepNext w:val="0"/>
              <w:keepLines w:val="0"/>
              <w:widowControl w:val="0"/>
              <w:suppressLineNumbers w:val="0"/>
              <w:spacing w:before="0" w:beforeAutospacing="0" w:after="0" w:afterAutospacing="0" w:line="240" w:lineRule="auto"/>
              <w:ind w:left="0" w:leftChars="0" w:right="0" w:rightChars="0"/>
              <w:jc w:val="both"/>
              <w:rPr>
                <w:rFonts w:hint="default" w:ascii="仿宋_GB2312" w:hAnsi="宋体" w:eastAsia="仿宋_GB2312" w:cs="宋体"/>
                <w:bCs/>
                <w:kern w:val="0"/>
              </w:rPr>
            </w:pPr>
            <w:r>
              <w:rPr>
                <w:rFonts w:hint="eastAsia" w:ascii="宋体" w:hAnsi="宋体" w:eastAsia="宋体" w:cs="宋体"/>
                <w:kern w:val="2"/>
                <w:sz w:val="21"/>
                <w:szCs w:val="21"/>
                <w:lang w:val="en-US" w:eastAsia="zh-CN" w:bidi="ar"/>
              </w:rPr>
              <w:t>（2）供应商应提供线下服务，服务标准应不低于：供应商具备本地服务团队，团队规模不少于10人。</w:t>
            </w:r>
          </w:p>
        </w:tc>
        <w:tc>
          <w:tcPr>
            <w:tcW w:w="8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c>
          <w:tcPr>
            <w:tcW w:w="87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240" w:lineRule="auto"/>
              <w:ind w:left="0" w:right="0"/>
              <w:jc w:val="center"/>
              <w:rPr>
                <w:rFonts w:hint="default" w:ascii="仿宋_GB2312" w:hAnsi="宋体" w:eastAsia="仿宋_GB2312" w:cs="宋体"/>
                <w:bCs/>
                <w:kern w:val="0"/>
              </w:rPr>
            </w:pPr>
          </w:p>
        </w:tc>
      </w:tr>
    </w:tbl>
    <w:p>
      <w:pPr>
        <w:spacing w:line="480" w:lineRule="exact"/>
        <w:jc w:val="right"/>
        <w:rPr>
          <w:rFonts w:ascii="宋体" w:hAnsi="宋体" w:eastAsia="宋体" w:cs="宋体"/>
          <w:sz w:val="24"/>
          <w:szCs w:val="24"/>
        </w:rPr>
      </w:pPr>
    </w:p>
    <w:p>
      <w:pPr>
        <w:spacing w:line="480" w:lineRule="exact"/>
        <w:jc w:val="right"/>
        <w:rPr>
          <w:rFonts w:ascii="宋体" w:hAnsi="宋体" w:eastAsia="宋体"/>
          <w:sz w:val="24"/>
          <w:szCs w:val="24"/>
        </w:rPr>
      </w:pPr>
      <w:r>
        <w:rPr>
          <w:rFonts w:hint="eastAsia" w:ascii="宋体" w:hAnsi="宋体" w:eastAsia="宋体" w:cs="宋体"/>
          <w:sz w:val="24"/>
          <w:szCs w:val="24"/>
        </w:rPr>
        <w:t>磋商响应单位名称（公章）：</w:t>
      </w:r>
    </w:p>
    <w:p>
      <w:pPr>
        <w:spacing w:line="480" w:lineRule="exact"/>
        <w:ind w:firstLine="480" w:firstLineChars="200"/>
        <w:jc w:val="right"/>
        <w:rPr>
          <w:rFonts w:ascii="宋体" w:hAnsi="宋体" w:eastAsia="宋体" w:cs="宋体"/>
          <w:sz w:val="24"/>
          <w:szCs w:val="24"/>
        </w:rPr>
      </w:pPr>
    </w:p>
    <w:p>
      <w:pPr>
        <w:spacing w:line="480" w:lineRule="exact"/>
        <w:ind w:firstLine="480" w:firstLineChars="200"/>
        <w:jc w:val="right"/>
        <w:rPr>
          <w:rFonts w:ascii="宋体" w:hAnsi="宋体" w:cs="宋体"/>
        </w:rPr>
      </w:pPr>
      <w:r>
        <w:rPr>
          <w:rFonts w:hint="eastAsia" w:ascii="宋体" w:hAnsi="宋体" w:eastAsia="宋体" w:cs="宋体"/>
          <w:sz w:val="24"/>
          <w:szCs w:val="24"/>
        </w:rPr>
        <w:t>法定代表人或被授权人（签字或盖章）：</w:t>
      </w:r>
    </w:p>
    <w:p>
      <w:pPr>
        <w:spacing w:beforeLines="50" w:line="360" w:lineRule="auto"/>
        <w:rPr>
          <w:rFonts w:ascii="宋体" w:hAnsi="宋体" w:cs="宋体"/>
        </w:rPr>
      </w:pPr>
    </w:p>
    <w:p>
      <w:pPr>
        <w:jc w:val="center"/>
        <w:rPr>
          <w:sz w:val="28"/>
          <w:szCs w:val="28"/>
        </w:rPr>
      </w:pPr>
      <w:r>
        <w:rPr>
          <w:rFonts w:hint="eastAsia"/>
          <w:sz w:val="28"/>
          <w:szCs w:val="28"/>
          <w:u w:val="none"/>
        </w:rPr>
        <w:t xml:space="preserve"> </w:t>
      </w:r>
      <w:r>
        <w:rPr>
          <w:rFonts w:hint="eastAsia" w:eastAsia="宋体"/>
          <w:b/>
          <w:bCs/>
          <w:sz w:val="28"/>
          <w:szCs w:val="28"/>
          <w:u w:val="none"/>
          <w:lang w:eastAsia="zh-CN"/>
        </w:rPr>
        <w:t>铜陵学院互联网+大学安全教育平台服务采购项目</w:t>
      </w:r>
      <w:r>
        <w:rPr>
          <w:rFonts w:hint="eastAsia" w:ascii="宋体" w:hAnsi="宋体" w:eastAsia="宋体" w:cs="宋体"/>
          <w:b/>
          <w:bCs/>
          <w:sz w:val="28"/>
          <w:szCs w:val="28"/>
        </w:rPr>
        <w:t>报价表</w:t>
      </w:r>
      <w:r>
        <w:rPr>
          <w:rFonts w:hint="eastAsia" w:ascii="仿宋_GB2312" w:hAnsi="宋体" w:eastAsia="仿宋_GB2312" w:cs="宋体"/>
          <w:b/>
          <w:bCs/>
          <w:kern w:val="0"/>
          <w:sz w:val="28"/>
          <w:szCs w:val="28"/>
        </w:rPr>
        <w:t xml:space="preserve">  </w:t>
      </w:r>
      <w:r>
        <w:rPr>
          <w:rFonts w:hint="eastAsia" w:ascii="仿宋_GB2312" w:hAnsi="宋体" w:eastAsia="仿宋_GB2312" w:cs="宋体"/>
          <w:bCs/>
          <w:kern w:val="0"/>
          <w:sz w:val="28"/>
          <w:szCs w:val="28"/>
        </w:rPr>
        <w:t xml:space="preserve">                 </w:t>
      </w:r>
    </w:p>
    <w:tbl>
      <w:tblPr>
        <w:tblStyle w:val="15"/>
        <w:tblW w:w="14280" w:type="dxa"/>
        <w:tblInd w:w="18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40"/>
        <w:gridCol w:w="3348"/>
        <w:gridCol w:w="1428"/>
        <w:gridCol w:w="1200"/>
        <w:gridCol w:w="1428"/>
        <w:gridCol w:w="1632"/>
        <w:gridCol w:w="14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2" w:hRule="atLeast"/>
        </w:trPr>
        <w:tc>
          <w:tcPr>
            <w:tcW w:w="3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项目(设备)名称</w:t>
            </w:r>
          </w:p>
        </w:tc>
        <w:tc>
          <w:tcPr>
            <w:tcW w:w="3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详细技术参数或规格型号要求</w:t>
            </w:r>
          </w:p>
        </w:tc>
        <w:tc>
          <w:tcPr>
            <w:tcW w:w="14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计量单位</w:t>
            </w:r>
          </w:p>
        </w:tc>
        <w:tc>
          <w:tcPr>
            <w:tcW w:w="12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数量</w:t>
            </w:r>
          </w:p>
        </w:tc>
        <w:tc>
          <w:tcPr>
            <w:tcW w:w="14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单价（每年）</w:t>
            </w:r>
          </w:p>
        </w:tc>
        <w:tc>
          <w:tcPr>
            <w:tcW w:w="16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lang w:eastAsia="zh-CN"/>
              </w:rPr>
            </w:pPr>
            <w:r>
              <w:rPr>
                <w:rFonts w:hint="eastAsia" w:ascii="宋体" w:hAnsi="宋体" w:eastAsia="宋体" w:cs="宋体"/>
                <w:bCs/>
                <w:kern w:val="0"/>
                <w:lang w:eastAsia="zh-CN"/>
              </w:rPr>
              <w:t>金额（元）</w:t>
            </w:r>
          </w:p>
        </w:tc>
        <w:tc>
          <w:tcPr>
            <w:tcW w:w="14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Cs/>
                <w:kern w:val="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38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kern w:val="0"/>
              </w:rPr>
            </w:pPr>
            <w:r>
              <w:rPr>
                <w:rFonts w:hint="eastAsia" w:ascii="宋体" w:hAnsi="宋体" w:eastAsia="宋体" w:cs="宋体"/>
                <w:b w:val="0"/>
                <w:bCs w:val="0"/>
                <w:sz w:val="24"/>
                <w:szCs w:val="24"/>
                <w:u w:val="none"/>
                <w:lang w:eastAsia="zh-CN"/>
              </w:rPr>
              <w:t>互联网+大学安全教育平台服务</w:t>
            </w:r>
          </w:p>
        </w:tc>
        <w:tc>
          <w:tcPr>
            <w:tcW w:w="3348" w:type="dxa"/>
            <w:tcBorders>
              <w:top w:val="single" w:color="auto" w:sz="4" w:space="0"/>
              <w:left w:val="single" w:color="auto" w:sz="4" w:space="0"/>
              <w:bottom w:val="single" w:color="auto" w:sz="4" w:space="0"/>
              <w:right w:val="single" w:color="auto" w:sz="4" w:space="0"/>
            </w:tcBorders>
            <w:vAlign w:val="top"/>
          </w:tcPr>
          <w:p>
            <w:pPr>
              <w:ind w:firstLine="840" w:firstLineChars="400"/>
              <w:rPr>
                <w:rFonts w:hint="eastAsia" w:ascii="宋体" w:hAnsi="宋体" w:eastAsia="宋体" w:cs="宋体"/>
                <w:bCs/>
                <w:kern w:val="0"/>
                <w:lang w:eastAsia="zh-CN"/>
              </w:rPr>
            </w:pPr>
            <w:r>
              <w:rPr>
                <w:rFonts w:hint="eastAsia" w:ascii="宋体" w:hAnsi="宋体" w:eastAsia="宋体" w:cs="宋体"/>
                <w:bCs/>
                <w:kern w:val="0"/>
                <w:lang w:eastAsia="zh-CN"/>
              </w:rPr>
              <w:t>详见采购需求</w:t>
            </w:r>
          </w:p>
        </w:tc>
        <w:tc>
          <w:tcPr>
            <w:tcW w:w="14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hint="eastAsia" w:ascii="宋体" w:hAnsi="宋体" w:eastAsia="宋体" w:cs="宋体"/>
                <w:bCs/>
                <w:kern w:val="0"/>
              </w:rPr>
            </w:pPr>
            <w:r>
              <w:rPr>
                <w:rFonts w:hint="eastAsia" w:ascii="宋体" w:hAnsi="宋体" w:eastAsia="宋体" w:cs="宋体"/>
                <w:bCs/>
                <w:kern w:val="0"/>
              </w:rPr>
              <w:t>年</w:t>
            </w:r>
          </w:p>
        </w:tc>
        <w:tc>
          <w:tcPr>
            <w:tcW w:w="12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hint="eastAsia" w:ascii="宋体" w:hAnsi="宋体" w:eastAsia="宋体" w:cs="宋体"/>
                <w:bCs/>
                <w:kern w:val="0"/>
              </w:rPr>
            </w:pPr>
            <w:r>
              <w:rPr>
                <w:rFonts w:hint="eastAsia" w:ascii="宋体" w:hAnsi="宋体" w:eastAsia="宋体" w:cs="宋体"/>
                <w:bCs/>
                <w:kern w:val="0"/>
              </w:rPr>
              <w:t>1</w:t>
            </w:r>
          </w:p>
        </w:tc>
        <w:tc>
          <w:tcPr>
            <w:tcW w:w="142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hint="eastAsia" w:ascii="宋体" w:hAnsi="宋体" w:eastAsia="宋体" w:cs="宋体"/>
                <w:bCs/>
                <w:kern w:val="0"/>
              </w:rPr>
            </w:pPr>
          </w:p>
        </w:tc>
        <w:tc>
          <w:tcPr>
            <w:tcW w:w="16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hint="eastAsia" w:ascii="宋体" w:hAnsi="宋体" w:eastAsia="宋体" w:cs="宋体"/>
                <w:bCs/>
                <w:kern w:val="0"/>
              </w:rPr>
            </w:pPr>
          </w:p>
        </w:tc>
        <w:tc>
          <w:tcPr>
            <w:tcW w:w="14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hint="eastAsia" w:ascii="宋体" w:hAnsi="宋体" w:eastAsia="宋体"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4280"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hint="eastAsia" w:ascii="宋体" w:hAnsi="宋体" w:eastAsia="宋体" w:cs="宋体"/>
                <w:bCs/>
                <w:kern w:val="0"/>
              </w:rPr>
            </w:pPr>
            <w:r>
              <w:rPr>
                <w:rFonts w:hint="eastAsia" w:ascii="宋体" w:hAnsi="宋体" w:eastAsia="宋体" w:cs="宋体"/>
                <w:bCs/>
                <w:kern w:val="0"/>
              </w:rPr>
              <w:t>合计（人民币大写）：</w:t>
            </w:r>
          </w:p>
          <w:p>
            <w:pPr>
              <w:adjustRightInd w:val="0"/>
              <w:snapToGrid w:val="0"/>
              <w:spacing w:line="560" w:lineRule="exact"/>
              <w:rPr>
                <w:rFonts w:hint="eastAsia" w:ascii="宋体" w:hAnsi="宋体" w:eastAsia="宋体" w:cs="宋体"/>
                <w:bCs/>
                <w:kern w:val="0"/>
              </w:rPr>
            </w:pPr>
            <w:r>
              <w:rPr>
                <w:rFonts w:hint="eastAsia" w:ascii="宋体" w:hAnsi="宋体" w:eastAsia="宋体" w:cs="宋体"/>
                <w:bCs/>
                <w:kern w:val="0"/>
              </w:rPr>
              <w:t xml:space="preserve">    （人民币小写）：</w:t>
            </w:r>
          </w:p>
        </w:tc>
      </w:tr>
    </w:tbl>
    <w:p>
      <w:pPr>
        <w:spacing w:line="480" w:lineRule="exact"/>
        <w:ind w:firstLine="720" w:firstLineChars="300"/>
        <w:jc w:val="both"/>
        <w:rPr>
          <w:rFonts w:hint="eastAsia" w:ascii="宋体" w:hAnsi="宋体" w:eastAsia="宋体" w:cs="宋体"/>
          <w:sz w:val="24"/>
          <w:szCs w:val="24"/>
        </w:rPr>
      </w:pPr>
    </w:p>
    <w:p>
      <w:pPr>
        <w:spacing w:line="480" w:lineRule="exact"/>
        <w:ind w:firstLine="720" w:firstLineChars="300"/>
        <w:jc w:val="both"/>
        <w:rPr>
          <w:rFonts w:hint="eastAsia" w:ascii="宋体" w:hAnsi="宋体" w:eastAsia="宋体" w:cs="宋体"/>
          <w:sz w:val="24"/>
          <w:szCs w:val="24"/>
        </w:rPr>
      </w:pPr>
    </w:p>
    <w:p>
      <w:pPr>
        <w:spacing w:line="480" w:lineRule="exact"/>
        <w:ind w:firstLine="720" w:firstLineChars="300"/>
        <w:jc w:val="both"/>
        <w:rPr>
          <w:rFonts w:hint="eastAsia" w:ascii="宋体" w:hAnsi="宋体" w:eastAsia="宋体" w:cs="宋体"/>
          <w:sz w:val="24"/>
          <w:szCs w:val="24"/>
        </w:rPr>
      </w:pPr>
    </w:p>
    <w:p>
      <w:pPr>
        <w:spacing w:line="480" w:lineRule="exact"/>
        <w:ind w:firstLine="720" w:firstLineChars="300"/>
        <w:jc w:val="both"/>
        <w:rPr>
          <w:rFonts w:hint="eastAsia" w:ascii="宋体" w:hAnsi="宋体" w:cs="宋体"/>
          <w:sz w:val="24"/>
          <w:szCs w:val="24"/>
          <w:lang w:val="en-US" w:eastAsia="zh-CN"/>
        </w:rPr>
      </w:pPr>
      <w:r>
        <w:rPr>
          <w:rFonts w:hint="eastAsia" w:ascii="宋体" w:hAnsi="宋体" w:eastAsia="宋体" w:cs="宋体"/>
          <w:sz w:val="24"/>
          <w:szCs w:val="24"/>
        </w:rPr>
        <w:t>磋商响应单位名称（公章）：法定代表人或被授权人（签字或盖章）：</w:t>
      </w:r>
      <w:r>
        <w:rPr>
          <w:rFonts w:hint="eastAsia" w:ascii="宋体" w:hAnsi="宋体" w:cs="宋体"/>
          <w:sz w:val="24"/>
          <w:szCs w:val="24"/>
          <w:lang w:val="en-US" w:eastAsia="zh-CN"/>
        </w:rPr>
        <w:t xml:space="preserve">                                   </w:t>
      </w:r>
    </w:p>
    <w:p>
      <w:pPr>
        <w:spacing w:line="480" w:lineRule="exact"/>
        <w:ind w:firstLine="720" w:firstLineChars="300"/>
        <w:jc w:val="both"/>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pPr>
        <w:spacing w:line="480" w:lineRule="exact"/>
        <w:ind w:firstLine="720" w:firstLineChars="300"/>
        <w:jc w:val="both"/>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日期：2022年    月     日</w:t>
      </w:r>
    </w:p>
    <w:p>
      <w:pPr>
        <w:rPr>
          <w:rFonts w:ascii="宋体" w:hAnsi="宋体" w:eastAsia="宋体"/>
        </w:rPr>
      </w:pPr>
    </w:p>
    <w:sectPr>
      <w:pgSz w:w="16838" w:h="11906" w:orient="landscape"/>
      <w:pgMar w:top="1689" w:right="1440" w:bottom="1689" w:left="1440" w:header="851" w:footer="992" w:gutter="0"/>
      <w:cols w:space="0" w:num="1"/>
      <w:titlePg/>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w:rPr>
        <w:rFonts w:ascii="Times New Roman" w:hAnsi="Times New Roman" w:eastAsia="宋体" w:cs="Times New Roman"/>
        <w:kern w:val="2"/>
        <w:sz w:val="18"/>
        <w:szCs w:val="18"/>
        <w:lang w:val="en-US" w:eastAsia="zh-CN" w:bidi="ar-SA"/>
      </w:rPr>
      <w:pict>
        <v:shape id="文本框 1031" o:spid="_x0000_s4098"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Times New Roman" w:hAnsi="Times New Roman" w:eastAsia="宋体" w:cs="Times New Roman"/>
        <w:kern w:val="2"/>
        <w:sz w:val="18"/>
        <w:szCs w:val="18"/>
        <w:lang w:val="en-US" w:eastAsia="zh-CN" w:bidi="ar-SA"/>
      </w:rPr>
      <w:pict>
        <v:shape id="文本框 1032" o:spid="_x0000_s4097" o:spt="202" type="#_x0000_t202" style="position:absolute;left:0pt;margin-top:0pt;height:144pt;width:144pt;mso-position-horizontal:right;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chineseCounting"/>
      <w:suff w:val="nothing"/>
      <w:lvlText w:val="%1、"/>
      <w:lvlJc w:val="left"/>
      <w:rPr>
        <w:rFonts w:hint="eastAsia"/>
      </w:rPr>
    </w:lvl>
  </w:abstractNum>
  <w:abstractNum w:abstractNumId="1">
    <w:nsid w:val="00000003"/>
    <w:multiLevelType w:val="singleLevel"/>
    <w:tmpl w:val="00000003"/>
    <w:lvl w:ilvl="0" w:tentative="0">
      <w:start w:val="1"/>
      <w:numFmt w:val="decimal"/>
      <w:suff w:val="nothing"/>
      <w:lvlText w:val="%1、"/>
      <w:lvlJc w:val="left"/>
      <w:pPr>
        <w:ind w:left="0" w:firstLine="0"/>
      </w:pPr>
      <w:rPr>
        <w:rFonts w:cs="Times New Roman"/>
      </w:rPr>
    </w:lvl>
  </w:abstractNum>
  <w:abstractNum w:abstractNumId="2">
    <w:nsid w:val="1061F914"/>
    <w:multiLevelType w:val="multilevel"/>
    <w:tmpl w:val="1061F914"/>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TgxOWU0ZGExN2Y4YjcwYzAxNjY1ZDBjNmQyNWIyNjkifQ=="/>
  </w:docVars>
  <w:rsids>
    <w:rsidRoot w:val="00284B9D"/>
    <w:rsid w:val="00006A7E"/>
    <w:rsid w:val="0001006E"/>
    <w:rsid w:val="00014934"/>
    <w:rsid w:val="00022804"/>
    <w:rsid w:val="00024443"/>
    <w:rsid w:val="00025A14"/>
    <w:rsid w:val="000262A7"/>
    <w:rsid w:val="00026A5E"/>
    <w:rsid w:val="0004003F"/>
    <w:rsid w:val="00044B0E"/>
    <w:rsid w:val="0004536E"/>
    <w:rsid w:val="00045EFE"/>
    <w:rsid w:val="00047BCF"/>
    <w:rsid w:val="0005335C"/>
    <w:rsid w:val="0005353B"/>
    <w:rsid w:val="00056C1C"/>
    <w:rsid w:val="00067847"/>
    <w:rsid w:val="00070DE0"/>
    <w:rsid w:val="000724B5"/>
    <w:rsid w:val="00076F99"/>
    <w:rsid w:val="00077540"/>
    <w:rsid w:val="00077E40"/>
    <w:rsid w:val="0008083D"/>
    <w:rsid w:val="00082D22"/>
    <w:rsid w:val="00091BDF"/>
    <w:rsid w:val="0009328B"/>
    <w:rsid w:val="000A19C3"/>
    <w:rsid w:val="000A29F2"/>
    <w:rsid w:val="000A4361"/>
    <w:rsid w:val="000A62BC"/>
    <w:rsid w:val="000A74E2"/>
    <w:rsid w:val="000B0C5F"/>
    <w:rsid w:val="000B2158"/>
    <w:rsid w:val="000B243D"/>
    <w:rsid w:val="000B4668"/>
    <w:rsid w:val="000B5A43"/>
    <w:rsid w:val="000B64F6"/>
    <w:rsid w:val="000C0806"/>
    <w:rsid w:val="000C38D6"/>
    <w:rsid w:val="000C4651"/>
    <w:rsid w:val="000C4D8A"/>
    <w:rsid w:val="000C5E61"/>
    <w:rsid w:val="000D1FEC"/>
    <w:rsid w:val="000D2578"/>
    <w:rsid w:val="000D25D0"/>
    <w:rsid w:val="000D41E0"/>
    <w:rsid w:val="000D55AF"/>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2060A"/>
    <w:rsid w:val="00122D2C"/>
    <w:rsid w:val="001251C7"/>
    <w:rsid w:val="001261CB"/>
    <w:rsid w:val="00126C4B"/>
    <w:rsid w:val="0012712F"/>
    <w:rsid w:val="001279D2"/>
    <w:rsid w:val="00132091"/>
    <w:rsid w:val="00133530"/>
    <w:rsid w:val="001344E6"/>
    <w:rsid w:val="00136BA7"/>
    <w:rsid w:val="001449EC"/>
    <w:rsid w:val="00152510"/>
    <w:rsid w:val="00153A4C"/>
    <w:rsid w:val="0015464C"/>
    <w:rsid w:val="00155C6A"/>
    <w:rsid w:val="00156DFA"/>
    <w:rsid w:val="001604BE"/>
    <w:rsid w:val="00160783"/>
    <w:rsid w:val="00162854"/>
    <w:rsid w:val="001642AD"/>
    <w:rsid w:val="00164558"/>
    <w:rsid w:val="00166B15"/>
    <w:rsid w:val="00170993"/>
    <w:rsid w:val="00173DA9"/>
    <w:rsid w:val="00174BBF"/>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6DD4"/>
    <w:rsid w:val="001E0A21"/>
    <w:rsid w:val="001E2500"/>
    <w:rsid w:val="001E63BA"/>
    <w:rsid w:val="001E6612"/>
    <w:rsid w:val="001F1B30"/>
    <w:rsid w:val="001F3923"/>
    <w:rsid w:val="001F5434"/>
    <w:rsid w:val="001F5AAD"/>
    <w:rsid w:val="00203F43"/>
    <w:rsid w:val="00206FEB"/>
    <w:rsid w:val="00216C5A"/>
    <w:rsid w:val="002218B5"/>
    <w:rsid w:val="00224423"/>
    <w:rsid w:val="00225DB3"/>
    <w:rsid w:val="00226291"/>
    <w:rsid w:val="00227847"/>
    <w:rsid w:val="00231295"/>
    <w:rsid w:val="00231978"/>
    <w:rsid w:val="002326B4"/>
    <w:rsid w:val="00240822"/>
    <w:rsid w:val="00240C72"/>
    <w:rsid w:val="00242C05"/>
    <w:rsid w:val="00244AB1"/>
    <w:rsid w:val="00244D2F"/>
    <w:rsid w:val="00246A3A"/>
    <w:rsid w:val="00250025"/>
    <w:rsid w:val="0025310D"/>
    <w:rsid w:val="00254CE1"/>
    <w:rsid w:val="00255B3C"/>
    <w:rsid w:val="00263B3D"/>
    <w:rsid w:val="00264C9A"/>
    <w:rsid w:val="00267AC2"/>
    <w:rsid w:val="002730E3"/>
    <w:rsid w:val="0027367B"/>
    <w:rsid w:val="00274ED1"/>
    <w:rsid w:val="00284312"/>
    <w:rsid w:val="00284B9D"/>
    <w:rsid w:val="002865A8"/>
    <w:rsid w:val="00287400"/>
    <w:rsid w:val="002918C8"/>
    <w:rsid w:val="00291907"/>
    <w:rsid w:val="002A0AB5"/>
    <w:rsid w:val="002A2118"/>
    <w:rsid w:val="002A3769"/>
    <w:rsid w:val="002A5E3C"/>
    <w:rsid w:val="002A7914"/>
    <w:rsid w:val="002B3C80"/>
    <w:rsid w:val="002B7549"/>
    <w:rsid w:val="002C26C5"/>
    <w:rsid w:val="002C2940"/>
    <w:rsid w:val="002C57FE"/>
    <w:rsid w:val="002D0D29"/>
    <w:rsid w:val="002D13EF"/>
    <w:rsid w:val="002D262B"/>
    <w:rsid w:val="002D3804"/>
    <w:rsid w:val="002D5BA7"/>
    <w:rsid w:val="002D5F51"/>
    <w:rsid w:val="002E2C1C"/>
    <w:rsid w:val="002F1655"/>
    <w:rsid w:val="002F43B1"/>
    <w:rsid w:val="003011D5"/>
    <w:rsid w:val="00306D6E"/>
    <w:rsid w:val="003146DB"/>
    <w:rsid w:val="00315BD8"/>
    <w:rsid w:val="003163BA"/>
    <w:rsid w:val="00322C11"/>
    <w:rsid w:val="00323098"/>
    <w:rsid w:val="003232CF"/>
    <w:rsid w:val="00323832"/>
    <w:rsid w:val="003258F7"/>
    <w:rsid w:val="00334550"/>
    <w:rsid w:val="00335F47"/>
    <w:rsid w:val="00337C63"/>
    <w:rsid w:val="00342869"/>
    <w:rsid w:val="00342FE4"/>
    <w:rsid w:val="00345DFC"/>
    <w:rsid w:val="00345FF5"/>
    <w:rsid w:val="003513DC"/>
    <w:rsid w:val="00351D96"/>
    <w:rsid w:val="00353380"/>
    <w:rsid w:val="00353CDD"/>
    <w:rsid w:val="00356A7F"/>
    <w:rsid w:val="00362B13"/>
    <w:rsid w:val="00364420"/>
    <w:rsid w:val="00365B79"/>
    <w:rsid w:val="00365EDC"/>
    <w:rsid w:val="00370E8C"/>
    <w:rsid w:val="00372CA8"/>
    <w:rsid w:val="003742BE"/>
    <w:rsid w:val="00374325"/>
    <w:rsid w:val="00374A3A"/>
    <w:rsid w:val="00380E72"/>
    <w:rsid w:val="00381425"/>
    <w:rsid w:val="003849BD"/>
    <w:rsid w:val="00387422"/>
    <w:rsid w:val="003901E7"/>
    <w:rsid w:val="00396495"/>
    <w:rsid w:val="0039670B"/>
    <w:rsid w:val="003A17A7"/>
    <w:rsid w:val="003A1DEF"/>
    <w:rsid w:val="003B21AC"/>
    <w:rsid w:val="003B3548"/>
    <w:rsid w:val="003B4FA2"/>
    <w:rsid w:val="003B6962"/>
    <w:rsid w:val="003C26BD"/>
    <w:rsid w:val="003C7A55"/>
    <w:rsid w:val="003D0535"/>
    <w:rsid w:val="003D0EE0"/>
    <w:rsid w:val="003D1E3A"/>
    <w:rsid w:val="003D4840"/>
    <w:rsid w:val="003D6CC3"/>
    <w:rsid w:val="003E4804"/>
    <w:rsid w:val="003E766A"/>
    <w:rsid w:val="003E7D5D"/>
    <w:rsid w:val="003F02ED"/>
    <w:rsid w:val="003F5E5F"/>
    <w:rsid w:val="004017C3"/>
    <w:rsid w:val="00405EEB"/>
    <w:rsid w:val="00411609"/>
    <w:rsid w:val="0041294F"/>
    <w:rsid w:val="00413948"/>
    <w:rsid w:val="004177D8"/>
    <w:rsid w:val="00420D7B"/>
    <w:rsid w:val="00421802"/>
    <w:rsid w:val="004219E8"/>
    <w:rsid w:val="00423979"/>
    <w:rsid w:val="0042519B"/>
    <w:rsid w:val="00426D87"/>
    <w:rsid w:val="00435B6B"/>
    <w:rsid w:val="0044394C"/>
    <w:rsid w:val="00444321"/>
    <w:rsid w:val="00446AB7"/>
    <w:rsid w:val="0045026A"/>
    <w:rsid w:val="00451443"/>
    <w:rsid w:val="0045238F"/>
    <w:rsid w:val="00452795"/>
    <w:rsid w:val="00453499"/>
    <w:rsid w:val="00453C9F"/>
    <w:rsid w:val="00453CC3"/>
    <w:rsid w:val="0046262C"/>
    <w:rsid w:val="00463245"/>
    <w:rsid w:val="00465C3B"/>
    <w:rsid w:val="00476704"/>
    <w:rsid w:val="00486355"/>
    <w:rsid w:val="00486E4D"/>
    <w:rsid w:val="0049576C"/>
    <w:rsid w:val="00497CD5"/>
    <w:rsid w:val="004A3BF1"/>
    <w:rsid w:val="004A59FF"/>
    <w:rsid w:val="004A5B24"/>
    <w:rsid w:val="004A7D73"/>
    <w:rsid w:val="004B19EE"/>
    <w:rsid w:val="004B53AA"/>
    <w:rsid w:val="004B540C"/>
    <w:rsid w:val="004C0165"/>
    <w:rsid w:val="004C7741"/>
    <w:rsid w:val="004C7B85"/>
    <w:rsid w:val="004D296F"/>
    <w:rsid w:val="004D33ED"/>
    <w:rsid w:val="004D4CA7"/>
    <w:rsid w:val="004D55D0"/>
    <w:rsid w:val="004D5A90"/>
    <w:rsid w:val="004D5ADE"/>
    <w:rsid w:val="004D6624"/>
    <w:rsid w:val="004E26EF"/>
    <w:rsid w:val="004E6ECD"/>
    <w:rsid w:val="004E70B5"/>
    <w:rsid w:val="004E79F0"/>
    <w:rsid w:val="004F3FAE"/>
    <w:rsid w:val="004F41A7"/>
    <w:rsid w:val="00500D3E"/>
    <w:rsid w:val="00502BCA"/>
    <w:rsid w:val="00504ACD"/>
    <w:rsid w:val="00505BAB"/>
    <w:rsid w:val="005111B3"/>
    <w:rsid w:val="00512BDD"/>
    <w:rsid w:val="00512EB9"/>
    <w:rsid w:val="005166A4"/>
    <w:rsid w:val="00516BD5"/>
    <w:rsid w:val="005210A1"/>
    <w:rsid w:val="00522D85"/>
    <w:rsid w:val="005250B2"/>
    <w:rsid w:val="0052682A"/>
    <w:rsid w:val="00526957"/>
    <w:rsid w:val="005302A0"/>
    <w:rsid w:val="005321CC"/>
    <w:rsid w:val="00533DB6"/>
    <w:rsid w:val="00534F55"/>
    <w:rsid w:val="00537612"/>
    <w:rsid w:val="00541582"/>
    <w:rsid w:val="00546793"/>
    <w:rsid w:val="00553AAF"/>
    <w:rsid w:val="00560AB0"/>
    <w:rsid w:val="00561A1E"/>
    <w:rsid w:val="00562D00"/>
    <w:rsid w:val="005708A1"/>
    <w:rsid w:val="0057645D"/>
    <w:rsid w:val="00577AA5"/>
    <w:rsid w:val="00581442"/>
    <w:rsid w:val="00583EA4"/>
    <w:rsid w:val="00585B12"/>
    <w:rsid w:val="0058692A"/>
    <w:rsid w:val="00586FA5"/>
    <w:rsid w:val="00590955"/>
    <w:rsid w:val="005933C1"/>
    <w:rsid w:val="00596622"/>
    <w:rsid w:val="005972C5"/>
    <w:rsid w:val="005A081C"/>
    <w:rsid w:val="005A2870"/>
    <w:rsid w:val="005A304E"/>
    <w:rsid w:val="005A4BFE"/>
    <w:rsid w:val="005A5880"/>
    <w:rsid w:val="005A6C13"/>
    <w:rsid w:val="005B23F5"/>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736C"/>
    <w:rsid w:val="00611771"/>
    <w:rsid w:val="00621D31"/>
    <w:rsid w:val="006253AD"/>
    <w:rsid w:val="00633E15"/>
    <w:rsid w:val="006342CE"/>
    <w:rsid w:val="0063464E"/>
    <w:rsid w:val="00634685"/>
    <w:rsid w:val="00635257"/>
    <w:rsid w:val="006403D9"/>
    <w:rsid w:val="00640DF3"/>
    <w:rsid w:val="00652341"/>
    <w:rsid w:val="00656A6C"/>
    <w:rsid w:val="006601F9"/>
    <w:rsid w:val="00660D5F"/>
    <w:rsid w:val="00663827"/>
    <w:rsid w:val="00664E3D"/>
    <w:rsid w:val="00667375"/>
    <w:rsid w:val="00674FB6"/>
    <w:rsid w:val="0067756A"/>
    <w:rsid w:val="0069035D"/>
    <w:rsid w:val="006973BA"/>
    <w:rsid w:val="006A0EA7"/>
    <w:rsid w:val="006A1DFD"/>
    <w:rsid w:val="006A2675"/>
    <w:rsid w:val="006B6BEB"/>
    <w:rsid w:val="006C61F6"/>
    <w:rsid w:val="006C65EC"/>
    <w:rsid w:val="006C6863"/>
    <w:rsid w:val="006C6B55"/>
    <w:rsid w:val="006C79F7"/>
    <w:rsid w:val="006D355A"/>
    <w:rsid w:val="006D6389"/>
    <w:rsid w:val="006E1F02"/>
    <w:rsid w:val="006E2F19"/>
    <w:rsid w:val="006E66BE"/>
    <w:rsid w:val="006F0D68"/>
    <w:rsid w:val="006F367A"/>
    <w:rsid w:val="006F5DC2"/>
    <w:rsid w:val="006F7EA5"/>
    <w:rsid w:val="00703FBA"/>
    <w:rsid w:val="00704A83"/>
    <w:rsid w:val="00704E96"/>
    <w:rsid w:val="00706248"/>
    <w:rsid w:val="00706906"/>
    <w:rsid w:val="00710509"/>
    <w:rsid w:val="00711B31"/>
    <w:rsid w:val="0071774D"/>
    <w:rsid w:val="00720BB1"/>
    <w:rsid w:val="007266C2"/>
    <w:rsid w:val="0072770C"/>
    <w:rsid w:val="00732421"/>
    <w:rsid w:val="0073280E"/>
    <w:rsid w:val="00736AE7"/>
    <w:rsid w:val="007413B8"/>
    <w:rsid w:val="007418BE"/>
    <w:rsid w:val="00741A64"/>
    <w:rsid w:val="00741C0F"/>
    <w:rsid w:val="007434A4"/>
    <w:rsid w:val="00744CD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548C"/>
    <w:rsid w:val="00797179"/>
    <w:rsid w:val="00797AF9"/>
    <w:rsid w:val="007A07EE"/>
    <w:rsid w:val="007A1D57"/>
    <w:rsid w:val="007A75BF"/>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1B5"/>
    <w:rsid w:val="007E3E83"/>
    <w:rsid w:val="007F08F9"/>
    <w:rsid w:val="007F2DE8"/>
    <w:rsid w:val="007F4579"/>
    <w:rsid w:val="007F485B"/>
    <w:rsid w:val="007F4B0E"/>
    <w:rsid w:val="007F4F73"/>
    <w:rsid w:val="0080035D"/>
    <w:rsid w:val="00804B4E"/>
    <w:rsid w:val="00806B00"/>
    <w:rsid w:val="0081199F"/>
    <w:rsid w:val="00811D4D"/>
    <w:rsid w:val="00815A0C"/>
    <w:rsid w:val="00817BB8"/>
    <w:rsid w:val="00823F29"/>
    <w:rsid w:val="00824E25"/>
    <w:rsid w:val="00827445"/>
    <w:rsid w:val="008303E9"/>
    <w:rsid w:val="00833F18"/>
    <w:rsid w:val="008402AA"/>
    <w:rsid w:val="0084300C"/>
    <w:rsid w:val="00843216"/>
    <w:rsid w:val="00844906"/>
    <w:rsid w:val="00846786"/>
    <w:rsid w:val="008479E9"/>
    <w:rsid w:val="00847F7C"/>
    <w:rsid w:val="00853C36"/>
    <w:rsid w:val="008545A2"/>
    <w:rsid w:val="00855A6A"/>
    <w:rsid w:val="008561DA"/>
    <w:rsid w:val="0086498D"/>
    <w:rsid w:val="00864A82"/>
    <w:rsid w:val="008653D6"/>
    <w:rsid w:val="00865535"/>
    <w:rsid w:val="00870C5B"/>
    <w:rsid w:val="0087444E"/>
    <w:rsid w:val="0088054B"/>
    <w:rsid w:val="00880E20"/>
    <w:rsid w:val="00884EE6"/>
    <w:rsid w:val="00891DA6"/>
    <w:rsid w:val="008966E4"/>
    <w:rsid w:val="00897B53"/>
    <w:rsid w:val="008B11B6"/>
    <w:rsid w:val="008B5714"/>
    <w:rsid w:val="008B5E36"/>
    <w:rsid w:val="008B7EF4"/>
    <w:rsid w:val="008C0613"/>
    <w:rsid w:val="008C0EC8"/>
    <w:rsid w:val="008C4852"/>
    <w:rsid w:val="008D18AC"/>
    <w:rsid w:val="008D526F"/>
    <w:rsid w:val="008D79D6"/>
    <w:rsid w:val="008D7E39"/>
    <w:rsid w:val="008E0575"/>
    <w:rsid w:val="008F332B"/>
    <w:rsid w:val="00905B6A"/>
    <w:rsid w:val="00906BFE"/>
    <w:rsid w:val="00920CA6"/>
    <w:rsid w:val="00922BCC"/>
    <w:rsid w:val="00923014"/>
    <w:rsid w:val="00923AC6"/>
    <w:rsid w:val="00926525"/>
    <w:rsid w:val="00932DFE"/>
    <w:rsid w:val="00933669"/>
    <w:rsid w:val="0093492B"/>
    <w:rsid w:val="009356CE"/>
    <w:rsid w:val="00942A6F"/>
    <w:rsid w:val="0094317B"/>
    <w:rsid w:val="00944D53"/>
    <w:rsid w:val="00946BC7"/>
    <w:rsid w:val="00946F2D"/>
    <w:rsid w:val="00950747"/>
    <w:rsid w:val="009513F4"/>
    <w:rsid w:val="00953410"/>
    <w:rsid w:val="00953F88"/>
    <w:rsid w:val="0095459D"/>
    <w:rsid w:val="009641E3"/>
    <w:rsid w:val="00967562"/>
    <w:rsid w:val="00974A5F"/>
    <w:rsid w:val="009800F1"/>
    <w:rsid w:val="00983778"/>
    <w:rsid w:val="009837DD"/>
    <w:rsid w:val="00984983"/>
    <w:rsid w:val="00984A09"/>
    <w:rsid w:val="0099206B"/>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08E"/>
    <w:rsid w:val="009E7C33"/>
    <w:rsid w:val="009F2350"/>
    <w:rsid w:val="009F446B"/>
    <w:rsid w:val="009F465E"/>
    <w:rsid w:val="00A024B0"/>
    <w:rsid w:val="00A05C11"/>
    <w:rsid w:val="00A061D3"/>
    <w:rsid w:val="00A10EF4"/>
    <w:rsid w:val="00A17B14"/>
    <w:rsid w:val="00A209E5"/>
    <w:rsid w:val="00A23C6F"/>
    <w:rsid w:val="00A2409D"/>
    <w:rsid w:val="00A2422F"/>
    <w:rsid w:val="00A277DD"/>
    <w:rsid w:val="00A27A9F"/>
    <w:rsid w:val="00A32B05"/>
    <w:rsid w:val="00A3543C"/>
    <w:rsid w:val="00A36BBA"/>
    <w:rsid w:val="00A42765"/>
    <w:rsid w:val="00A50156"/>
    <w:rsid w:val="00A51596"/>
    <w:rsid w:val="00A5292B"/>
    <w:rsid w:val="00A530EE"/>
    <w:rsid w:val="00A5383F"/>
    <w:rsid w:val="00A579EE"/>
    <w:rsid w:val="00A655FF"/>
    <w:rsid w:val="00A73368"/>
    <w:rsid w:val="00A8134A"/>
    <w:rsid w:val="00A82B69"/>
    <w:rsid w:val="00A85A67"/>
    <w:rsid w:val="00A873BC"/>
    <w:rsid w:val="00A91087"/>
    <w:rsid w:val="00A94075"/>
    <w:rsid w:val="00AA09CB"/>
    <w:rsid w:val="00AA21A0"/>
    <w:rsid w:val="00AA22F3"/>
    <w:rsid w:val="00AA5A73"/>
    <w:rsid w:val="00AA67C1"/>
    <w:rsid w:val="00AA729A"/>
    <w:rsid w:val="00AB2F5D"/>
    <w:rsid w:val="00AB522A"/>
    <w:rsid w:val="00AD20E8"/>
    <w:rsid w:val="00AD2A48"/>
    <w:rsid w:val="00AD4BF0"/>
    <w:rsid w:val="00AD59B5"/>
    <w:rsid w:val="00AD6CD7"/>
    <w:rsid w:val="00AE09F0"/>
    <w:rsid w:val="00AE1FEF"/>
    <w:rsid w:val="00AE40E8"/>
    <w:rsid w:val="00AE75B5"/>
    <w:rsid w:val="00AE7F42"/>
    <w:rsid w:val="00AF0878"/>
    <w:rsid w:val="00AF3A46"/>
    <w:rsid w:val="00AF5CC8"/>
    <w:rsid w:val="00B004ED"/>
    <w:rsid w:val="00B01730"/>
    <w:rsid w:val="00B01E8C"/>
    <w:rsid w:val="00B0511D"/>
    <w:rsid w:val="00B10684"/>
    <w:rsid w:val="00B12C12"/>
    <w:rsid w:val="00B12E36"/>
    <w:rsid w:val="00B14003"/>
    <w:rsid w:val="00B14EAD"/>
    <w:rsid w:val="00B15CB0"/>
    <w:rsid w:val="00B23980"/>
    <w:rsid w:val="00B23CAA"/>
    <w:rsid w:val="00B23E00"/>
    <w:rsid w:val="00B2637A"/>
    <w:rsid w:val="00B309E3"/>
    <w:rsid w:val="00B321E0"/>
    <w:rsid w:val="00B34D84"/>
    <w:rsid w:val="00B36C95"/>
    <w:rsid w:val="00B43A06"/>
    <w:rsid w:val="00B45C10"/>
    <w:rsid w:val="00B47B51"/>
    <w:rsid w:val="00B53D55"/>
    <w:rsid w:val="00B548E2"/>
    <w:rsid w:val="00B601D9"/>
    <w:rsid w:val="00B61B74"/>
    <w:rsid w:val="00B63B3E"/>
    <w:rsid w:val="00B648FB"/>
    <w:rsid w:val="00B65714"/>
    <w:rsid w:val="00B660BD"/>
    <w:rsid w:val="00B73549"/>
    <w:rsid w:val="00B75960"/>
    <w:rsid w:val="00B845E6"/>
    <w:rsid w:val="00B8589B"/>
    <w:rsid w:val="00B870FC"/>
    <w:rsid w:val="00B9005F"/>
    <w:rsid w:val="00B9762F"/>
    <w:rsid w:val="00B976F9"/>
    <w:rsid w:val="00BA6673"/>
    <w:rsid w:val="00BA6B92"/>
    <w:rsid w:val="00BA7ECB"/>
    <w:rsid w:val="00BB1BFE"/>
    <w:rsid w:val="00BB289D"/>
    <w:rsid w:val="00BC29CE"/>
    <w:rsid w:val="00BC5483"/>
    <w:rsid w:val="00BD21A0"/>
    <w:rsid w:val="00BD32C1"/>
    <w:rsid w:val="00BD3C60"/>
    <w:rsid w:val="00BD5C38"/>
    <w:rsid w:val="00BD615D"/>
    <w:rsid w:val="00BE0D45"/>
    <w:rsid w:val="00BE136A"/>
    <w:rsid w:val="00BE2BA0"/>
    <w:rsid w:val="00BE6E21"/>
    <w:rsid w:val="00BE702B"/>
    <w:rsid w:val="00BF07A1"/>
    <w:rsid w:val="00BF0E7C"/>
    <w:rsid w:val="00BF2045"/>
    <w:rsid w:val="00BF3720"/>
    <w:rsid w:val="00C11C6F"/>
    <w:rsid w:val="00C124AE"/>
    <w:rsid w:val="00C16089"/>
    <w:rsid w:val="00C17AD0"/>
    <w:rsid w:val="00C17D88"/>
    <w:rsid w:val="00C202D7"/>
    <w:rsid w:val="00C27B0B"/>
    <w:rsid w:val="00C3064E"/>
    <w:rsid w:val="00C33EA0"/>
    <w:rsid w:val="00C402A1"/>
    <w:rsid w:val="00C4097A"/>
    <w:rsid w:val="00C415BB"/>
    <w:rsid w:val="00C466A6"/>
    <w:rsid w:val="00C479AE"/>
    <w:rsid w:val="00C55A79"/>
    <w:rsid w:val="00C55A85"/>
    <w:rsid w:val="00C61842"/>
    <w:rsid w:val="00C6236C"/>
    <w:rsid w:val="00C66A34"/>
    <w:rsid w:val="00C67672"/>
    <w:rsid w:val="00C7386C"/>
    <w:rsid w:val="00C775EC"/>
    <w:rsid w:val="00C8648C"/>
    <w:rsid w:val="00C96AA8"/>
    <w:rsid w:val="00C97AD1"/>
    <w:rsid w:val="00CA0975"/>
    <w:rsid w:val="00CA0DD5"/>
    <w:rsid w:val="00CA2A54"/>
    <w:rsid w:val="00CA3796"/>
    <w:rsid w:val="00CA44AB"/>
    <w:rsid w:val="00CA60B4"/>
    <w:rsid w:val="00CA71A2"/>
    <w:rsid w:val="00CA76F3"/>
    <w:rsid w:val="00CB35C0"/>
    <w:rsid w:val="00CB736B"/>
    <w:rsid w:val="00CC0406"/>
    <w:rsid w:val="00CC4441"/>
    <w:rsid w:val="00CD168F"/>
    <w:rsid w:val="00CD3214"/>
    <w:rsid w:val="00CE7003"/>
    <w:rsid w:val="00CF03F1"/>
    <w:rsid w:val="00CF0B7E"/>
    <w:rsid w:val="00CF0CD1"/>
    <w:rsid w:val="00CF2140"/>
    <w:rsid w:val="00CF2F71"/>
    <w:rsid w:val="00CF3F38"/>
    <w:rsid w:val="00CF60CD"/>
    <w:rsid w:val="00CF631D"/>
    <w:rsid w:val="00D01D96"/>
    <w:rsid w:val="00D05AFA"/>
    <w:rsid w:val="00D12A08"/>
    <w:rsid w:val="00D15CEC"/>
    <w:rsid w:val="00D166BA"/>
    <w:rsid w:val="00D245B9"/>
    <w:rsid w:val="00D24C4E"/>
    <w:rsid w:val="00D25A16"/>
    <w:rsid w:val="00D27B80"/>
    <w:rsid w:val="00D3142C"/>
    <w:rsid w:val="00D318C2"/>
    <w:rsid w:val="00D325F6"/>
    <w:rsid w:val="00D3276F"/>
    <w:rsid w:val="00D33970"/>
    <w:rsid w:val="00D346EC"/>
    <w:rsid w:val="00D36D07"/>
    <w:rsid w:val="00D37233"/>
    <w:rsid w:val="00D41E73"/>
    <w:rsid w:val="00D42FEF"/>
    <w:rsid w:val="00D50B9D"/>
    <w:rsid w:val="00D54377"/>
    <w:rsid w:val="00D60207"/>
    <w:rsid w:val="00D6537D"/>
    <w:rsid w:val="00D66FC8"/>
    <w:rsid w:val="00D674A6"/>
    <w:rsid w:val="00D76168"/>
    <w:rsid w:val="00D77227"/>
    <w:rsid w:val="00D7733B"/>
    <w:rsid w:val="00D8119A"/>
    <w:rsid w:val="00D8159A"/>
    <w:rsid w:val="00D81AAD"/>
    <w:rsid w:val="00D8463E"/>
    <w:rsid w:val="00D8589B"/>
    <w:rsid w:val="00D86935"/>
    <w:rsid w:val="00D93671"/>
    <w:rsid w:val="00D94EBC"/>
    <w:rsid w:val="00D95633"/>
    <w:rsid w:val="00DA0BCD"/>
    <w:rsid w:val="00DA5736"/>
    <w:rsid w:val="00DB11D0"/>
    <w:rsid w:val="00DB3126"/>
    <w:rsid w:val="00DB3C43"/>
    <w:rsid w:val="00DB4C44"/>
    <w:rsid w:val="00DB7CC9"/>
    <w:rsid w:val="00DC62DA"/>
    <w:rsid w:val="00DD0836"/>
    <w:rsid w:val="00DD3119"/>
    <w:rsid w:val="00DD4EFB"/>
    <w:rsid w:val="00DD52D1"/>
    <w:rsid w:val="00DE3191"/>
    <w:rsid w:val="00DE384C"/>
    <w:rsid w:val="00DE58A7"/>
    <w:rsid w:val="00DE71A1"/>
    <w:rsid w:val="00DF30C4"/>
    <w:rsid w:val="00DF6EC8"/>
    <w:rsid w:val="00DF7CB2"/>
    <w:rsid w:val="00E00576"/>
    <w:rsid w:val="00E04443"/>
    <w:rsid w:val="00E046BA"/>
    <w:rsid w:val="00E05083"/>
    <w:rsid w:val="00E06732"/>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C2D"/>
    <w:rsid w:val="00E54E99"/>
    <w:rsid w:val="00E56E90"/>
    <w:rsid w:val="00E57300"/>
    <w:rsid w:val="00E62B3F"/>
    <w:rsid w:val="00E66FCD"/>
    <w:rsid w:val="00E72D38"/>
    <w:rsid w:val="00E74C4A"/>
    <w:rsid w:val="00E75368"/>
    <w:rsid w:val="00E7780A"/>
    <w:rsid w:val="00E77C03"/>
    <w:rsid w:val="00E83B73"/>
    <w:rsid w:val="00E83EBC"/>
    <w:rsid w:val="00E84D5A"/>
    <w:rsid w:val="00E876EA"/>
    <w:rsid w:val="00E87C2C"/>
    <w:rsid w:val="00E92905"/>
    <w:rsid w:val="00E94A37"/>
    <w:rsid w:val="00EA3F1F"/>
    <w:rsid w:val="00EB2B40"/>
    <w:rsid w:val="00EB41B1"/>
    <w:rsid w:val="00EB6067"/>
    <w:rsid w:val="00EC2A57"/>
    <w:rsid w:val="00EC36AF"/>
    <w:rsid w:val="00ED2DAC"/>
    <w:rsid w:val="00ED4A08"/>
    <w:rsid w:val="00ED4C8C"/>
    <w:rsid w:val="00ED6389"/>
    <w:rsid w:val="00EE0598"/>
    <w:rsid w:val="00EE191E"/>
    <w:rsid w:val="00EE2040"/>
    <w:rsid w:val="00EF0016"/>
    <w:rsid w:val="00EF1B8B"/>
    <w:rsid w:val="00EF24AA"/>
    <w:rsid w:val="00EF4BF7"/>
    <w:rsid w:val="00EF72F8"/>
    <w:rsid w:val="00F0358E"/>
    <w:rsid w:val="00F038D2"/>
    <w:rsid w:val="00F065CE"/>
    <w:rsid w:val="00F13173"/>
    <w:rsid w:val="00F13C8F"/>
    <w:rsid w:val="00F14120"/>
    <w:rsid w:val="00F14988"/>
    <w:rsid w:val="00F156DB"/>
    <w:rsid w:val="00F210C5"/>
    <w:rsid w:val="00F223BA"/>
    <w:rsid w:val="00F22CDF"/>
    <w:rsid w:val="00F242A2"/>
    <w:rsid w:val="00F27102"/>
    <w:rsid w:val="00F314EE"/>
    <w:rsid w:val="00F352BD"/>
    <w:rsid w:val="00F371BE"/>
    <w:rsid w:val="00F41107"/>
    <w:rsid w:val="00F42430"/>
    <w:rsid w:val="00F42B83"/>
    <w:rsid w:val="00F44B22"/>
    <w:rsid w:val="00F46203"/>
    <w:rsid w:val="00F465B7"/>
    <w:rsid w:val="00F47E6F"/>
    <w:rsid w:val="00F506D4"/>
    <w:rsid w:val="00F5070A"/>
    <w:rsid w:val="00F50E39"/>
    <w:rsid w:val="00F558C6"/>
    <w:rsid w:val="00F56E6E"/>
    <w:rsid w:val="00F57E04"/>
    <w:rsid w:val="00F61A42"/>
    <w:rsid w:val="00F624A3"/>
    <w:rsid w:val="00F62524"/>
    <w:rsid w:val="00F808D0"/>
    <w:rsid w:val="00F913E3"/>
    <w:rsid w:val="00FA16A8"/>
    <w:rsid w:val="00FA6945"/>
    <w:rsid w:val="00FB075E"/>
    <w:rsid w:val="00FB3DAC"/>
    <w:rsid w:val="00FB48EE"/>
    <w:rsid w:val="00FC1DED"/>
    <w:rsid w:val="00FC305C"/>
    <w:rsid w:val="00FC55F3"/>
    <w:rsid w:val="00FC6530"/>
    <w:rsid w:val="00FD01EE"/>
    <w:rsid w:val="00FD2C5A"/>
    <w:rsid w:val="00FD632E"/>
    <w:rsid w:val="00FD7E7A"/>
    <w:rsid w:val="00FD7FE8"/>
    <w:rsid w:val="00FE2649"/>
    <w:rsid w:val="00FE43AE"/>
    <w:rsid w:val="00FF026C"/>
    <w:rsid w:val="00FF129A"/>
    <w:rsid w:val="00FF44AB"/>
    <w:rsid w:val="00FF6260"/>
    <w:rsid w:val="00FF7B9E"/>
    <w:rsid w:val="043920D3"/>
    <w:rsid w:val="0501567A"/>
    <w:rsid w:val="08390CA9"/>
    <w:rsid w:val="0C7C7955"/>
    <w:rsid w:val="136E31A1"/>
    <w:rsid w:val="147F0F00"/>
    <w:rsid w:val="15AF388A"/>
    <w:rsid w:val="15C26EE1"/>
    <w:rsid w:val="18383A5C"/>
    <w:rsid w:val="18794F0D"/>
    <w:rsid w:val="18D73526"/>
    <w:rsid w:val="1D286649"/>
    <w:rsid w:val="1D3413D0"/>
    <w:rsid w:val="1D432AF0"/>
    <w:rsid w:val="1D4E22B6"/>
    <w:rsid w:val="1D5E4247"/>
    <w:rsid w:val="20125442"/>
    <w:rsid w:val="22062117"/>
    <w:rsid w:val="22893C39"/>
    <w:rsid w:val="23067EE5"/>
    <w:rsid w:val="2516571A"/>
    <w:rsid w:val="258C6865"/>
    <w:rsid w:val="27F149F4"/>
    <w:rsid w:val="28D10FEA"/>
    <w:rsid w:val="2C507F51"/>
    <w:rsid w:val="317F35EC"/>
    <w:rsid w:val="34113347"/>
    <w:rsid w:val="35E63A53"/>
    <w:rsid w:val="373B49C5"/>
    <w:rsid w:val="3803791B"/>
    <w:rsid w:val="3DF44353"/>
    <w:rsid w:val="3EDA2572"/>
    <w:rsid w:val="41514741"/>
    <w:rsid w:val="42345B85"/>
    <w:rsid w:val="4377250C"/>
    <w:rsid w:val="43E24CF1"/>
    <w:rsid w:val="43E83CFF"/>
    <w:rsid w:val="45E6568A"/>
    <w:rsid w:val="470F2FA2"/>
    <w:rsid w:val="493A07FA"/>
    <w:rsid w:val="4D070FA2"/>
    <w:rsid w:val="4D964B3A"/>
    <w:rsid w:val="4F7F5CB6"/>
    <w:rsid w:val="4FD53714"/>
    <w:rsid w:val="534418FF"/>
    <w:rsid w:val="537F6874"/>
    <w:rsid w:val="559002CA"/>
    <w:rsid w:val="568149E0"/>
    <w:rsid w:val="57112E63"/>
    <w:rsid w:val="590512A0"/>
    <w:rsid w:val="59171DA6"/>
    <w:rsid w:val="596B6743"/>
    <w:rsid w:val="5A3C5034"/>
    <w:rsid w:val="5C1D51D7"/>
    <w:rsid w:val="60E91115"/>
    <w:rsid w:val="647C7774"/>
    <w:rsid w:val="6641354F"/>
    <w:rsid w:val="675900F3"/>
    <w:rsid w:val="68D11763"/>
    <w:rsid w:val="6A603C09"/>
    <w:rsid w:val="6ED45F71"/>
    <w:rsid w:val="74EF23AB"/>
    <w:rsid w:val="77B846B1"/>
    <w:rsid w:val="793D7090"/>
    <w:rsid w:val="794231B3"/>
    <w:rsid w:val="7A39547E"/>
    <w:rsid w:val="7B1A0C5B"/>
    <w:rsid w:val="7CE94A7C"/>
    <w:rsid w:val="7E205431"/>
    <w:rsid w:val="7EC42CDC"/>
    <w:rsid w:val="7FAA23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27"/>
    <w:qFormat/>
    <w:uiPriority w:val="0"/>
    <w:pPr>
      <w:keepNext/>
      <w:keepLines/>
      <w:spacing w:before="260" w:after="260" w:line="412" w:lineRule="auto"/>
      <w:outlineLvl w:val="1"/>
    </w:pPr>
    <w:rPr>
      <w:rFonts w:ascii="Arial" w:hAnsi="Arial" w:eastAsia="黑体" w:cs="Arial"/>
      <w:b/>
      <w:bCs/>
      <w:sz w:val="32"/>
      <w:szCs w:val="32"/>
    </w:rPr>
  </w:style>
  <w:style w:type="character" w:default="1" w:styleId="16">
    <w:name w:val="Default Paragraph Font"/>
    <w:unhideWhenUsed/>
    <w:uiPriority w:val="1"/>
  </w:style>
  <w:style w:type="table" w:default="1" w:styleId="1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4">
    <w:name w:val="annotation text"/>
    <w:basedOn w:val="1"/>
    <w:link w:val="34"/>
    <w:qFormat/>
    <w:uiPriority w:val="0"/>
    <w:pPr>
      <w:jc w:val="left"/>
    </w:pPr>
    <w:rPr>
      <w:szCs w:val="24"/>
    </w:rPr>
  </w:style>
  <w:style w:type="paragraph" w:styleId="5">
    <w:name w:val="Body Text"/>
    <w:basedOn w:val="1"/>
    <w:link w:val="33"/>
    <w:qFormat/>
    <w:uiPriority w:val="0"/>
    <w:pPr>
      <w:jc w:val="left"/>
    </w:pPr>
    <w:rPr>
      <w:rFonts w:ascii="Arial" w:hAnsi="Arial" w:eastAsia="黑体" w:cs="Arial"/>
      <w:b/>
      <w:bCs/>
      <w:sz w:val="32"/>
      <w:szCs w:val="32"/>
    </w:rPr>
  </w:style>
  <w:style w:type="paragraph" w:styleId="6">
    <w:name w:val="Body Text Indent"/>
    <w:basedOn w:val="1"/>
    <w:link w:val="30"/>
    <w:qFormat/>
    <w:uiPriority w:val="0"/>
    <w:pPr>
      <w:ind w:firstLine="630"/>
    </w:pPr>
    <w:rPr>
      <w:sz w:val="32"/>
      <w:szCs w:val="20"/>
    </w:rPr>
  </w:style>
  <w:style w:type="paragraph" w:styleId="7">
    <w:name w:val="Plain Text"/>
    <w:basedOn w:val="1"/>
    <w:link w:val="32"/>
    <w:qFormat/>
    <w:uiPriority w:val="0"/>
    <w:rPr>
      <w:rFonts w:ascii="宋体" w:hAnsi="Courier New"/>
    </w:rPr>
  </w:style>
  <w:style w:type="paragraph" w:styleId="8">
    <w:name w:val="Date"/>
    <w:basedOn w:val="1"/>
    <w:next w:val="1"/>
    <w:link w:val="31"/>
    <w:qFormat/>
    <w:uiPriority w:val="0"/>
    <w:rPr>
      <w:rFonts w:ascii="仿宋_GB2312" w:eastAsia="仿宋_GB2312" w:cs="仿宋_GB2312"/>
      <w:sz w:val="30"/>
      <w:szCs w:val="30"/>
    </w:rPr>
  </w:style>
  <w:style w:type="paragraph" w:styleId="9">
    <w:name w:val="footer"/>
    <w:basedOn w:val="1"/>
    <w:link w:val="26"/>
    <w:qFormat/>
    <w:uiPriority w:val="0"/>
    <w:pPr>
      <w:tabs>
        <w:tab w:val="center" w:pos="4153"/>
        <w:tab w:val="right" w:pos="8306"/>
      </w:tabs>
      <w:snapToGrid w:val="0"/>
      <w:jc w:val="left"/>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2"/>
    <w:basedOn w:val="1"/>
    <w:link w:val="35"/>
    <w:qFormat/>
    <w:uiPriority w:val="0"/>
    <w:pPr>
      <w:spacing w:after="120" w:line="480" w:lineRule="auto"/>
    </w:pPr>
  </w:style>
  <w:style w:type="paragraph" w:styleId="14">
    <w:name w:val="Normal (Web)"/>
    <w:basedOn w:val="1"/>
    <w:qFormat/>
    <w:uiPriority w:val="0"/>
    <w:rPr>
      <w:rFonts w:ascii="Calibri" w:hAnsi="Calibri" w:cs="Calibri"/>
      <w:sz w:val="24"/>
      <w:szCs w:val="24"/>
    </w:rPr>
  </w:style>
  <w:style w:type="character" w:styleId="17">
    <w:name w:val="Strong"/>
    <w:qFormat/>
    <w:uiPriority w:val="0"/>
    <w:rPr>
      <w:rFonts w:ascii="Times New Roman" w:hAnsi="Times New Roman" w:eastAsia="宋体" w:cs="Times New Roman"/>
      <w:b/>
      <w:bCs/>
    </w:rPr>
  </w:style>
  <w:style w:type="paragraph" w:customStyle="1" w:styleId="18">
    <w:name w:val="样式"/>
    <w:link w:val="28"/>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9">
    <w:name w:val="001大标题"/>
    <w:basedOn w:val="1"/>
    <w:qFormat/>
    <w:uiPriority w:val="0"/>
    <w:pPr>
      <w:tabs>
        <w:tab w:val="left" w:pos="1080"/>
      </w:tabs>
      <w:jc w:val="center"/>
    </w:pPr>
    <w:rPr>
      <w:rFonts w:ascii="宋体" w:hAnsi="宋体" w:cs="宋体"/>
      <w:b/>
      <w:bCs/>
      <w:sz w:val="30"/>
      <w:szCs w:val="30"/>
    </w:rPr>
  </w:style>
  <w:style w:type="paragraph" w:customStyle="1" w:styleId="20">
    <w:name w:val="002标题"/>
    <w:basedOn w:val="1"/>
    <w:qFormat/>
    <w:uiPriority w:val="0"/>
    <w:pPr>
      <w:jc w:val="center"/>
    </w:pPr>
    <w:rPr>
      <w:sz w:val="30"/>
      <w:szCs w:val="30"/>
    </w:rPr>
  </w:style>
  <w:style w:type="paragraph" w:customStyle="1" w:styleId="2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
    <w:name w:val="List Paragraph"/>
    <w:basedOn w:val="1"/>
    <w:qFormat/>
    <w:uiPriority w:val="34"/>
    <w:pPr>
      <w:ind w:firstLine="420" w:firstLineChars="200"/>
    </w:pPr>
  </w:style>
  <w:style w:type="paragraph" w:customStyle="1" w:styleId="23">
    <w:name w:val="段"/>
    <w:link w:val="3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
    <w:name w:val="二级无"/>
    <w:basedOn w:val="1"/>
    <w:qFormat/>
    <w:uiPriority w:val="0"/>
    <w:pPr>
      <w:widowControl/>
      <w:tabs>
        <w:tab w:val="left" w:pos="360"/>
      </w:tabs>
      <w:jc w:val="left"/>
      <w:outlineLvl w:val="3"/>
    </w:pPr>
    <w:rPr>
      <w:rFonts w:ascii="宋体"/>
      <w:kern w:val="0"/>
    </w:rPr>
  </w:style>
  <w:style w:type="character" w:customStyle="1" w:styleId="25">
    <w:name w:val="页眉 Char"/>
    <w:basedOn w:val="16"/>
    <w:link w:val="10"/>
    <w:qFormat/>
    <w:uiPriority w:val="0"/>
    <w:rPr>
      <w:kern w:val="2"/>
      <w:sz w:val="18"/>
      <w:szCs w:val="18"/>
    </w:rPr>
  </w:style>
  <w:style w:type="character" w:customStyle="1" w:styleId="26">
    <w:name w:val="页脚 Char"/>
    <w:basedOn w:val="16"/>
    <w:link w:val="9"/>
    <w:qFormat/>
    <w:uiPriority w:val="0"/>
    <w:rPr>
      <w:kern w:val="2"/>
      <w:sz w:val="18"/>
      <w:szCs w:val="18"/>
    </w:rPr>
  </w:style>
  <w:style w:type="character" w:customStyle="1" w:styleId="27">
    <w:name w:val="标题 2 Char"/>
    <w:basedOn w:val="16"/>
    <w:link w:val="2"/>
    <w:qFormat/>
    <w:uiPriority w:val="0"/>
    <w:rPr>
      <w:rFonts w:ascii="Arial" w:hAnsi="Arial" w:eastAsia="黑体" w:cs="Arial"/>
      <w:b/>
      <w:bCs/>
      <w:kern w:val="2"/>
      <w:sz w:val="32"/>
      <w:szCs w:val="32"/>
    </w:rPr>
  </w:style>
  <w:style w:type="character" w:customStyle="1" w:styleId="28">
    <w:name w:val="样式 Char Char"/>
    <w:link w:val="18"/>
    <w:qFormat/>
    <w:uiPriority w:val="0"/>
    <w:rPr>
      <w:rFonts w:ascii="宋体" w:hAnsi="宋体"/>
      <w:sz w:val="24"/>
    </w:rPr>
  </w:style>
  <w:style w:type="character" w:customStyle="1" w:styleId="29">
    <w:name w:val="纯文本 Char"/>
    <w:basedOn w:val="16"/>
    <w:link w:val="7"/>
    <w:qFormat/>
    <w:uiPriority w:val="0"/>
    <w:rPr>
      <w:rFonts w:ascii="宋体" w:hAnsi="Courier New"/>
      <w:kern w:val="2"/>
      <w:sz w:val="21"/>
      <w:szCs w:val="21"/>
    </w:rPr>
  </w:style>
  <w:style w:type="character" w:customStyle="1" w:styleId="30">
    <w:name w:val="正文文本缩进 Char"/>
    <w:basedOn w:val="16"/>
    <w:link w:val="6"/>
    <w:qFormat/>
    <w:uiPriority w:val="0"/>
    <w:rPr>
      <w:kern w:val="2"/>
      <w:sz w:val="32"/>
    </w:rPr>
  </w:style>
  <w:style w:type="character" w:customStyle="1" w:styleId="31">
    <w:name w:val="日期 Char"/>
    <w:basedOn w:val="16"/>
    <w:link w:val="8"/>
    <w:qFormat/>
    <w:uiPriority w:val="0"/>
    <w:rPr>
      <w:rFonts w:ascii="仿宋_GB2312" w:eastAsia="仿宋_GB2312" w:cs="仿宋_GB2312"/>
      <w:kern w:val="2"/>
      <w:sz w:val="30"/>
      <w:szCs w:val="30"/>
    </w:rPr>
  </w:style>
  <w:style w:type="character" w:customStyle="1" w:styleId="32">
    <w:name w:val="纯文本 Char1"/>
    <w:basedOn w:val="16"/>
    <w:link w:val="7"/>
    <w:qFormat/>
    <w:uiPriority w:val="0"/>
    <w:rPr>
      <w:rFonts w:ascii="宋体" w:hAnsi="Courier New" w:cs="Courier New"/>
      <w:kern w:val="2"/>
      <w:sz w:val="21"/>
      <w:szCs w:val="21"/>
    </w:rPr>
  </w:style>
  <w:style w:type="character" w:customStyle="1" w:styleId="33">
    <w:name w:val="正文文本 Char"/>
    <w:basedOn w:val="16"/>
    <w:link w:val="5"/>
    <w:qFormat/>
    <w:uiPriority w:val="0"/>
    <w:rPr>
      <w:rFonts w:ascii="Arial" w:hAnsi="Arial" w:eastAsia="黑体" w:cs="Arial"/>
      <w:b/>
      <w:bCs/>
      <w:kern w:val="2"/>
      <w:sz w:val="32"/>
      <w:szCs w:val="32"/>
    </w:rPr>
  </w:style>
  <w:style w:type="character" w:customStyle="1" w:styleId="34">
    <w:name w:val="批注文字 Char"/>
    <w:basedOn w:val="16"/>
    <w:link w:val="4"/>
    <w:qFormat/>
    <w:uiPriority w:val="0"/>
    <w:rPr>
      <w:kern w:val="2"/>
      <w:sz w:val="21"/>
      <w:szCs w:val="24"/>
    </w:rPr>
  </w:style>
  <w:style w:type="character" w:customStyle="1" w:styleId="35">
    <w:name w:val="正文文本 2 Char"/>
    <w:basedOn w:val="16"/>
    <w:link w:val="13"/>
    <w:qFormat/>
    <w:uiPriority w:val="0"/>
    <w:rPr>
      <w:kern w:val="2"/>
      <w:sz w:val="21"/>
      <w:szCs w:val="21"/>
    </w:rPr>
  </w:style>
  <w:style w:type="character" w:customStyle="1" w:styleId="36">
    <w:name w:val="段 Char"/>
    <w:link w:val="23"/>
    <w:qFormat/>
    <w:uiPriority w:val="0"/>
    <w:rPr>
      <w:rFonts w:ascii="宋体"/>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16752</Words>
  <Characters>17244</Characters>
  <Lines>112</Lines>
  <Paragraphs>31</Paragraphs>
  <TotalTime>4</TotalTime>
  <ScaleCrop>false</ScaleCrop>
  <LinksUpToDate>false</LinksUpToDate>
  <CharactersWithSpaces>17537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2019-05-22T02:24:00Z</dcterms:created>
  <dc:creator>NTKO</dc:creator>
  <cp:lastModifiedBy>Administrator</cp:lastModifiedBy>
  <cp:lastPrinted>2019-05-24T01:41:00Z</cp:lastPrinted>
  <dcterms:modified xsi:type="dcterms:W3CDTF">2022-06-14T02:00:56Z</dcterms:modified>
  <dc:title>铜陵学院毕业生就业第三方评价项目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274A2FE00269434A805D91E5BEB5C53C</vt:lpwstr>
  </property>
</Properties>
</file>