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ascii="宋体" w:hAnsi="宋体" w:eastAsia="宋体" w:cs="宋体"/>
          <w:b/>
          <w:bCs/>
          <w:sz w:val="44"/>
          <w:szCs w:val="44"/>
        </w:rPr>
      </w:pPr>
    </w:p>
    <w:p>
      <w:pPr>
        <w:jc w:val="center"/>
        <w:rPr>
          <w:rFonts w:ascii="宋体" w:hAnsi="宋体" w:eastAsia="宋体" w:cs="宋体"/>
          <w:b/>
          <w:bCs/>
          <w:sz w:val="48"/>
          <w:szCs w:val="48"/>
        </w:rPr>
      </w:pPr>
      <w:r>
        <w:rPr>
          <w:rFonts w:hint="eastAsia" w:ascii="宋体" w:hAnsi="宋体" w:eastAsia="宋体" w:cs="宋体"/>
          <w:b/>
          <w:bCs/>
          <w:sz w:val="48"/>
          <w:szCs w:val="48"/>
        </w:rPr>
        <w:t>铜陵学院毕业生就业第三方评价项目</w:t>
      </w:r>
    </w:p>
    <w:p>
      <w:pPr>
        <w:jc w:val="center"/>
        <w:rPr>
          <w:rFonts w:ascii="宋体" w:hAnsi="宋体" w:eastAsia="宋体" w:cs="宋体"/>
          <w:b/>
          <w:bCs/>
          <w:sz w:val="84"/>
          <w:szCs w:val="84"/>
        </w:rPr>
      </w:pPr>
    </w:p>
    <w:p>
      <w:pPr>
        <w:jc w:val="center"/>
        <w:rPr>
          <w:rFonts w:ascii="宋体" w:hAnsi="宋体" w:eastAsia="宋体" w:cs="宋体"/>
          <w:b/>
          <w:bCs/>
          <w:sz w:val="72"/>
          <w:szCs w:val="72"/>
        </w:rPr>
      </w:pPr>
    </w:p>
    <w:p>
      <w:pPr>
        <w:jc w:val="center"/>
        <w:rPr>
          <w:rFonts w:ascii="宋体" w:hAnsi="宋体" w:eastAsia="宋体" w:cs="宋体"/>
          <w:b/>
          <w:bCs/>
          <w:sz w:val="72"/>
          <w:szCs w:val="72"/>
        </w:rPr>
      </w:pPr>
    </w:p>
    <w:p>
      <w:pPr>
        <w:jc w:val="center"/>
        <w:rPr>
          <w:rFonts w:ascii="宋体" w:hAnsi="宋体" w:eastAsia="宋体"/>
          <w:b/>
          <w:bCs/>
          <w:sz w:val="72"/>
          <w:szCs w:val="72"/>
        </w:rPr>
      </w:pPr>
      <w:r>
        <w:rPr>
          <w:rFonts w:hint="eastAsia" w:ascii="宋体" w:hAnsi="宋体" w:eastAsia="宋体" w:cs="宋体"/>
          <w:b/>
          <w:bCs/>
          <w:sz w:val="72"/>
          <w:szCs w:val="72"/>
        </w:rPr>
        <w:t>竞争性磋商文件</w:t>
      </w:r>
    </w:p>
    <w:p>
      <w:pPr>
        <w:widowControl/>
        <w:shd w:val="clear" w:color="auto" w:fill="FFFFFF"/>
        <w:spacing w:after="600"/>
        <w:jc w:val="center"/>
        <w:rPr>
          <w:rFonts w:ascii="宋体" w:hAnsi="宋体" w:eastAsia="宋体"/>
        </w:rPr>
      </w:pPr>
      <w:r>
        <w:rPr>
          <w:rFonts w:hint="eastAsia" w:ascii="宋体" w:hAnsi="宋体" w:eastAsia="宋体" w:cs="宋体"/>
          <w:b/>
          <w:bCs/>
          <w:sz w:val="30"/>
          <w:szCs w:val="30"/>
        </w:rPr>
        <w:t>项目编号：</w:t>
      </w:r>
      <w:r>
        <w:rPr>
          <w:rFonts w:hint="eastAsia" w:ascii="宋体" w:hAnsi="宋体" w:eastAsia="宋体"/>
          <w:b/>
          <w:sz w:val="28"/>
        </w:rPr>
        <w:t>HCTZ[2020]015号</w:t>
      </w:r>
    </w:p>
    <w:p>
      <w:pPr>
        <w:pStyle w:val="5"/>
        <w:spacing w:line="540" w:lineRule="exact"/>
        <w:ind w:firstLine="560" w:firstLineChars="200"/>
        <w:jc w:val="center"/>
        <w:rPr>
          <w:rFonts w:ascii="宋体" w:hAnsi="宋体" w:eastAsia="宋体"/>
          <w:bCs/>
          <w:sz w:val="28"/>
          <w:szCs w:val="28"/>
        </w:rPr>
      </w:pPr>
    </w:p>
    <w:p>
      <w:pPr>
        <w:jc w:val="center"/>
        <w:rPr>
          <w:rFonts w:ascii="宋体" w:hAnsi="宋体" w:eastAsia="宋体"/>
          <w:b/>
          <w:bCs/>
          <w:sz w:val="48"/>
          <w:szCs w:val="48"/>
        </w:rPr>
      </w:pPr>
    </w:p>
    <w:p>
      <w:pPr>
        <w:rPr>
          <w:rFonts w:ascii="宋体" w:hAnsi="宋体" w:eastAsia="宋体"/>
          <w:b/>
          <w:bCs/>
          <w:sz w:val="30"/>
          <w:szCs w:val="30"/>
        </w:rPr>
      </w:pPr>
    </w:p>
    <w:p>
      <w:pPr>
        <w:rPr>
          <w:rFonts w:ascii="宋体" w:hAnsi="宋体" w:eastAsia="宋体"/>
          <w:b/>
          <w:bCs/>
          <w:sz w:val="30"/>
          <w:szCs w:val="30"/>
        </w:rPr>
      </w:pPr>
    </w:p>
    <w:p>
      <w:pPr>
        <w:rPr>
          <w:rFonts w:ascii="宋体" w:hAnsi="宋体" w:eastAsia="宋体"/>
          <w:b/>
          <w:bCs/>
          <w:sz w:val="30"/>
          <w:szCs w:val="30"/>
        </w:rPr>
      </w:pPr>
    </w:p>
    <w:p>
      <w:pPr>
        <w:snapToGrid w:val="0"/>
        <w:spacing w:line="360" w:lineRule="auto"/>
        <w:ind w:right="-45" w:firstLine="602" w:firstLineChars="200"/>
        <w:rPr>
          <w:rFonts w:ascii="宋体" w:hAnsi="宋体" w:eastAsia="宋体"/>
          <w:b/>
          <w:bCs/>
          <w:sz w:val="30"/>
          <w:szCs w:val="30"/>
          <w:u w:val="single"/>
        </w:rPr>
      </w:pPr>
      <w:r>
        <w:rPr>
          <w:rFonts w:hint="eastAsia" w:ascii="宋体" w:hAnsi="宋体" w:eastAsia="宋体"/>
          <w:b/>
          <w:sz w:val="30"/>
          <w:szCs w:val="30"/>
        </w:rPr>
        <w:t>采购人</w:t>
      </w:r>
      <w:r>
        <w:rPr>
          <w:rFonts w:ascii="宋体" w:hAnsi="宋体" w:eastAsia="宋体"/>
          <w:b/>
          <w:sz w:val="30"/>
          <w:szCs w:val="30"/>
        </w:rPr>
        <w:t>:</w:t>
      </w:r>
      <w:r>
        <w:rPr>
          <w:rFonts w:hint="eastAsia" w:ascii="宋体" w:hAnsi="宋体" w:eastAsia="宋体"/>
          <w:b/>
          <w:bCs/>
          <w:sz w:val="30"/>
          <w:szCs w:val="30"/>
          <w:u w:val="single"/>
        </w:rPr>
        <w:t xml:space="preserve"> 铜陵学院</w:t>
      </w:r>
    </w:p>
    <w:p>
      <w:pPr>
        <w:spacing w:line="360" w:lineRule="auto"/>
        <w:ind w:right="-645" w:firstLine="1761" w:firstLineChars="587"/>
        <w:jc w:val="center"/>
        <w:rPr>
          <w:rFonts w:ascii="宋体" w:hAnsi="宋体" w:eastAsia="宋体"/>
          <w:sz w:val="30"/>
          <w:szCs w:val="30"/>
        </w:rPr>
      </w:pPr>
    </w:p>
    <w:p>
      <w:pPr>
        <w:snapToGrid w:val="0"/>
        <w:spacing w:line="360" w:lineRule="auto"/>
        <w:ind w:firstLine="602" w:firstLineChars="200"/>
        <w:rPr>
          <w:rFonts w:ascii="宋体" w:hAnsi="宋体" w:eastAsia="宋体"/>
          <w:b/>
          <w:bCs/>
          <w:sz w:val="30"/>
          <w:szCs w:val="30"/>
        </w:rPr>
      </w:pPr>
      <w:r>
        <w:rPr>
          <w:rFonts w:hint="eastAsia" w:ascii="宋体" w:hAnsi="宋体" w:eastAsia="宋体"/>
          <w:b/>
          <w:sz w:val="30"/>
          <w:szCs w:val="30"/>
        </w:rPr>
        <w:t>采购代理机构</w:t>
      </w:r>
      <w:r>
        <w:rPr>
          <w:rFonts w:ascii="宋体" w:hAnsi="宋体" w:eastAsia="宋体"/>
          <w:b/>
          <w:sz w:val="30"/>
          <w:szCs w:val="30"/>
        </w:rPr>
        <w:t>:</w:t>
      </w:r>
      <w:r>
        <w:rPr>
          <w:rFonts w:hint="eastAsia" w:ascii="宋体" w:hAnsi="宋体" w:eastAsia="宋体"/>
          <w:sz w:val="30"/>
          <w:szCs w:val="30"/>
        </w:rPr>
        <w:t xml:space="preserve"> </w:t>
      </w:r>
      <w:r>
        <w:rPr>
          <w:rFonts w:hint="eastAsia" w:ascii="宋体" w:hAnsi="宋体" w:eastAsia="宋体"/>
          <w:b/>
          <w:bCs/>
          <w:sz w:val="30"/>
          <w:szCs w:val="30"/>
          <w:u w:val="single"/>
        </w:rPr>
        <w:t>华春建设工程项目管理有限责任公司</w:t>
      </w:r>
    </w:p>
    <w:p>
      <w:pPr>
        <w:jc w:val="center"/>
        <w:rPr>
          <w:rFonts w:ascii="宋体" w:hAnsi="宋体" w:eastAsia="宋体"/>
          <w:b/>
          <w:bCs/>
          <w:sz w:val="30"/>
          <w:szCs w:val="30"/>
        </w:rPr>
      </w:pPr>
    </w:p>
    <w:p>
      <w:pPr>
        <w:jc w:val="center"/>
        <w:rPr>
          <w:rFonts w:ascii="宋体" w:hAnsi="宋体" w:eastAsia="宋体"/>
          <w:b/>
          <w:bCs/>
          <w:sz w:val="30"/>
          <w:szCs w:val="30"/>
        </w:rPr>
      </w:pPr>
      <w:r>
        <w:rPr>
          <w:rFonts w:hint="eastAsia" w:ascii="宋体" w:hAnsi="宋体" w:eastAsia="宋体" w:cs="宋体"/>
          <w:b/>
          <w:bCs/>
          <w:sz w:val="30"/>
          <w:szCs w:val="30"/>
        </w:rPr>
        <w:t>二〇二〇年六月</w:t>
      </w:r>
    </w:p>
    <w:p>
      <w:pPr>
        <w:jc w:val="center"/>
        <w:rPr>
          <w:rFonts w:ascii="宋体" w:hAnsi="宋体" w:eastAsia="宋体"/>
          <w:b/>
          <w:bCs/>
          <w:sz w:val="30"/>
          <w:szCs w:val="30"/>
        </w:rPr>
      </w:pPr>
    </w:p>
    <w:p>
      <w:pPr>
        <w:ind w:firstLine="643" w:firstLineChars="200"/>
        <w:jc w:val="center"/>
        <w:rPr>
          <w:rFonts w:ascii="宋体" w:hAnsi="宋体" w:eastAsia="宋体" w:cs="宋体"/>
          <w:b/>
          <w:bCs/>
          <w:sz w:val="32"/>
          <w:szCs w:val="32"/>
        </w:rPr>
        <w:sectPr>
          <w:headerReference r:id="rId6" w:type="first"/>
          <w:footerReference r:id="rId9" w:type="first"/>
          <w:headerReference r:id="rId4" w:type="default"/>
          <w:footerReference r:id="rId7" w:type="default"/>
          <w:headerReference r:id="rId5" w:type="even"/>
          <w:footerReference r:id="rId8" w:type="even"/>
          <w:pgSz w:w="11906" w:h="16838"/>
          <w:pgMar w:top="1440" w:right="1440" w:bottom="1440" w:left="1440" w:header="851" w:footer="992" w:gutter="0"/>
          <w:cols w:space="720" w:num="1"/>
          <w:titlePg/>
          <w:docGrid w:type="lines" w:linePitch="319" w:charSpace="0"/>
        </w:sectPr>
      </w:pPr>
    </w:p>
    <w:p>
      <w:pPr>
        <w:ind w:firstLine="643" w:firstLineChars="200"/>
        <w:jc w:val="center"/>
        <w:rPr>
          <w:rFonts w:ascii="宋体" w:hAnsi="宋体" w:eastAsia="宋体"/>
          <w:b/>
          <w:bCs/>
          <w:sz w:val="30"/>
          <w:szCs w:val="30"/>
        </w:rPr>
      </w:pPr>
      <w:r>
        <w:rPr>
          <w:rFonts w:hint="eastAsia" w:ascii="宋体" w:hAnsi="宋体" w:eastAsia="宋体" w:cs="宋体"/>
          <w:b/>
          <w:bCs/>
          <w:sz w:val="32"/>
          <w:szCs w:val="32"/>
        </w:rPr>
        <w:t>目   录</w:t>
      </w:r>
    </w:p>
    <w:p>
      <w:pPr>
        <w:pStyle w:val="10"/>
        <w:tabs>
          <w:tab w:val="left" w:pos="1050"/>
          <w:tab w:val="right" w:leader="dot" w:pos="8296"/>
        </w:tabs>
        <w:spacing w:line="520" w:lineRule="exact"/>
        <w:rPr>
          <w:rFonts w:ascii="宋体" w:hAnsi="宋体" w:eastAsia="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TOC \h \z \t "001大标题,1,002标题,2"</w:instrText>
      </w:r>
      <w:r>
        <w:rPr>
          <w:rFonts w:hint="eastAsia" w:ascii="宋体" w:hAnsi="宋体" w:eastAsia="宋体" w:cs="宋体"/>
          <w:sz w:val="28"/>
          <w:szCs w:val="28"/>
        </w:rPr>
        <w:fldChar w:fldCharType="separate"/>
      </w:r>
      <w:r>
        <w:fldChar w:fldCharType="begin"/>
      </w:r>
      <w:r>
        <w:instrText xml:space="preserve"> HYPERLINK "file:///F:\\2016造价咨询\\2016招标代理\\081-铜官区《西湖镇产业发展规划》编制服务采购\\铜官区《西湖镇产业发展规划》编制服务采购竞争性磋商文件.rtf" \l "_Toc383776341#_Toc383776341" </w:instrText>
      </w:r>
      <w:r>
        <w:fldChar w:fldCharType="separate"/>
      </w:r>
      <w:r>
        <w:rPr>
          <w:rFonts w:hint="eastAsia" w:ascii="宋体" w:hAnsi="宋体" w:eastAsia="宋体" w:cs="宋体"/>
          <w:sz w:val="28"/>
          <w:szCs w:val="28"/>
        </w:rPr>
        <w:t>第一章</w:t>
      </w:r>
      <w:r>
        <w:rPr>
          <w:rFonts w:ascii="宋体" w:hAnsi="宋体" w:eastAsia="宋体"/>
          <w:sz w:val="28"/>
          <w:szCs w:val="28"/>
        </w:rPr>
        <w:tab/>
      </w:r>
      <w:r>
        <w:rPr>
          <w:rFonts w:hint="eastAsia" w:ascii="宋体" w:hAnsi="宋体" w:eastAsia="宋体" w:cs="宋体"/>
          <w:sz w:val="28"/>
          <w:szCs w:val="28"/>
        </w:rPr>
        <w:t>竞争性磋商书</w:t>
      </w:r>
      <w:r>
        <w:rPr>
          <w:rFonts w:hint="eastAsia" w:ascii="宋体" w:hAnsi="宋体" w:eastAsia="宋体" w:cs="宋体"/>
          <w:sz w:val="28"/>
          <w:szCs w:val="28"/>
        </w:rPr>
        <w:fldChar w:fldCharType="end"/>
      </w:r>
    </w:p>
    <w:p>
      <w:pPr>
        <w:pStyle w:val="11"/>
        <w:tabs>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"_Toc383776342#_Toc383776342" </w:instrText>
      </w:r>
      <w:r>
        <w:fldChar w:fldCharType="separate"/>
      </w:r>
      <w:r>
        <w:rPr>
          <w:rFonts w:hint="eastAsia" w:ascii="宋体" w:hAnsi="宋体" w:eastAsia="宋体" w:cs="宋体"/>
          <w:sz w:val="28"/>
          <w:szCs w:val="28"/>
        </w:rPr>
        <w:t>一、供应商须知前附表</w:t>
      </w:r>
      <w:r>
        <w:rPr>
          <w:rFonts w:hint="eastAsia" w:ascii="宋体" w:hAnsi="宋体" w:eastAsia="宋体" w:cs="宋体"/>
          <w:sz w:val="28"/>
          <w:szCs w:val="28"/>
        </w:rPr>
        <w:fldChar w:fldCharType="end"/>
      </w:r>
    </w:p>
    <w:p>
      <w:pPr>
        <w:pStyle w:val="11"/>
        <w:tabs>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"_Toc383776343#_Toc383776343" </w:instrText>
      </w:r>
      <w:r>
        <w:fldChar w:fldCharType="separate"/>
      </w:r>
      <w:r>
        <w:rPr>
          <w:rFonts w:hint="eastAsia" w:ascii="宋体" w:hAnsi="宋体" w:eastAsia="宋体" w:cs="宋体"/>
          <w:sz w:val="28"/>
          <w:szCs w:val="28"/>
        </w:rPr>
        <w:t>二、供应商须知</w:t>
      </w:r>
      <w:r>
        <w:rPr>
          <w:rFonts w:hint="eastAsia" w:ascii="宋体" w:hAnsi="宋体" w:eastAsia="宋体" w:cs="宋体"/>
          <w:sz w:val="28"/>
          <w:szCs w:val="28"/>
        </w:rPr>
        <w:fldChar w:fldCharType="end"/>
      </w:r>
    </w:p>
    <w:p>
      <w:pPr>
        <w:pStyle w:val="11"/>
        <w:tabs>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"_Toc383776344#_Toc383776344" </w:instrText>
      </w:r>
      <w:r>
        <w:fldChar w:fldCharType="separate"/>
      </w:r>
      <w:r>
        <w:rPr>
          <w:rFonts w:hint="eastAsia" w:ascii="宋体" w:hAnsi="宋体" w:eastAsia="宋体" w:cs="宋体"/>
          <w:sz w:val="28"/>
          <w:szCs w:val="28"/>
        </w:rPr>
        <w:t>（一）总则</w:t>
      </w:r>
      <w:r>
        <w:rPr>
          <w:rFonts w:hint="eastAsia" w:ascii="宋体" w:hAnsi="宋体" w:eastAsia="宋体" w:cs="宋体"/>
          <w:sz w:val="28"/>
          <w:szCs w:val="28"/>
        </w:rPr>
        <w:fldChar w:fldCharType="end"/>
      </w:r>
    </w:p>
    <w:p>
      <w:pPr>
        <w:pStyle w:val="11"/>
        <w:tabs>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"_Toc383776345#_Toc383776345" </w:instrText>
      </w:r>
      <w:r>
        <w:fldChar w:fldCharType="separate"/>
      </w:r>
      <w:r>
        <w:rPr>
          <w:rFonts w:hint="eastAsia" w:ascii="宋体" w:hAnsi="宋体" w:eastAsia="宋体" w:cs="宋体"/>
          <w:sz w:val="28"/>
          <w:szCs w:val="28"/>
        </w:rPr>
        <w:t>（二）竞争性磋商文件</w:t>
      </w:r>
      <w:r>
        <w:rPr>
          <w:rFonts w:hint="eastAsia" w:ascii="宋体" w:hAnsi="宋体" w:eastAsia="宋体" w:cs="宋体"/>
          <w:sz w:val="28"/>
          <w:szCs w:val="28"/>
        </w:rPr>
        <w:fldChar w:fldCharType="end"/>
      </w:r>
    </w:p>
    <w:p>
      <w:pPr>
        <w:pStyle w:val="11"/>
        <w:tabs>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"_Toc383776346#_Toc383776346" </w:instrText>
      </w:r>
      <w:r>
        <w:fldChar w:fldCharType="separate"/>
      </w:r>
      <w:r>
        <w:rPr>
          <w:rFonts w:hint="eastAsia" w:ascii="宋体" w:hAnsi="宋体" w:eastAsia="宋体" w:cs="宋体"/>
          <w:sz w:val="28"/>
          <w:szCs w:val="28"/>
        </w:rPr>
        <w:t>（三）磋商响应书的编制</w:t>
      </w:r>
      <w:r>
        <w:rPr>
          <w:rFonts w:hint="eastAsia" w:ascii="宋体" w:hAnsi="宋体" w:eastAsia="宋体" w:cs="宋体"/>
          <w:sz w:val="28"/>
          <w:szCs w:val="28"/>
        </w:rPr>
        <w:fldChar w:fldCharType="end"/>
      </w:r>
    </w:p>
    <w:p>
      <w:pPr>
        <w:pStyle w:val="11"/>
        <w:tabs>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"_Toc383776347#_Toc383776347" </w:instrText>
      </w:r>
      <w:r>
        <w:fldChar w:fldCharType="separate"/>
      </w:r>
      <w:r>
        <w:rPr>
          <w:rFonts w:hint="eastAsia" w:ascii="宋体" w:hAnsi="宋体" w:eastAsia="宋体" w:cs="宋体"/>
          <w:sz w:val="28"/>
          <w:szCs w:val="28"/>
        </w:rPr>
        <w:t>（四）磋商响应书的递交</w:t>
      </w:r>
      <w:r>
        <w:rPr>
          <w:rFonts w:hint="eastAsia" w:ascii="宋体" w:hAnsi="宋体" w:eastAsia="宋体" w:cs="宋体"/>
          <w:sz w:val="28"/>
          <w:szCs w:val="28"/>
        </w:rPr>
        <w:fldChar w:fldCharType="end"/>
      </w:r>
    </w:p>
    <w:p>
      <w:pPr>
        <w:pStyle w:val="11"/>
        <w:tabs>
          <w:tab w:val="right" w:leader="dot" w:pos="8296"/>
        </w:tabs>
        <w:spacing w:line="520" w:lineRule="exact"/>
        <w:rPr>
          <w:rFonts w:ascii="宋体" w:hAnsi="宋体" w:eastAsia="宋体" w:cs="宋体"/>
          <w:sz w:val="28"/>
          <w:szCs w:val="28"/>
        </w:rPr>
      </w:pPr>
      <w:r>
        <w:rPr>
          <w:rFonts w:ascii="宋体" w:hAnsi="宋体" w:eastAsia="宋体"/>
          <w:sz w:val="28"/>
          <w:szCs w:val="28"/>
        </w:rPr>
        <w:fldChar w:fldCharType="begin"/>
      </w:r>
      <w:r>
        <w:rPr>
          <w:rFonts w:hint="eastAsia" w:ascii="宋体" w:hAnsi="宋体" w:eastAsia="宋体"/>
          <w:sz w:val="28"/>
          <w:szCs w:val="28"/>
        </w:rPr>
        <w:instrText xml:space="preserve">HYPERLINK "file:///F:\\2016造价咨询\\2016招标代理\\081-铜官区《西湖镇产业发展规划》编制服务采购\\铜官区《西湖镇产业发展规划》编制服务采购竞争性磋商文件.rtf" \l "_Toc383776348#_Toc383776348"</w:instrText>
      </w:r>
      <w:r>
        <w:rPr>
          <w:rFonts w:ascii="宋体" w:hAnsi="宋体" w:eastAsia="宋体"/>
          <w:sz w:val="28"/>
          <w:szCs w:val="28"/>
        </w:rPr>
        <w:fldChar w:fldCharType="separate"/>
      </w:r>
      <w:r>
        <w:rPr>
          <w:rFonts w:hint="eastAsia" w:ascii="宋体" w:hAnsi="宋体" w:eastAsia="宋体" w:cs="宋体"/>
          <w:sz w:val="28"/>
          <w:szCs w:val="28"/>
        </w:rPr>
        <w:t>（五）磋商办法</w:t>
      </w:r>
    </w:p>
    <w:p>
      <w:pPr>
        <w:pStyle w:val="11"/>
        <w:tabs>
          <w:tab w:val="left" w:pos="532"/>
        </w:tabs>
        <w:spacing w:line="520" w:lineRule="exact"/>
        <w:ind w:left="0" w:leftChars="0" w:firstLine="420" w:firstLineChars="150"/>
        <w:rPr>
          <w:rFonts w:ascii="宋体" w:hAnsi="宋体" w:eastAsia="宋体" w:cs="宋体"/>
          <w:sz w:val="28"/>
          <w:szCs w:val="28"/>
        </w:rPr>
      </w:pPr>
      <w:r>
        <w:rPr>
          <w:rFonts w:ascii="宋体" w:hAnsi="宋体" w:eastAsia="宋体"/>
          <w:sz w:val="28"/>
          <w:szCs w:val="28"/>
        </w:rPr>
        <w:fldChar w:fldCharType="end"/>
      </w:r>
      <w:r>
        <w:rPr>
          <w:rFonts w:ascii="宋体" w:hAnsi="宋体" w:eastAsia="宋体"/>
          <w:sz w:val="28"/>
          <w:szCs w:val="28"/>
        </w:rPr>
        <w:fldChar w:fldCharType="begin"/>
      </w:r>
      <w:r>
        <w:rPr>
          <w:rFonts w:hint="eastAsia" w:ascii="宋体" w:hAnsi="宋体" w:eastAsia="宋体"/>
          <w:sz w:val="28"/>
          <w:szCs w:val="28"/>
        </w:rPr>
        <w:instrText xml:space="preserve">HYPERLINK "file:///F:\\2016造价咨询\\2016招标代理\\081-铜官区《西湖镇产业发展规划》编制服务采购\\铜官区《西湖镇产业发展规划》编制服务采购竞争性磋商文件.rtf" \l "_Toc383776349#_Toc383776349"</w:instrText>
      </w:r>
      <w:r>
        <w:rPr>
          <w:rFonts w:ascii="宋体" w:hAnsi="宋体" w:eastAsia="宋体"/>
          <w:sz w:val="28"/>
          <w:szCs w:val="28"/>
        </w:rPr>
        <w:fldChar w:fldCharType="separate"/>
      </w:r>
      <w:r>
        <w:rPr>
          <w:rFonts w:hint="eastAsia" w:ascii="宋体" w:hAnsi="宋体" w:eastAsia="宋体" w:cs="宋体"/>
          <w:sz w:val="28"/>
          <w:szCs w:val="28"/>
        </w:rPr>
        <w:t>（六）合同的签订、履行及签收</w:t>
      </w:r>
    </w:p>
    <w:p>
      <w:pPr>
        <w:pStyle w:val="11"/>
        <w:tabs>
          <w:tab w:val="right" w:leader="dot" w:pos="8296"/>
        </w:tabs>
        <w:spacing w:line="520" w:lineRule="exact"/>
        <w:rPr>
          <w:rFonts w:ascii="宋体" w:hAnsi="宋体" w:eastAsia="宋体"/>
          <w:sz w:val="28"/>
          <w:szCs w:val="28"/>
        </w:rPr>
      </w:pPr>
      <w:r>
        <w:rPr>
          <w:rFonts w:hint="eastAsia" w:ascii="宋体" w:hAnsi="宋体" w:eastAsia="宋体" w:cs="宋体"/>
          <w:sz w:val="28"/>
          <w:szCs w:val="28"/>
        </w:rPr>
        <w:t>（七）质疑</w:t>
      </w:r>
      <w:r>
        <w:rPr>
          <w:rFonts w:ascii="宋体" w:hAnsi="宋体" w:eastAsia="宋体"/>
          <w:sz w:val="28"/>
          <w:szCs w:val="28"/>
        </w:rPr>
        <w:fldChar w:fldCharType="end"/>
      </w:r>
    </w:p>
    <w:p>
      <w:pPr>
        <w:pStyle w:val="11"/>
        <w:tabs>
          <w:tab w:val="right" w:leader="dot" w:pos="8296"/>
        </w:tabs>
        <w:spacing w:line="520" w:lineRule="exact"/>
        <w:rPr>
          <w:rFonts w:ascii="宋体" w:hAnsi="宋体" w:eastAsia="宋体"/>
          <w:sz w:val="28"/>
          <w:szCs w:val="28"/>
        </w:rPr>
      </w:pPr>
      <w:r>
        <w:rPr>
          <w:rFonts w:hint="eastAsia" w:ascii="宋体" w:hAnsi="宋体" w:eastAsia="宋体"/>
          <w:sz w:val="28"/>
          <w:szCs w:val="28"/>
        </w:rPr>
        <w:t>三、项目的具体内容、技术要求及其方案</w:t>
      </w:r>
    </w:p>
    <w:p>
      <w:pPr>
        <w:pStyle w:val="10"/>
        <w:tabs>
          <w:tab w:val="left" w:pos="1050"/>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"_Toc383776351#_Toc383776351" </w:instrText>
      </w:r>
      <w:r>
        <w:fldChar w:fldCharType="separate"/>
      </w:r>
      <w:r>
        <w:rPr>
          <w:rFonts w:hint="eastAsia" w:ascii="宋体" w:hAnsi="宋体" w:eastAsia="宋体" w:cs="宋体"/>
          <w:sz w:val="28"/>
          <w:szCs w:val="28"/>
        </w:rPr>
        <w:t>第二章</w:t>
      </w:r>
      <w:r>
        <w:rPr>
          <w:rFonts w:ascii="宋体" w:hAnsi="宋体" w:eastAsia="宋体"/>
          <w:sz w:val="28"/>
          <w:szCs w:val="28"/>
        </w:rPr>
        <w:tab/>
      </w:r>
      <w:r>
        <w:rPr>
          <w:rFonts w:hint="eastAsia" w:ascii="宋体" w:hAnsi="宋体" w:eastAsia="宋体" w:cs="宋体"/>
          <w:sz w:val="28"/>
          <w:szCs w:val="28"/>
        </w:rPr>
        <w:t>磋商响应书</w:t>
      </w:r>
      <w:r>
        <w:rPr>
          <w:rFonts w:hint="eastAsia" w:ascii="宋体" w:hAnsi="宋体" w:eastAsia="宋体" w:cs="宋体"/>
          <w:sz w:val="28"/>
          <w:szCs w:val="28"/>
        </w:rPr>
        <w:fldChar w:fldCharType="end"/>
      </w:r>
    </w:p>
    <w:p>
      <w:pPr>
        <w:pStyle w:val="11"/>
        <w:tabs>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"_Toc383776352#_Toc383776352" </w:instrText>
      </w:r>
      <w:r>
        <w:fldChar w:fldCharType="separate"/>
      </w:r>
      <w:r>
        <w:rPr>
          <w:rFonts w:hint="eastAsia" w:ascii="宋体" w:hAnsi="宋体" w:eastAsia="宋体" w:cs="宋体"/>
          <w:sz w:val="28"/>
          <w:szCs w:val="28"/>
        </w:rPr>
        <w:t>封面</w:t>
      </w:r>
      <w:r>
        <w:rPr>
          <w:rFonts w:hint="eastAsia" w:ascii="宋体" w:hAnsi="宋体" w:eastAsia="宋体" w:cs="宋体"/>
          <w:sz w:val="28"/>
          <w:szCs w:val="28"/>
        </w:rPr>
        <w:fldChar w:fldCharType="end"/>
      </w:r>
    </w:p>
    <w:p>
      <w:pPr>
        <w:pStyle w:val="11"/>
        <w:tabs>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"_Toc383776353#_Toc383776353" </w:instrText>
      </w:r>
      <w:r>
        <w:fldChar w:fldCharType="separate"/>
      </w:r>
      <w:r>
        <w:rPr>
          <w:rFonts w:hint="eastAsia" w:ascii="宋体" w:hAnsi="宋体" w:eastAsia="宋体" w:cs="宋体"/>
          <w:sz w:val="28"/>
          <w:szCs w:val="28"/>
        </w:rPr>
        <w:t>一、磋商响应函格式</w:t>
      </w:r>
      <w:r>
        <w:rPr>
          <w:rFonts w:hint="eastAsia" w:ascii="宋体" w:hAnsi="宋体" w:eastAsia="宋体" w:cs="宋体"/>
          <w:sz w:val="28"/>
          <w:szCs w:val="28"/>
        </w:rPr>
        <w:fldChar w:fldCharType="end"/>
      </w:r>
    </w:p>
    <w:p>
      <w:pPr>
        <w:pStyle w:val="11"/>
        <w:tabs>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"_Toc383776354#_Toc383776354" </w:instrText>
      </w:r>
      <w:r>
        <w:fldChar w:fldCharType="separate"/>
      </w:r>
      <w:r>
        <w:rPr>
          <w:rFonts w:hint="eastAsia" w:ascii="宋体" w:hAnsi="宋体" w:eastAsia="宋体" w:cs="宋体"/>
          <w:sz w:val="28"/>
          <w:szCs w:val="28"/>
        </w:rPr>
        <w:t>二、技术服务方案</w:t>
      </w:r>
      <w:r>
        <w:rPr>
          <w:rFonts w:hint="eastAsia" w:ascii="宋体" w:hAnsi="宋体" w:eastAsia="宋体" w:cs="宋体"/>
          <w:sz w:val="28"/>
          <w:szCs w:val="28"/>
        </w:rPr>
        <w:fldChar w:fldCharType="end"/>
      </w:r>
    </w:p>
    <w:p>
      <w:pPr>
        <w:pStyle w:val="11"/>
        <w:tabs>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"_Toc383776355#_Toc383776355" </w:instrText>
      </w:r>
      <w:r>
        <w:fldChar w:fldCharType="separate"/>
      </w:r>
      <w:r>
        <w:rPr>
          <w:rFonts w:hint="eastAsia" w:ascii="宋体" w:hAnsi="宋体" w:eastAsia="宋体" w:cs="宋体"/>
          <w:sz w:val="28"/>
          <w:szCs w:val="28"/>
        </w:rPr>
        <w:t>三、法定代表人授权书</w:t>
      </w:r>
      <w:r>
        <w:rPr>
          <w:rFonts w:hint="eastAsia" w:ascii="宋体" w:hAnsi="宋体" w:eastAsia="宋体" w:cs="宋体"/>
          <w:sz w:val="28"/>
          <w:szCs w:val="28"/>
        </w:rPr>
        <w:fldChar w:fldCharType="end"/>
      </w:r>
    </w:p>
    <w:p>
      <w:pPr>
        <w:pStyle w:val="11"/>
        <w:tabs>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"_Toc383776356#_Toc383776356" </w:instrText>
      </w:r>
      <w:r>
        <w:fldChar w:fldCharType="separate"/>
      </w:r>
      <w:r>
        <w:rPr>
          <w:rFonts w:hint="eastAsia" w:ascii="宋体" w:hAnsi="宋体" w:eastAsia="宋体" w:cs="宋体"/>
          <w:sz w:val="28"/>
          <w:szCs w:val="28"/>
        </w:rPr>
        <w:t>四、资格证明文件</w:t>
      </w:r>
      <w:r>
        <w:rPr>
          <w:rFonts w:hint="eastAsia" w:ascii="宋体" w:hAnsi="宋体" w:eastAsia="宋体" w:cs="宋体"/>
          <w:sz w:val="28"/>
          <w:szCs w:val="28"/>
        </w:rPr>
        <w:fldChar w:fldCharType="end"/>
      </w:r>
    </w:p>
    <w:p>
      <w:pPr>
        <w:pStyle w:val="11"/>
        <w:tabs>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"_Toc383776357#_Toc383776357" </w:instrText>
      </w:r>
      <w:r>
        <w:fldChar w:fldCharType="separate"/>
      </w:r>
      <w:r>
        <w:rPr>
          <w:rFonts w:hint="eastAsia" w:ascii="宋体" w:hAnsi="宋体" w:eastAsia="宋体" w:cs="宋体"/>
          <w:sz w:val="28"/>
          <w:szCs w:val="28"/>
        </w:rPr>
        <w:t>五、需要提供其它的资料</w:t>
      </w:r>
      <w:r>
        <w:rPr>
          <w:rFonts w:hint="eastAsia" w:ascii="宋体" w:hAnsi="宋体" w:eastAsia="宋体" w:cs="宋体"/>
          <w:sz w:val="28"/>
          <w:szCs w:val="28"/>
        </w:rPr>
        <w:fldChar w:fldCharType="end"/>
      </w:r>
    </w:p>
    <w:p>
      <w:pPr>
        <w:pStyle w:val="11"/>
        <w:tabs>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"_Toc383776358#_Toc383776358" </w:instrText>
      </w:r>
      <w:r>
        <w:fldChar w:fldCharType="separate"/>
      </w:r>
      <w:r>
        <w:rPr>
          <w:rFonts w:hint="eastAsia" w:ascii="宋体" w:hAnsi="宋体" w:eastAsia="宋体" w:cs="宋体"/>
          <w:sz w:val="28"/>
          <w:szCs w:val="28"/>
        </w:rPr>
        <w:t>六、磋商响应报价表</w:t>
      </w:r>
      <w:r>
        <w:rPr>
          <w:rFonts w:hint="eastAsia" w:ascii="宋体" w:hAnsi="宋体" w:eastAsia="宋体" w:cs="宋体"/>
          <w:sz w:val="28"/>
          <w:szCs w:val="28"/>
        </w:rPr>
        <w:fldChar w:fldCharType="end"/>
      </w:r>
    </w:p>
    <w:p>
      <w:pPr>
        <w:spacing w:line="500" w:lineRule="exact"/>
        <w:ind w:right="42" w:rightChars="20" w:firstLine="560" w:firstLineChars="200"/>
        <w:jc w:val="left"/>
        <w:rPr>
          <w:rFonts w:ascii="宋体" w:hAnsi="宋体" w:eastAsia="宋体"/>
          <w:b/>
          <w:bCs/>
          <w:sz w:val="30"/>
          <w:szCs w:val="30"/>
        </w:rPr>
      </w:pPr>
      <w:r>
        <w:rPr>
          <w:rFonts w:hint="eastAsia" w:ascii="宋体" w:hAnsi="宋体" w:eastAsia="宋体" w:cs="宋体"/>
          <w:sz w:val="28"/>
          <w:szCs w:val="28"/>
        </w:rPr>
        <w:fldChar w:fldCharType="end"/>
      </w:r>
    </w:p>
    <w:p>
      <w:pPr>
        <w:pStyle w:val="18"/>
        <w:tabs>
          <w:tab w:val="left" w:pos="420"/>
        </w:tabs>
        <w:spacing w:line="420" w:lineRule="exact"/>
        <w:rPr>
          <w:rFonts w:ascii="宋体" w:hAnsi="宋体" w:eastAsia="宋体"/>
          <w:b w:val="0"/>
          <w:kern w:val="36"/>
          <w:sz w:val="32"/>
          <w:szCs w:val="32"/>
        </w:rPr>
      </w:pPr>
      <w:r>
        <w:rPr>
          <w:rFonts w:hint="eastAsia" w:ascii="宋体" w:hAnsi="宋体" w:eastAsia="宋体"/>
          <w:b w:val="0"/>
          <w:bCs w:val="0"/>
        </w:rPr>
        <w:br w:type="page"/>
      </w:r>
      <w:bookmarkStart w:id="0" w:name="_Toc272141463"/>
      <w:bookmarkStart w:id="1" w:name="_Hlk450146187"/>
      <w:bookmarkStart w:id="2" w:name="_Toc383776341"/>
      <w:bookmarkStart w:id="3" w:name="_Toc338398712"/>
      <w:r>
        <w:rPr>
          <w:rFonts w:hint="eastAsia" w:ascii="宋体" w:hAnsi="宋体" w:eastAsia="宋体"/>
        </w:rPr>
        <w:t>铜陵学院毕业生就业第三方评价项目</w:t>
      </w:r>
    </w:p>
    <w:p>
      <w:pPr>
        <w:pStyle w:val="18"/>
        <w:tabs>
          <w:tab w:val="left" w:pos="420"/>
        </w:tabs>
        <w:spacing w:line="420" w:lineRule="exact"/>
        <w:rPr>
          <w:rFonts w:ascii="宋体" w:hAnsi="宋体" w:eastAsia="宋体"/>
          <w:b w:val="0"/>
          <w:bCs w:val="0"/>
        </w:rPr>
      </w:pPr>
      <w:r>
        <w:rPr>
          <w:rFonts w:hint="eastAsia" w:ascii="宋体" w:hAnsi="宋体" w:eastAsia="宋体"/>
        </w:rPr>
        <w:t>竞争性磋商公告</w:t>
      </w:r>
    </w:p>
    <w:p>
      <w:pPr>
        <w:widowControl/>
        <w:snapToGrid w:val="0"/>
        <w:spacing w:line="420" w:lineRule="exact"/>
        <w:ind w:firstLine="480" w:firstLineChars="200"/>
        <w:rPr>
          <w:rFonts w:ascii="宋体" w:hAnsi="宋体" w:eastAsia="宋体" w:cs="宋体"/>
          <w:kern w:val="0"/>
          <w:sz w:val="24"/>
          <w:szCs w:val="24"/>
        </w:rPr>
      </w:pPr>
    </w:p>
    <w:p>
      <w:pPr>
        <w:widowControl/>
        <w:snapToGrid w:val="0"/>
        <w:spacing w:line="42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华春建设工程项目管理有限责任公司受铜陵学院委托，现对铜陵学院毕业生就业第三方评价项目进行竞争性磋商，欢迎具备条件的供应商参加磋商。</w:t>
      </w:r>
    </w:p>
    <w:p>
      <w:pPr>
        <w:snapToGrid w:val="0"/>
        <w:spacing w:line="420" w:lineRule="exact"/>
        <w:jc w:val="left"/>
        <w:rPr>
          <w:rFonts w:ascii="宋体" w:hAnsi="宋体" w:eastAsia="宋体" w:cs="宋体"/>
          <w:b/>
          <w:kern w:val="0"/>
          <w:sz w:val="24"/>
          <w:szCs w:val="24"/>
        </w:rPr>
      </w:pPr>
      <w:r>
        <w:rPr>
          <w:rFonts w:hint="eastAsia" w:ascii="宋体" w:hAnsi="宋体" w:eastAsia="宋体" w:cs="宋体"/>
          <w:b/>
          <w:kern w:val="0"/>
          <w:sz w:val="24"/>
          <w:szCs w:val="24"/>
        </w:rPr>
        <w:t>（一）项目概况与采购范围：</w:t>
      </w:r>
    </w:p>
    <w:p>
      <w:pPr>
        <w:pStyle w:val="13"/>
        <w:snapToGrid w:val="0"/>
        <w:spacing w:line="420" w:lineRule="exact"/>
        <w:ind w:firstLine="480" w:firstLineChars="200"/>
        <w:rPr>
          <w:rStyle w:val="15"/>
          <w:rFonts w:ascii="宋体" w:hAnsi="宋体" w:eastAsia="宋体" w:cs="宋体"/>
          <w:b w:val="0"/>
        </w:rPr>
      </w:pPr>
      <w:r>
        <w:rPr>
          <w:rStyle w:val="15"/>
          <w:rFonts w:hint="eastAsia" w:ascii="宋体" w:hAnsi="宋体" w:eastAsia="宋体" w:cs="宋体"/>
          <w:b w:val="0"/>
        </w:rPr>
        <w:t>1、项目编号：HCTZ[2020]015号</w:t>
      </w:r>
    </w:p>
    <w:p>
      <w:pPr>
        <w:pStyle w:val="13"/>
        <w:snapToGrid w:val="0"/>
        <w:spacing w:line="420" w:lineRule="exact"/>
        <w:ind w:firstLine="480" w:firstLineChars="200"/>
        <w:rPr>
          <w:rStyle w:val="15"/>
          <w:rFonts w:ascii="宋体" w:hAnsi="宋体" w:eastAsia="宋体" w:cs="宋体"/>
          <w:b w:val="0"/>
        </w:rPr>
      </w:pPr>
      <w:r>
        <w:rPr>
          <w:rStyle w:val="15"/>
          <w:rFonts w:hint="eastAsia" w:ascii="宋体" w:hAnsi="宋体" w:eastAsia="宋体" w:cs="宋体"/>
          <w:b w:val="0"/>
        </w:rPr>
        <w:t>2、项目名称：铜陵学院毕业生就业第三方评价项目</w:t>
      </w:r>
    </w:p>
    <w:p>
      <w:pPr>
        <w:pStyle w:val="13"/>
        <w:snapToGrid w:val="0"/>
        <w:spacing w:line="420" w:lineRule="exact"/>
        <w:ind w:firstLine="480" w:firstLineChars="200"/>
        <w:rPr>
          <w:rStyle w:val="15"/>
          <w:rFonts w:ascii="宋体" w:hAnsi="宋体" w:eastAsia="宋体" w:cs="宋体"/>
          <w:b w:val="0"/>
        </w:rPr>
      </w:pPr>
      <w:r>
        <w:rPr>
          <w:rStyle w:val="15"/>
          <w:rFonts w:hint="eastAsia" w:ascii="宋体" w:hAnsi="宋体" w:eastAsia="宋体" w:cs="宋体"/>
          <w:b w:val="0"/>
        </w:rPr>
        <w:t>3、采购方式：竞争性磋商</w:t>
      </w:r>
    </w:p>
    <w:p>
      <w:pPr>
        <w:pStyle w:val="13"/>
        <w:snapToGrid w:val="0"/>
        <w:spacing w:line="420" w:lineRule="exact"/>
        <w:ind w:firstLine="480" w:firstLineChars="200"/>
        <w:rPr>
          <w:rStyle w:val="15"/>
          <w:rFonts w:ascii="宋体" w:hAnsi="宋体" w:eastAsia="宋体" w:cs="宋体"/>
          <w:b w:val="0"/>
        </w:rPr>
      </w:pPr>
      <w:r>
        <w:rPr>
          <w:rStyle w:val="15"/>
          <w:rFonts w:hint="eastAsia" w:ascii="宋体" w:hAnsi="宋体" w:eastAsia="宋体" w:cs="宋体"/>
          <w:b w:val="0"/>
        </w:rPr>
        <w:t>4、服务内容：对铜陵学院毕业生就业进行第三方评价</w:t>
      </w:r>
    </w:p>
    <w:p>
      <w:pPr>
        <w:pStyle w:val="13"/>
        <w:snapToGrid w:val="0"/>
        <w:spacing w:line="420" w:lineRule="exact"/>
        <w:ind w:firstLine="480" w:firstLineChars="200"/>
        <w:rPr>
          <w:rFonts w:ascii="宋体" w:hAnsi="宋体" w:eastAsia="宋体" w:cs="宋体"/>
          <w:kern w:val="0"/>
        </w:rPr>
      </w:pPr>
      <w:r>
        <w:rPr>
          <w:rStyle w:val="15"/>
          <w:rFonts w:hint="eastAsia" w:ascii="宋体" w:hAnsi="宋体" w:eastAsia="宋体" w:cs="宋体"/>
          <w:b w:val="0"/>
        </w:rPr>
        <w:t>5、标段（包别）划分</w:t>
      </w:r>
      <w:r>
        <w:rPr>
          <w:rFonts w:hint="eastAsia" w:ascii="宋体" w:hAnsi="宋体" w:eastAsia="宋体" w:cs="宋体"/>
          <w:b/>
          <w:kern w:val="0"/>
        </w:rPr>
        <w:t>：一</w:t>
      </w:r>
      <w:r>
        <w:rPr>
          <w:rFonts w:hint="eastAsia" w:ascii="宋体" w:hAnsi="宋体" w:eastAsia="宋体" w:cs="宋体"/>
          <w:kern w:val="0"/>
        </w:rPr>
        <w:t>个标段。</w:t>
      </w:r>
    </w:p>
    <w:p>
      <w:pPr>
        <w:snapToGrid w:val="0"/>
        <w:spacing w:line="420" w:lineRule="exact"/>
        <w:jc w:val="left"/>
        <w:rPr>
          <w:rFonts w:ascii="宋体" w:hAnsi="宋体" w:eastAsia="宋体" w:cs="宋体"/>
          <w:b/>
          <w:kern w:val="0"/>
          <w:sz w:val="24"/>
          <w:szCs w:val="24"/>
        </w:rPr>
      </w:pPr>
      <w:r>
        <w:rPr>
          <w:rFonts w:hint="eastAsia" w:ascii="宋体" w:hAnsi="宋体" w:eastAsia="宋体" w:cs="宋体"/>
          <w:b/>
          <w:kern w:val="0"/>
          <w:sz w:val="24"/>
          <w:szCs w:val="24"/>
        </w:rPr>
        <w:t>（二）合格供应商资格条件：</w:t>
      </w:r>
    </w:p>
    <w:p>
      <w:pPr>
        <w:pStyle w:val="13"/>
        <w:snapToGrid w:val="0"/>
        <w:spacing w:line="420" w:lineRule="exact"/>
        <w:ind w:firstLine="480" w:firstLineChars="200"/>
        <w:rPr>
          <w:rStyle w:val="15"/>
          <w:rFonts w:ascii="宋体" w:hAnsi="宋体" w:eastAsia="宋体" w:cs="宋体"/>
          <w:b w:val="0"/>
        </w:rPr>
      </w:pPr>
      <w:r>
        <w:rPr>
          <w:rStyle w:val="15"/>
          <w:rFonts w:hint="eastAsia" w:ascii="宋体" w:hAnsi="宋体" w:eastAsia="宋体" w:cs="宋体"/>
          <w:b w:val="0"/>
        </w:rPr>
        <w:t>1、具有独立法人资格，能独立承担民事责任能力；</w:t>
      </w:r>
    </w:p>
    <w:p>
      <w:pPr>
        <w:pStyle w:val="13"/>
        <w:snapToGrid w:val="0"/>
        <w:spacing w:line="420" w:lineRule="exact"/>
        <w:ind w:firstLine="480" w:firstLineChars="200"/>
        <w:rPr>
          <w:rStyle w:val="15"/>
          <w:rFonts w:ascii="宋体" w:hAnsi="宋体" w:eastAsia="宋体" w:cs="宋体"/>
          <w:b w:val="0"/>
        </w:rPr>
      </w:pPr>
      <w:r>
        <w:rPr>
          <w:rStyle w:val="15"/>
          <w:rFonts w:hint="eastAsia" w:ascii="宋体" w:hAnsi="宋体" w:eastAsia="宋体" w:cs="宋体"/>
          <w:b w:val="0"/>
        </w:rPr>
        <w:t>2、满足《中华人民共和国政府采购法》第二十二条的全部要求，</w:t>
      </w:r>
      <w:r>
        <w:rPr>
          <w:rFonts w:hint="eastAsia" w:ascii="宋体" w:hAnsi="宋体" w:eastAsia="宋体"/>
        </w:rPr>
        <w:t>具有从事本项目的经营范围和能力</w:t>
      </w:r>
      <w:r>
        <w:rPr>
          <w:rStyle w:val="15"/>
          <w:rFonts w:hint="eastAsia" w:ascii="宋体" w:hAnsi="宋体" w:eastAsia="宋体" w:cs="宋体"/>
          <w:b w:val="0"/>
        </w:rPr>
        <w:t>；</w:t>
      </w:r>
    </w:p>
    <w:p>
      <w:pPr>
        <w:pStyle w:val="13"/>
        <w:snapToGrid w:val="0"/>
        <w:spacing w:line="420" w:lineRule="exact"/>
        <w:ind w:firstLine="480" w:firstLineChars="200"/>
        <w:rPr>
          <w:rStyle w:val="15"/>
          <w:rFonts w:ascii="宋体" w:hAnsi="宋体" w:eastAsia="宋体" w:cs="宋体"/>
          <w:b w:val="0"/>
        </w:rPr>
      </w:pPr>
      <w:r>
        <w:rPr>
          <w:rStyle w:val="15"/>
          <w:rFonts w:hint="eastAsia" w:ascii="宋体" w:hAnsi="宋体" w:eastAsia="宋体" w:cs="宋体"/>
          <w:b w:val="0"/>
        </w:rPr>
        <w:t>3、本项目不接受联合体磋商。</w:t>
      </w:r>
    </w:p>
    <w:p>
      <w:pPr>
        <w:pStyle w:val="13"/>
        <w:snapToGrid w:val="0"/>
        <w:spacing w:line="420" w:lineRule="exact"/>
        <w:rPr>
          <w:rFonts w:ascii="宋体" w:hAnsi="宋体" w:eastAsia="宋体" w:cs="宋体"/>
          <w:b/>
        </w:rPr>
      </w:pPr>
      <w:r>
        <w:rPr>
          <w:rFonts w:hint="eastAsia" w:ascii="宋体" w:hAnsi="宋体" w:eastAsia="宋体" w:cs="宋体"/>
          <w:b/>
        </w:rPr>
        <w:t>（三）资格审查：</w:t>
      </w:r>
    </w:p>
    <w:p>
      <w:pPr>
        <w:pStyle w:val="13"/>
        <w:snapToGrid w:val="0"/>
        <w:spacing w:line="420" w:lineRule="exact"/>
        <w:ind w:firstLine="480" w:firstLineChars="200"/>
        <w:rPr>
          <w:rFonts w:ascii="宋体" w:hAnsi="宋体" w:eastAsia="宋体" w:cs="宋体"/>
        </w:rPr>
      </w:pPr>
      <w:r>
        <w:rPr>
          <w:rFonts w:hint="eastAsia" w:ascii="宋体" w:hAnsi="宋体" w:eastAsia="宋体" w:cs="宋体"/>
        </w:rPr>
        <w:t>本次磋商采取资格后审方式，资格审查将在磋商时由磋商小组审查。</w:t>
      </w:r>
    </w:p>
    <w:p>
      <w:pPr>
        <w:pStyle w:val="13"/>
        <w:snapToGrid w:val="0"/>
        <w:spacing w:line="420" w:lineRule="exact"/>
        <w:rPr>
          <w:rFonts w:ascii="宋体" w:hAnsi="宋体" w:eastAsia="宋体" w:cs="宋体"/>
          <w:b/>
        </w:rPr>
      </w:pPr>
      <w:r>
        <w:rPr>
          <w:rFonts w:hint="eastAsia" w:ascii="宋体" w:hAnsi="宋体" w:eastAsia="宋体" w:cs="宋体"/>
          <w:b/>
        </w:rPr>
        <w:t>（四）报名方式：</w:t>
      </w:r>
    </w:p>
    <w:p>
      <w:pPr>
        <w:pStyle w:val="13"/>
        <w:snapToGrid w:val="0"/>
        <w:spacing w:line="420" w:lineRule="exact"/>
        <w:ind w:firstLine="360" w:firstLineChars="150"/>
        <w:rPr>
          <w:rFonts w:ascii="宋体" w:hAnsi="宋体" w:eastAsia="宋体" w:cs="宋体"/>
        </w:rPr>
      </w:pPr>
      <w:r>
        <w:rPr>
          <w:rFonts w:hint="eastAsia" w:ascii="宋体" w:hAnsi="宋体" w:eastAsia="宋体" w:cs="宋体"/>
        </w:rPr>
        <w:t>1、</w:t>
      </w:r>
      <w:r>
        <w:rPr>
          <w:rFonts w:hint="eastAsia" w:ascii="宋体" w:hAnsi="宋体" w:eastAsia="宋体" w:cs="宋体"/>
          <w:color w:val="333333"/>
          <w:kern w:val="0"/>
          <w:shd w:val="clear" w:color="auto" w:fill="FFFFFF"/>
        </w:rPr>
        <w:t>报名</w:t>
      </w:r>
      <w:r>
        <w:rPr>
          <w:rFonts w:hint="eastAsia" w:ascii="宋体" w:hAnsi="宋体" w:eastAsia="宋体" w:cs="宋体"/>
          <w:kern w:val="0"/>
          <w:shd w:val="clear" w:color="auto" w:fill="FFFFFF"/>
        </w:rPr>
        <w:t>时间：2020年6月</w:t>
      </w:r>
      <w:r>
        <w:rPr>
          <w:rFonts w:hint="eastAsia" w:ascii="宋体" w:hAnsi="宋体" w:eastAsia="宋体" w:cs="宋体"/>
          <w:kern w:val="0"/>
          <w:shd w:val="clear" w:color="auto" w:fill="FFFFFF"/>
          <w:lang w:val="en-US" w:eastAsia="zh-CN"/>
        </w:rPr>
        <w:t>9</w:t>
      </w:r>
      <w:r>
        <w:rPr>
          <w:rFonts w:hint="eastAsia" w:ascii="宋体" w:hAnsi="宋体" w:eastAsia="宋体" w:cs="宋体"/>
          <w:kern w:val="0"/>
          <w:shd w:val="clear" w:color="auto" w:fill="FFFFFF"/>
        </w:rPr>
        <w:t>日至2020年6月</w:t>
      </w:r>
      <w:r>
        <w:rPr>
          <w:rFonts w:hint="eastAsia" w:ascii="宋体" w:hAnsi="宋体" w:eastAsia="宋体" w:cs="宋体"/>
          <w:kern w:val="0"/>
          <w:shd w:val="clear" w:color="auto" w:fill="FFFFFF"/>
          <w:lang w:val="en-US" w:eastAsia="zh-CN"/>
        </w:rPr>
        <w:t>18</w:t>
      </w:r>
      <w:r>
        <w:rPr>
          <w:rFonts w:hint="eastAsia" w:ascii="宋体" w:hAnsi="宋体" w:eastAsia="宋体" w:cs="宋体"/>
          <w:kern w:val="0"/>
          <w:shd w:val="clear" w:color="auto" w:fill="FFFFFF"/>
        </w:rPr>
        <w:t xml:space="preserve"> 日（法定公休日及节假日除外），每日上午</w:t>
      </w:r>
      <w:r>
        <w:rPr>
          <w:rFonts w:ascii="宋体" w:hAnsi="宋体" w:eastAsia="宋体" w:cs="宋体"/>
          <w:kern w:val="0"/>
          <w:shd w:val="clear" w:color="auto" w:fill="FFFFFF"/>
        </w:rPr>
        <w:t>08</w:t>
      </w:r>
      <w:r>
        <w:rPr>
          <w:rFonts w:hint="eastAsia" w:ascii="宋体" w:hAnsi="宋体" w:eastAsia="宋体" w:cs="宋体"/>
          <w:kern w:val="0"/>
          <w:shd w:val="clear" w:color="auto" w:fill="FFFFFF"/>
        </w:rPr>
        <w:t>：</w:t>
      </w:r>
      <w:r>
        <w:rPr>
          <w:rFonts w:ascii="宋体" w:hAnsi="宋体" w:eastAsia="宋体" w:cs="宋体"/>
          <w:kern w:val="0"/>
          <w:shd w:val="clear" w:color="auto" w:fill="FFFFFF"/>
        </w:rPr>
        <w:t>00</w:t>
      </w:r>
      <w:r>
        <w:rPr>
          <w:rFonts w:hint="eastAsia" w:ascii="宋体" w:hAnsi="宋体" w:eastAsia="宋体" w:cs="宋体"/>
          <w:kern w:val="0"/>
          <w:shd w:val="clear" w:color="auto" w:fill="FFFFFF"/>
        </w:rPr>
        <w:t>至</w:t>
      </w:r>
      <w:r>
        <w:rPr>
          <w:rFonts w:ascii="宋体" w:hAnsi="宋体" w:eastAsia="宋体" w:cs="宋体"/>
          <w:kern w:val="0"/>
          <w:shd w:val="clear" w:color="auto" w:fill="FFFFFF"/>
        </w:rPr>
        <w:t>11:30</w:t>
      </w:r>
      <w:r>
        <w:rPr>
          <w:rFonts w:hint="eastAsia" w:ascii="宋体" w:hAnsi="宋体" w:eastAsia="宋体" w:cs="宋体"/>
          <w:kern w:val="0"/>
          <w:shd w:val="clear" w:color="auto" w:fill="FFFFFF"/>
        </w:rPr>
        <w:t>，下午</w:t>
      </w:r>
      <w:r>
        <w:rPr>
          <w:rFonts w:ascii="宋体" w:hAnsi="宋体" w:eastAsia="宋体" w:cs="宋体"/>
          <w:kern w:val="0"/>
          <w:shd w:val="clear" w:color="auto" w:fill="FFFFFF"/>
        </w:rPr>
        <w:t>14:30</w:t>
      </w:r>
      <w:r>
        <w:rPr>
          <w:rFonts w:hint="eastAsia" w:ascii="宋体" w:hAnsi="宋体" w:eastAsia="宋体" w:cs="宋体"/>
          <w:kern w:val="0"/>
          <w:shd w:val="clear" w:color="auto" w:fill="FFFFFF"/>
        </w:rPr>
        <w:t>至</w:t>
      </w:r>
      <w:r>
        <w:rPr>
          <w:rFonts w:ascii="宋体" w:hAnsi="宋体" w:eastAsia="宋体" w:cs="宋体"/>
          <w:kern w:val="0"/>
          <w:shd w:val="clear" w:color="auto" w:fill="FFFFFF"/>
        </w:rPr>
        <w:t>17:30</w:t>
      </w:r>
      <w:r>
        <w:rPr>
          <w:rFonts w:hint="eastAsia" w:ascii="宋体" w:hAnsi="宋体" w:eastAsia="宋体" w:cs="宋体"/>
          <w:kern w:val="0"/>
          <w:shd w:val="clear" w:color="auto" w:fill="FFFFFF"/>
        </w:rPr>
        <w:t>（北京时间）。</w:t>
      </w:r>
    </w:p>
    <w:p>
      <w:pPr>
        <w:pStyle w:val="13"/>
        <w:shd w:val="clear" w:color="auto" w:fill="FFFFFF"/>
        <w:snapToGrid w:val="0"/>
        <w:spacing w:line="420" w:lineRule="exact"/>
        <w:ind w:firstLine="480" w:firstLineChars="200"/>
        <w:rPr>
          <w:rFonts w:ascii="宋体" w:hAnsi="宋体" w:eastAsia="宋体" w:cs="宋体"/>
          <w:color w:val="FF0000"/>
          <w:shd w:val="clear" w:color="auto" w:fill="FFFFFF"/>
        </w:rPr>
      </w:pPr>
      <w:r>
        <w:rPr>
          <w:rFonts w:hint="eastAsia" w:ascii="宋体" w:hAnsi="宋体" w:eastAsia="宋体" w:cs="宋体"/>
        </w:rPr>
        <w:t>2、报名地点：华春建设工程项目管理有限责任公司（铜陵市万泰汇富广场1406号）。</w:t>
      </w:r>
    </w:p>
    <w:p>
      <w:pPr>
        <w:widowControl/>
        <w:shd w:val="clear" w:color="auto" w:fill="FFFFFF"/>
        <w:snapToGrid w:val="0"/>
        <w:spacing w:line="420" w:lineRule="exact"/>
        <w:ind w:firstLine="480" w:firstLineChars="200"/>
        <w:jc w:val="left"/>
        <w:rPr>
          <w:rFonts w:ascii="宋体" w:hAnsi="宋体" w:eastAsia="宋体" w:cs="宋体"/>
          <w:color w:val="333333"/>
          <w:sz w:val="24"/>
          <w:szCs w:val="24"/>
        </w:rPr>
      </w:pPr>
      <w:r>
        <w:rPr>
          <w:rFonts w:ascii="宋体" w:hAnsi="宋体" w:eastAsia="宋体" w:cs="宋体"/>
          <w:color w:val="333333"/>
          <w:kern w:val="0"/>
          <w:sz w:val="24"/>
          <w:szCs w:val="24"/>
          <w:shd w:val="clear" w:color="auto" w:fill="FFFFFF"/>
        </w:rPr>
        <w:t>3</w:t>
      </w:r>
      <w:r>
        <w:rPr>
          <w:rFonts w:hint="eastAsia" w:ascii="宋体" w:hAnsi="宋体" w:eastAsia="宋体" w:cs="宋体"/>
          <w:color w:val="333333"/>
          <w:kern w:val="0"/>
          <w:sz w:val="24"/>
          <w:szCs w:val="24"/>
          <w:shd w:val="clear" w:color="auto" w:fill="FFFFFF"/>
        </w:rPr>
        <w:t>、报名资料：</w:t>
      </w:r>
      <w:r>
        <w:rPr>
          <w:rFonts w:ascii="宋体" w:hAnsi="宋体" w:eastAsia="宋体" w:cs="宋体"/>
          <w:color w:val="333333"/>
          <w:kern w:val="0"/>
          <w:sz w:val="24"/>
          <w:szCs w:val="24"/>
          <w:shd w:val="clear" w:color="auto" w:fill="FFFFFF"/>
        </w:rPr>
        <w:t> </w:t>
      </w:r>
    </w:p>
    <w:p>
      <w:pPr>
        <w:widowControl/>
        <w:shd w:val="clear" w:color="auto" w:fill="FFFFFF"/>
        <w:snapToGrid w:val="0"/>
        <w:spacing w:line="420" w:lineRule="exact"/>
        <w:ind w:firstLine="480"/>
        <w:jc w:val="left"/>
        <w:rPr>
          <w:rFonts w:ascii="宋体" w:hAnsi="宋体" w:eastAsia="宋体" w:cs="宋体"/>
          <w:color w:val="333333"/>
          <w:kern w:val="0"/>
          <w:sz w:val="24"/>
          <w:szCs w:val="24"/>
          <w:shd w:val="clear" w:color="auto" w:fill="FFFFFF"/>
        </w:rPr>
      </w:pPr>
      <w:r>
        <w:rPr>
          <w:rFonts w:hint="eastAsia" w:ascii="宋体" w:hAnsi="宋体" w:eastAsia="宋体" w:cs="宋体"/>
          <w:color w:val="333333"/>
          <w:kern w:val="0"/>
          <w:sz w:val="24"/>
          <w:szCs w:val="24"/>
          <w:shd w:val="clear" w:color="auto" w:fill="FFFFFF"/>
        </w:rPr>
        <w:t>（</w:t>
      </w:r>
      <w:r>
        <w:rPr>
          <w:rFonts w:ascii="宋体" w:hAnsi="宋体" w:eastAsia="宋体" w:cs="宋体"/>
          <w:color w:val="333333"/>
          <w:kern w:val="0"/>
          <w:sz w:val="24"/>
          <w:szCs w:val="24"/>
          <w:shd w:val="clear" w:color="auto" w:fill="FFFFFF"/>
        </w:rPr>
        <w:t>1</w:t>
      </w:r>
      <w:r>
        <w:rPr>
          <w:rFonts w:hint="eastAsia" w:ascii="宋体" w:hAnsi="宋体" w:eastAsia="宋体" w:cs="宋体"/>
          <w:color w:val="333333"/>
          <w:kern w:val="0"/>
          <w:sz w:val="24"/>
          <w:szCs w:val="24"/>
          <w:shd w:val="clear" w:color="auto" w:fill="FFFFFF"/>
        </w:rPr>
        <w:t>）</w:t>
      </w:r>
      <w:r>
        <w:rPr>
          <w:rFonts w:hint="eastAsia" w:ascii="宋体" w:hAnsi="宋体" w:eastAsia="宋体" w:cs="宋体"/>
          <w:kern w:val="0"/>
          <w:sz w:val="24"/>
          <w:szCs w:val="24"/>
        </w:rPr>
        <w:t>需提供授权委托书原件及被授权人身份证原件及复印件（复印件需加盖公章）。</w:t>
      </w:r>
      <w:r>
        <w:rPr>
          <w:rFonts w:ascii="宋体" w:hAnsi="宋体" w:eastAsia="宋体" w:cs="宋体"/>
          <w:color w:val="333333"/>
          <w:kern w:val="0"/>
          <w:sz w:val="24"/>
          <w:szCs w:val="24"/>
          <w:shd w:val="clear" w:color="auto" w:fill="FFFFFF"/>
        </w:rPr>
        <w:t xml:space="preserve"> </w:t>
      </w:r>
    </w:p>
    <w:p>
      <w:pPr>
        <w:widowControl/>
        <w:shd w:val="clear" w:color="auto" w:fill="FFFFFF"/>
        <w:snapToGrid w:val="0"/>
        <w:spacing w:line="420" w:lineRule="exact"/>
        <w:ind w:firstLine="480"/>
        <w:jc w:val="left"/>
        <w:rPr>
          <w:rFonts w:ascii="宋体" w:hAnsi="宋体" w:eastAsia="宋体" w:cs="宋体"/>
          <w:color w:val="333333"/>
          <w:kern w:val="0"/>
          <w:sz w:val="24"/>
          <w:szCs w:val="24"/>
          <w:shd w:val="clear" w:color="auto" w:fill="FFFFFF"/>
        </w:rPr>
      </w:pPr>
      <w:r>
        <w:rPr>
          <w:rFonts w:hint="eastAsia" w:ascii="宋体" w:hAnsi="宋体" w:eastAsia="宋体" w:cs="宋体"/>
          <w:color w:val="333333"/>
          <w:kern w:val="0"/>
          <w:sz w:val="24"/>
          <w:szCs w:val="24"/>
          <w:shd w:val="clear" w:color="auto" w:fill="FFFFFF"/>
        </w:rPr>
        <w:t>（2）凡有意参加磋商者，请于报名时间内持相关报名资料报名并购买竞争性磋商文件，磋商资料工本费为</w:t>
      </w:r>
      <w:r>
        <w:rPr>
          <w:rFonts w:ascii="宋体" w:hAnsi="宋体" w:eastAsia="宋体" w:cs="宋体"/>
          <w:color w:val="333333"/>
          <w:kern w:val="0"/>
          <w:sz w:val="24"/>
          <w:szCs w:val="24"/>
          <w:shd w:val="clear" w:color="auto" w:fill="FFFFFF"/>
        </w:rPr>
        <w:t>300</w:t>
      </w:r>
      <w:r>
        <w:rPr>
          <w:rFonts w:hint="eastAsia" w:ascii="宋体" w:hAnsi="宋体" w:eastAsia="宋体" w:cs="宋体"/>
          <w:color w:val="333333"/>
          <w:kern w:val="0"/>
          <w:sz w:val="24"/>
          <w:szCs w:val="24"/>
          <w:shd w:val="clear" w:color="auto" w:fill="FFFFFF"/>
        </w:rPr>
        <w:t>元</w:t>
      </w:r>
      <w:r>
        <w:rPr>
          <w:rFonts w:ascii="宋体" w:hAnsi="宋体" w:eastAsia="宋体" w:cs="宋体"/>
          <w:color w:val="333333"/>
          <w:kern w:val="0"/>
          <w:sz w:val="24"/>
          <w:szCs w:val="24"/>
          <w:shd w:val="clear" w:color="auto" w:fill="FFFFFF"/>
        </w:rPr>
        <w:t>/</w:t>
      </w:r>
      <w:r>
        <w:rPr>
          <w:rFonts w:hint="eastAsia" w:ascii="宋体" w:hAnsi="宋体" w:eastAsia="宋体" w:cs="宋体"/>
          <w:color w:val="333333"/>
          <w:kern w:val="0"/>
          <w:sz w:val="24"/>
          <w:szCs w:val="24"/>
          <w:shd w:val="clear" w:color="auto" w:fill="FFFFFF"/>
        </w:rPr>
        <w:t>份，售后不退。</w:t>
      </w:r>
    </w:p>
    <w:p>
      <w:pPr>
        <w:pStyle w:val="13"/>
        <w:snapToGrid w:val="0"/>
        <w:spacing w:line="420" w:lineRule="exact"/>
        <w:ind w:firstLine="361" w:firstLineChars="150"/>
        <w:rPr>
          <w:rFonts w:ascii="宋体" w:hAnsi="宋体" w:eastAsia="宋体" w:cs="宋体"/>
          <w:b/>
        </w:rPr>
      </w:pPr>
      <w:r>
        <w:rPr>
          <w:rFonts w:hint="eastAsia" w:ascii="宋体" w:hAnsi="宋体" w:eastAsia="宋体" w:cs="宋体"/>
          <w:b/>
        </w:rPr>
        <w:t>（五）磋商时间及地点</w:t>
      </w:r>
    </w:p>
    <w:p>
      <w:pPr>
        <w:pStyle w:val="13"/>
        <w:snapToGrid w:val="0"/>
        <w:spacing w:line="420" w:lineRule="exact"/>
        <w:ind w:firstLine="360" w:firstLineChars="150"/>
        <w:rPr>
          <w:rFonts w:ascii="宋体" w:hAnsi="宋体" w:eastAsia="宋体" w:cs="宋体"/>
        </w:rPr>
      </w:pPr>
      <w:r>
        <w:rPr>
          <w:rFonts w:hint="eastAsia" w:ascii="宋体" w:hAnsi="宋体" w:eastAsia="宋体" w:cs="宋体"/>
        </w:rPr>
        <w:t>磋商时间：2020年6月</w:t>
      </w:r>
      <w:r>
        <w:rPr>
          <w:rFonts w:hint="eastAsia" w:ascii="宋体" w:hAnsi="宋体" w:eastAsia="宋体" w:cs="宋体"/>
          <w:lang w:val="en-US" w:eastAsia="zh-CN"/>
        </w:rPr>
        <w:t>19</w:t>
      </w:r>
      <w:r>
        <w:rPr>
          <w:rFonts w:hint="eastAsia" w:ascii="宋体" w:hAnsi="宋体" w:eastAsia="宋体" w:cs="宋体"/>
        </w:rPr>
        <w:t>日</w:t>
      </w:r>
      <w:r>
        <w:rPr>
          <w:rFonts w:hint="eastAsia" w:ascii="宋体" w:hAnsi="宋体" w:eastAsia="宋体" w:cs="宋体"/>
          <w:lang w:val="en-US" w:eastAsia="zh-CN"/>
        </w:rPr>
        <w:t>10</w:t>
      </w:r>
      <w:r>
        <w:rPr>
          <w:rFonts w:hint="eastAsia" w:ascii="宋体" w:hAnsi="宋体" w:eastAsia="宋体" w:cs="宋体"/>
        </w:rPr>
        <w:t xml:space="preserve"> 时</w:t>
      </w:r>
      <w:r>
        <w:rPr>
          <w:rFonts w:hint="eastAsia" w:ascii="宋体" w:hAnsi="宋体" w:eastAsia="宋体" w:cs="宋体"/>
          <w:lang w:val="en-US" w:eastAsia="zh-CN"/>
        </w:rPr>
        <w:t>00分</w:t>
      </w:r>
      <w:r>
        <w:rPr>
          <w:rFonts w:hint="eastAsia" w:ascii="宋体" w:hAnsi="宋体" w:eastAsia="宋体" w:cs="宋体"/>
        </w:rPr>
        <w:t>；</w:t>
      </w:r>
    </w:p>
    <w:p>
      <w:pPr>
        <w:spacing w:line="420" w:lineRule="exact"/>
        <w:ind w:firstLine="360" w:firstLineChars="150"/>
        <w:rPr>
          <w:rFonts w:ascii="宋体" w:hAnsi="宋体" w:eastAsia="宋体" w:cs="宋体"/>
          <w:sz w:val="24"/>
          <w:szCs w:val="24"/>
        </w:rPr>
      </w:pPr>
      <w:r>
        <w:rPr>
          <w:rFonts w:hint="eastAsia" w:ascii="宋体" w:hAnsi="宋体" w:eastAsia="宋体" w:cs="宋体"/>
          <w:sz w:val="24"/>
          <w:szCs w:val="24"/>
        </w:rPr>
        <w:t>递交磋商响应书地点：华春建设工程项目管理有限责任公司（铜陵市万泰汇富广场1406号）。</w:t>
      </w:r>
    </w:p>
    <w:p>
      <w:pPr>
        <w:pStyle w:val="13"/>
        <w:snapToGrid w:val="0"/>
        <w:spacing w:line="420" w:lineRule="exact"/>
        <w:ind w:firstLine="361" w:firstLineChars="150"/>
        <w:rPr>
          <w:rFonts w:ascii="宋体" w:hAnsi="宋体" w:eastAsia="宋体" w:cs="宋体"/>
          <w:b/>
        </w:rPr>
      </w:pPr>
      <w:r>
        <w:rPr>
          <w:rFonts w:hint="eastAsia" w:ascii="宋体" w:hAnsi="宋体" w:eastAsia="宋体" w:cs="宋体"/>
          <w:b/>
        </w:rPr>
        <w:t>（六）响应文件提交截止时间</w:t>
      </w:r>
    </w:p>
    <w:p>
      <w:pPr>
        <w:pStyle w:val="13"/>
        <w:snapToGrid w:val="0"/>
        <w:spacing w:line="420" w:lineRule="exact"/>
        <w:ind w:firstLine="360" w:firstLineChars="150"/>
        <w:rPr>
          <w:rFonts w:ascii="宋体" w:hAnsi="宋体" w:eastAsia="宋体" w:cs="宋体"/>
        </w:rPr>
      </w:pPr>
      <w:r>
        <w:rPr>
          <w:rFonts w:hint="eastAsia" w:ascii="宋体" w:hAnsi="宋体" w:eastAsia="宋体" w:cs="宋体"/>
        </w:rPr>
        <w:t>同磋商时间</w:t>
      </w:r>
    </w:p>
    <w:p>
      <w:pPr>
        <w:pStyle w:val="13"/>
        <w:snapToGrid w:val="0"/>
        <w:spacing w:line="420" w:lineRule="exact"/>
        <w:ind w:firstLine="361" w:firstLineChars="150"/>
        <w:rPr>
          <w:rFonts w:ascii="宋体" w:hAnsi="宋体" w:eastAsia="宋体" w:cs="宋体"/>
          <w:b/>
        </w:rPr>
      </w:pPr>
      <w:r>
        <w:rPr>
          <w:rFonts w:hint="eastAsia" w:ascii="宋体" w:hAnsi="宋体" w:eastAsia="宋体" w:cs="宋体"/>
          <w:b/>
        </w:rPr>
        <w:t>（七）联系方法：</w:t>
      </w:r>
    </w:p>
    <w:p>
      <w:pPr>
        <w:spacing w:line="420" w:lineRule="exact"/>
        <w:ind w:firstLine="480" w:firstLineChars="200"/>
        <w:rPr>
          <w:rFonts w:ascii="宋体" w:hAnsi="宋体" w:eastAsia="宋体"/>
          <w:sz w:val="24"/>
          <w:szCs w:val="24"/>
        </w:rPr>
      </w:pPr>
      <w:r>
        <w:rPr>
          <w:rFonts w:hint="eastAsia" w:ascii="宋体" w:hAnsi="宋体" w:eastAsia="宋体"/>
          <w:sz w:val="24"/>
          <w:szCs w:val="24"/>
        </w:rPr>
        <w:t xml:space="preserve">采购人：铜陵学院       </w:t>
      </w:r>
    </w:p>
    <w:p>
      <w:pPr>
        <w:spacing w:line="420" w:lineRule="exact"/>
        <w:ind w:firstLine="480" w:firstLineChars="200"/>
        <w:rPr>
          <w:rFonts w:ascii="宋体" w:hAnsi="宋体" w:eastAsia="宋体"/>
          <w:sz w:val="24"/>
          <w:szCs w:val="24"/>
        </w:rPr>
      </w:pPr>
      <w:r>
        <w:rPr>
          <w:rFonts w:hint="eastAsia" w:ascii="宋体" w:hAnsi="宋体" w:eastAsia="宋体"/>
          <w:sz w:val="24"/>
          <w:szCs w:val="24"/>
        </w:rPr>
        <w:t xml:space="preserve">联系人：程老师   联系电话：0562-5881058 </w:t>
      </w:r>
    </w:p>
    <w:p>
      <w:pPr>
        <w:spacing w:line="420" w:lineRule="exact"/>
        <w:ind w:firstLine="480" w:firstLineChars="200"/>
        <w:rPr>
          <w:rFonts w:ascii="宋体" w:hAnsi="宋体"/>
          <w:sz w:val="24"/>
          <w:szCs w:val="24"/>
        </w:rPr>
      </w:pPr>
      <w:r>
        <w:rPr>
          <w:rFonts w:hint="eastAsia" w:ascii="宋体" w:hAnsi="宋体" w:eastAsia="宋体"/>
          <w:sz w:val="24"/>
          <w:szCs w:val="24"/>
        </w:rPr>
        <w:t>技术咨询联系人 ：</w:t>
      </w:r>
      <w:r>
        <w:rPr>
          <w:rFonts w:hint="eastAsia" w:ascii="宋体" w:hAnsi="宋体" w:cs="宋体"/>
          <w:kern w:val="0"/>
          <w:sz w:val="24"/>
          <w:szCs w:val="24"/>
        </w:rPr>
        <w:t xml:space="preserve">汪老师     </w:t>
      </w:r>
      <w:r>
        <w:rPr>
          <w:rFonts w:hint="eastAsia" w:ascii="宋体" w:hAnsi="宋体" w:eastAsia="宋体"/>
          <w:sz w:val="24"/>
          <w:szCs w:val="24"/>
        </w:rPr>
        <w:t xml:space="preserve"> 联系电话：</w:t>
      </w:r>
      <w:r>
        <w:rPr>
          <w:rFonts w:hint="eastAsia" w:ascii="宋体" w:hAnsi="宋体" w:cs="宋体"/>
          <w:kern w:val="0"/>
          <w:sz w:val="24"/>
          <w:szCs w:val="24"/>
        </w:rPr>
        <w:t xml:space="preserve"> 0562-5881972</w:t>
      </w:r>
    </w:p>
    <w:p>
      <w:pPr>
        <w:spacing w:line="420" w:lineRule="exact"/>
        <w:ind w:firstLine="240" w:firstLineChars="100"/>
        <w:rPr>
          <w:rFonts w:ascii="宋体" w:hAnsi="宋体" w:eastAsia="宋体" w:cs="华文仿宋"/>
          <w:sz w:val="24"/>
          <w:szCs w:val="24"/>
        </w:rPr>
      </w:pPr>
    </w:p>
    <w:p>
      <w:pPr>
        <w:spacing w:line="420" w:lineRule="exact"/>
        <w:ind w:firstLine="480" w:firstLineChars="200"/>
        <w:rPr>
          <w:rFonts w:ascii="宋体" w:hAnsi="宋体" w:eastAsia="宋体" w:cs="华文仿宋"/>
          <w:sz w:val="24"/>
          <w:szCs w:val="24"/>
        </w:rPr>
      </w:pPr>
      <w:r>
        <w:rPr>
          <w:rFonts w:hint="eastAsia" w:ascii="宋体" w:hAnsi="宋体" w:eastAsia="宋体" w:cs="华文仿宋"/>
          <w:sz w:val="24"/>
          <w:szCs w:val="24"/>
        </w:rPr>
        <w:t xml:space="preserve">采购代理机构：华春建设工程项目管理有限责任公司 </w:t>
      </w:r>
    </w:p>
    <w:p>
      <w:pPr>
        <w:spacing w:line="420" w:lineRule="exact"/>
        <w:ind w:firstLine="480" w:firstLineChars="200"/>
        <w:rPr>
          <w:rFonts w:ascii="宋体" w:hAnsi="宋体" w:eastAsia="宋体" w:cs="华文仿宋"/>
          <w:sz w:val="24"/>
          <w:szCs w:val="24"/>
        </w:rPr>
      </w:pPr>
      <w:r>
        <w:rPr>
          <w:rFonts w:hint="eastAsia" w:ascii="宋体" w:hAnsi="宋体" w:eastAsia="宋体" w:cs="华文仿宋"/>
          <w:sz w:val="24"/>
          <w:szCs w:val="24"/>
        </w:rPr>
        <w:t>联系人：方润冬     联系电话：0562-2310636</w:t>
      </w:r>
    </w:p>
    <w:p>
      <w:pPr>
        <w:pStyle w:val="18"/>
        <w:tabs>
          <w:tab w:val="left" w:pos="420"/>
        </w:tabs>
        <w:spacing w:line="380" w:lineRule="exact"/>
        <w:jc w:val="both"/>
        <w:rPr>
          <w:rFonts w:ascii="宋体" w:hAnsi="宋体" w:eastAsia="宋体"/>
          <w:b w:val="0"/>
          <w:bCs w:val="0"/>
          <w:sz w:val="24"/>
          <w:szCs w:val="24"/>
        </w:rPr>
      </w:pPr>
    </w:p>
    <w:p>
      <w:pPr>
        <w:pStyle w:val="18"/>
        <w:tabs>
          <w:tab w:val="left" w:pos="420"/>
        </w:tabs>
        <w:spacing w:line="420" w:lineRule="exact"/>
        <w:jc w:val="both"/>
        <w:rPr>
          <w:rFonts w:ascii="宋体" w:hAnsi="宋体" w:eastAsia="宋体"/>
          <w:b w:val="0"/>
          <w:bCs w:val="0"/>
        </w:rPr>
      </w:pPr>
    </w:p>
    <w:p>
      <w:pPr>
        <w:pStyle w:val="18"/>
        <w:tabs>
          <w:tab w:val="left" w:pos="420"/>
        </w:tabs>
        <w:spacing w:line="420" w:lineRule="exact"/>
        <w:jc w:val="both"/>
        <w:rPr>
          <w:rFonts w:ascii="宋体" w:hAnsi="宋体" w:eastAsia="宋体"/>
          <w:b w:val="0"/>
          <w:bCs w:val="0"/>
        </w:rPr>
      </w:pPr>
    </w:p>
    <w:p>
      <w:pPr>
        <w:pStyle w:val="18"/>
        <w:tabs>
          <w:tab w:val="left" w:pos="420"/>
        </w:tabs>
        <w:spacing w:line="420" w:lineRule="exact"/>
        <w:jc w:val="both"/>
        <w:rPr>
          <w:rFonts w:ascii="宋体" w:hAnsi="宋体" w:eastAsia="宋体"/>
          <w:b w:val="0"/>
          <w:bCs w:val="0"/>
        </w:rPr>
      </w:pPr>
    </w:p>
    <w:p>
      <w:pPr>
        <w:pStyle w:val="18"/>
        <w:tabs>
          <w:tab w:val="left" w:pos="420"/>
        </w:tabs>
        <w:spacing w:line="420" w:lineRule="exact"/>
        <w:jc w:val="both"/>
        <w:rPr>
          <w:rFonts w:ascii="宋体" w:hAnsi="宋体" w:eastAsia="宋体"/>
          <w:b w:val="0"/>
          <w:bCs w:val="0"/>
        </w:rPr>
      </w:pPr>
    </w:p>
    <w:p>
      <w:pPr>
        <w:pStyle w:val="18"/>
        <w:tabs>
          <w:tab w:val="left" w:pos="420"/>
        </w:tabs>
        <w:spacing w:line="420" w:lineRule="exact"/>
        <w:jc w:val="both"/>
        <w:rPr>
          <w:rFonts w:ascii="宋体" w:hAnsi="宋体" w:eastAsia="宋体"/>
          <w:b w:val="0"/>
          <w:bCs w:val="0"/>
        </w:rPr>
      </w:pPr>
    </w:p>
    <w:p>
      <w:pPr>
        <w:pStyle w:val="18"/>
        <w:tabs>
          <w:tab w:val="left" w:pos="420"/>
        </w:tabs>
        <w:spacing w:line="420" w:lineRule="exact"/>
        <w:jc w:val="both"/>
        <w:rPr>
          <w:rFonts w:ascii="宋体" w:hAnsi="宋体" w:eastAsia="宋体"/>
          <w:b w:val="0"/>
          <w:bCs w:val="0"/>
        </w:rPr>
      </w:pPr>
    </w:p>
    <w:p>
      <w:pPr>
        <w:pStyle w:val="18"/>
        <w:tabs>
          <w:tab w:val="left" w:pos="420"/>
        </w:tabs>
        <w:spacing w:line="420" w:lineRule="exact"/>
        <w:jc w:val="both"/>
        <w:rPr>
          <w:rFonts w:ascii="宋体" w:hAnsi="宋体" w:eastAsia="宋体"/>
          <w:b w:val="0"/>
          <w:bCs w:val="0"/>
        </w:rPr>
      </w:pPr>
    </w:p>
    <w:p>
      <w:pPr>
        <w:pStyle w:val="18"/>
        <w:tabs>
          <w:tab w:val="left" w:pos="420"/>
        </w:tabs>
        <w:spacing w:line="420" w:lineRule="exact"/>
        <w:jc w:val="both"/>
        <w:rPr>
          <w:rFonts w:ascii="宋体" w:hAnsi="宋体" w:eastAsia="宋体"/>
          <w:b w:val="0"/>
          <w:bCs w:val="0"/>
        </w:rPr>
      </w:pPr>
    </w:p>
    <w:p>
      <w:pPr>
        <w:pStyle w:val="18"/>
        <w:tabs>
          <w:tab w:val="left" w:pos="420"/>
        </w:tabs>
        <w:spacing w:line="300" w:lineRule="exact"/>
        <w:jc w:val="both"/>
        <w:rPr>
          <w:rFonts w:ascii="宋体" w:hAnsi="宋体" w:eastAsia="宋体"/>
          <w:b w:val="0"/>
          <w:bCs w:val="0"/>
        </w:rPr>
      </w:pPr>
    </w:p>
    <w:p>
      <w:pPr>
        <w:pStyle w:val="18"/>
        <w:tabs>
          <w:tab w:val="left" w:pos="420"/>
        </w:tabs>
        <w:spacing w:line="300" w:lineRule="exact"/>
        <w:jc w:val="both"/>
        <w:rPr>
          <w:rFonts w:ascii="宋体" w:hAnsi="宋体" w:eastAsia="宋体"/>
          <w:b w:val="0"/>
          <w:bCs w:val="0"/>
        </w:rPr>
      </w:pPr>
    </w:p>
    <w:p>
      <w:pPr>
        <w:pStyle w:val="18"/>
        <w:tabs>
          <w:tab w:val="left" w:pos="420"/>
        </w:tabs>
        <w:spacing w:line="300" w:lineRule="exact"/>
        <w:jc w:val="both"/>
        <w:rPr>
          <w:rFonts w:ascii="宋体" w:hAnsi="宋体" w:eastAsia="宋体"/>
          <w:b w:val="0"/>
          <w:bCs w:val="0"/>
        </w:rPr>
      </w:pPr>
    </w:p>
    <w:p>
      <w:pPr>
        <w:pStyle w:val="18"/>
        <w:tabs>
          <w:tab w:val="left" w:pos="420"/>
        </w:tabs>
        <w:spacing w:line="300" w:lineRule="exact"/>
        <w:jc w:val="both"/>
        <w:rPr>
          <w:rFonts w:ascii="宋体" w:hAnsi="宋体" w:eastAsia="宋体"/>
          <w:b w:val="0"/>
          <w:bCs w:val="0"/>
        </w:rPr>
      </w:pPr>
    </w:p>
    <w:p>
      <w:pPr>
        <w:pStyle w:val="18"/>
        <w:tabs>
          <w:tab w:val="left" w:pos="420"/>
        </w:tabs>
        <w:spacing w:line="300" w:lineRule="exact"/>
        <w:jc w:val="both"/>
        <w:rPr>
          <w:rFonts w:ascii="宋体" w:hAnsi="宋体" w:eastAsia="宋体"/>
          <w:b w:val="0"/>
          <w:bCs w:val="0"/>
        </w:rPr>
      </w:pPr>
    </w:p>
    <w:p>
      <w:pPr>
        <w:pStyle w:val="18"/>
        <w:tabs>
          <w:tab w:val="left" w:pos="420"/>
        </w:tabs>
        <w:spacing w:line="300" w:lineRule="exact"/>
        <w:jc w:val="both"/>
        <w:rPr>
          <w:rFonts w:ascii="宋体" w:hAnsi="宋体" w:eastAsia="宋体"/>
          <w:b w:val="0"/>
          <w:bCs w:val="0"/>
        </w:rPr>
      </w:pPr>
    </w:p>
    <w:p>
      <w:pPr>
        <w:pStyle w:val="18"/>
        <w:tabs>
          <w:tab w:val="left" w:pos="420"/>
        </w:tabs>
        <w:spacing w:line="300" w:lineRule="exact"/>
        <w:jc w:val="both"/>
        <w:rPr>
          <w:rFonts w:ascii="宋体" w:hAnsi="宋体" w:eastAsia="宋体"/>
          <w:b w:val="0"/>
          <w:bCs w:val="0"/>
        </w:rPr>
      </w:pPr>
    </w:p>
    <w:p>
      <w:pPr>
        <w:pStyle w:val="18"/>
        <w:tabs>
          <w:tab w:val="left" w:pos="420"/>
        </w:tabs>
        <w:spacing w:line="300" w:lineRule="exact"/>
        <w:jc w:val="both"/>
        <w:rPr>
          <w:rFonts w:ascii="宋体" w:hAnsi="宋体" w:eastAsia="宋体"/>
          <w:b w:val="0"/>
          <w:bCs w:val="0"/>
        </w:rPr>
      </w:pPr>
    </w:p>
    <w:p>
      <w:pPr>
        <w:pStyle w:val="18"/>
        <w:tabs>
          <w:tab w:val="left" w:pos="420"/>
        </w:tabs>
        <w:spacing w:line="300" w:lineRule="exact"/>
        <w:jc w:val="both"/>
        <w:rPr>
          <w:rFonts w:ascii="宋体" w:hAnsi="宋体" w:eastAsia="宋体"/>
          <w:b w:val="0"/>
          <w:bCs w:val="0"/>
        </w:rPr>
      </w:pPr>
    </w:p>
    <w:p>
      <w:pPr>
        <w:pStyle w:val="18"/>
        <w:tabs>
          <w:tab w:val="left" w:pos="420"/>
        </w:tabs>
        <w:spacing w:line="300" w:lineRule="exact"/>
        <w:jc w:val="both"/>
        <w:rPr>
          <w:rFonts w:ascii="宋体" w:hAnsi="宋体" w:eastAsia="宋体"/>
          <w:b w:val="0"/>
          <w:bCs w:val="0"/>
        </w:rPr>
      </w:pPr>
    </w:p>
    <w:p>
      <w:pPr>
        <w:pStyle w:val="18"/>
        <w:tabs>
          <w:tab w:val="left" w:pos="420"/>
        </w:tabs>
        <w:spacing w:line="300" w:lineRule="exact"/>
        <w:jc w:val="both"/>
        <w:rPr>
          <w:rFonts w:ascii="宋体" w:hAnsi="宋体" w:eastAsia="宋体"/>
          <w:b w:val="0"/>
          <w:bCs w:val="0"/>
        </w:rPr>
      </w:pPr>
    </w:p>
    <w:p>
      <w:pPr>
        <w:pStyle w:val="18"/>
        <w:tabs>
          <w:tab w:val="left" w:pos="420"/>
        </w:tabs>
        <w:spacing w:line="300" w:lineRule="exact"/>
        <w:jc w:val="both"/>
        <w:rPr>
          <w:rFonts w:ascii="宋体" w:hAnsi="宋体" w:eastAsia="宋体"/>
          <w:b w:val="0"/>
          <w:bCs w:val="0"/>
        </w:rPr>
      </w:pPr>
    </w:p>
    <w:p>
      <w:pPr>
        <w:pStyle w:val="18"/>
        <w:tabs>
          <w:tab w:val="left" w:pos="420"/>
        </w:tabs>
        <w:spacing w:line="300" w:lineRule="exact"/>
        <w:jc w:val="both"/>
        <w:rPr>
          <w:rFonts w:ascii="宋体" w:hAnsi="宋体" w:eastAsia="宋体"/>
          <w:b w:val="0"/>
          <w:bCs w:val="0"/>
        </w:rPr>
      </w:pPr>
    </w:p>
    <w:p>
      <w:pPr>
        <w:pStyle w:val="18"/>
        <w:tabs>
          <w:tab w:val="left" w:pos="420"/>
        </w:tabs>
        <w:spacing w:line="300" w:lineRule="exact"/>
        <w:jc w:val="both"/>
        <w:rPr>
          <w:rFonts w:ascii="宋体" w:hAnsi="宋体" w:eastAsia="宋体"/>
          <w:b w:val="0"/>
          <w:bCs w:val="0"/>
        </w:rPr>
      </w:pPr>
    </w:p>
    <w:p>
      <w:pPr>
        <w:pStyle w:val="18"/>
        <w:tabs>
          <w:tab w:val="left" w:pos="420"/>
        </w:tabs>
        <w:spacing w:line="300" w:lineRule="exact"/>
        <w:jc w:val="both"/>
        <w:rPr>
          <w:rFonts w:ascii="宋体" w:hAnsi="宋体" w:eastAsia="宋体"/>
          <w:b w:val="0"/>
          <w:bCs w:val="0"/>
        </w:rPr>
      </w:pPr>
    </w:p>
    <w:p>
      <w:pPr>
        <w:pStyle w:val="18"/>
        <w:tabs>
          <w:tab w:val="left" w:pos="420"/>
        </w:tabs>
        <w:spacing w:line="300" w:lineRule="exact"/>
        <w:rPr>
          <w:rFonts w:ascii="宋体" w:hAnsi="宋体" w:eastAsia="宋体"/>
        </w:rPr>
      </w:pPr>
    </w:p>
    <w:p>
      <w:pPr>
        <w:pStyle w:val="18"/>
        <w:tabs>
          <w:tab w:val="left" w:pos="420"/>
        </w:tabs>
        <w:spacing w:line="300" w:lineRule="exact"/>
        <w:rPr>
          <w:rFonts w:ascii="宋体" w:hAnsi="宋体" w:eastAsia="宋体"/>
        </w:rPr>
      </w:pPr>
    </w:p>
    <w:p>
      <w:pPr>
        <w:pStyle w:val="18"/>
        <w:tabs>
          <w:tab w:val="left" w:pos="420"/>
        </w:tabs>
        <w:spacing w:line="300" w:lineRule="exact"/>
        <w:rPr>
          <w:rFonts w:ascii="宋体" w:hAnsi="宋体" w:eastAsia="宋体"/>
        </w:rPr>
      </w:pPr>
    </w:p>
    <w:p>
      <w:pPr>
        <w:pStyle w:val="18"/>
        <w:tabs>
          <w:tab w:val="left" w:pos="420"/>
        </w:tabs>
        <w:spacing w:line="300" w:lineRule="exact"/>
        <w:rPr>
          <w:rFonts w:ascii="宋体" w:hAnsi="宋体" w:eastAsia="宋体"/>
        </w:rPr>
      </w:pPr>
    </w:p>
    <w:p>
      <w:pPr>
        <w:pStyle w:val="18"/>
        <w:tabs>
          <w:tab w:val="left" w:pos="420"/>
        </w:tabs>
        <w:spacing w:line="300" w:lineRule="exact"/>
        <w:jc w:val="both"/>
        <w:rPr>
          <w:rFonts w:ascii="宋体" w:hAnsi="宋体" w:eastAsia="宋体"/>
        </w:rPr>
      </w:pPr>
    </w:p>
    <w:p>
      <w:pPr>
        <w:pStyle w:val="18"/>
        <w:tabs>
          <w:tab w:val="left" w:pos="420"/>
        </w:tabs>
        <w:spacing w:line="300" w:lineRule="exact"/>
        <w:jc w:val="both"/>
        <w:rPr>
          <w:rFonts w:ascii="宋体" w:hAnsi="宋体" w:eastAsia="宋体"/>
        </w:rPr>
      </w:pPr>
    </w:p>
    <w:p>
      <w:pPr>
        <w:pStyle w:val="18"/>
        <w:tabs>
          <w:tab w:val="left" w:pos="420"/>
        </w:tabs>
        <w:spacing w:line="300" w:lineRule="exact"/>
        <w:jc w:val="both"/>
        <w:rPr>
          <w:rFonts w:ascii="宋体" w:hAnsi="宋体" w:eastAsia="宋体"/>
        </w:rPr>
      </w:pPr>
    </w:p>
    <w:p>
      <w:pPr>
        <w:pStyle w:val="18"/>
        <w:tabs>
          <w:tab w:val="left" w:pos="420"/>
        </w:tabs>
        <w:spacing w:line="380" w:lineRule="exact"/>
        <w:rPr>
          <w:rFonts w:ascii="宋体" w:hAnsi="宋体" w:eastAsia="宋体" w:cs="Times New Roman"/>
        </w:rPr>
      </w:pPr>
      <w:r>
        <w:rPr>
          <w:rFonts w:hint="eastAsia" w:ascii="宋体" w:hAnsi="宋体" w:eastAsia="宋体"/>
        </w:rPr>
        <w:t>第一章 竞争性磋商书</w:t>
      </w:r>
      <w:bookmarkEnd w:id="0"/>
      <w:bookmarkEnd w:id="1"/>
      <w:bookmarkEnd w:id="2"/>
      <w:bookmarkEnd w:id="3"/>
    </w:p>
    <w:p>
      <w:pPr>
        <w:pStyle w:val="19"/>
        <w:spacing w:line="380" w:lineRule="exact"/>
        <w:rPr>
          <w:rFonts w:ascii="宋体" w:hAnsi="宋体" w:eastAsia="宋体"/>
        </w:rPr>
      </w:pPr>
      <w:bookmarkStart w:id="4" w:name="_Toc338398713"/>
      <w:bookmarkStart w:id="5" w:name="_Toc383776342"/>
      <w:bookmarkStart w:id="6" w:name="_Toc272141464"/>
      <w:r>
        <w:rPr>
          <w:rFonts w:hint="eastAsia" w:ascii="宋体" w:hAnsi="宋体" w:eastAsia="宋体" w:cs="宋体"/>
          <w:b/>
          <w:bCs/>
        </w:rPr>
        <w:t>一、磋商响应供应商须知前附表</w:t>
      </w:r>
      <w:bookmarkEnd w:id="4"/>
      <w:bookmarkEnd w:id="5"/>
      <w:bookmarkEnd w:id="6"/>
      <w:bookmarkStart w:id="7" w:name="_Hlk450145192"/>
    </w:p>
    <w:tbl>
      <w:tblPr>
        <w:tblStyle w:val="16"/>
        <w:tblW w:w="855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680"/>
        <w:gridCol w:w="2325"/>
        <w:gridCol w:w="555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29" w:hRule="atLeast"/>
          <w:jc w:val="center"/>
        </w:trPr>
        <w:tc>
          <w:tcPr>
            <w:tcW w:w="680" w:type="dxa"/>
            <w:vAlign w:val="center"/>
          </w:tcPr>
          <w:p>
            <w:pPr>
              <w:pStyle w:val="17"/>
              <w:adjustRightInd/>
              <w:spacing w:line="380" w:lineRule="exact"/>
              <w:jc w:val="center"/>
              <w:rPr>
                <w:rFonts w:ascii="宋体" w:hAnsi="宋体" w:eastAsia="宋体" w:cs="华文仿宋"/>
                <w:szCs w:val="24"/>
                <w:lang w:val="zh-CN"/>
              </w:rPr>
            </w:pPr>
            <w:r>
              <w:rPr>
                <w:rFonts w:hint="eastAsia" w:ascii="宋体" w:hAnsi="宋体" w:eastAsia="宋体" w:cs="华文仿宋"/>
                <w:szCs w:val="24"/>
                <w:lang w:val="zh-CN"/>
              </w:rPr>
              <w:t>序号</w:t>
            </w:r>
          </w:p>
        </w:tc>
        <w:tc>
          <w:tcPr>
            <w:tcW w:w="2325" w:type="dxa"/>
            <w:vAlign w:val="center"/>
          </w:tcPr>
          <w:p>
            <w:pPr>
              <w:pStyle w:val="17"/>
              <w:adjustRightInd/>
              <w:spacing w:line="380" w:lineRule="exact"/>
              <w:ind w:left="38"/>
              <w:jc w:val="center"/>
              <w:rPr>
                <w:rFonts w:ascii="宋体" w:hAnsi="宋体" w:eastAsia="宋体" w:cs="华文仿宋"/>
                <w:szCs w:val="24"/>
                <w:lang w:val="zh-CN"/>
              </w:rPr>
            </w:pPr>
            <w:r>
              <w:rPr>
                <w:rFonts w:hint="eastAsia" w:ascii="宋体" w:hAnsi="宋体" w:eastAsia="宋体" w:cs="华文仿宋"/>
                <w:szCs w:val="24"/>
                <w:lang w:val="zh-CN"/>
              </w:rPr>
              <w:t>条款名称</w:t>
            </w:r>
          </w:p>
        </w:tc>
        <w:tc>
          <w:tcPr>
            <w:tcW w:w="5553" w:type="dxa"/>
            <w:vAlign w:val="center"/>
          </w:tcPr>
          <w:p>
            <w:pPr>
              <w:pStyle w:val="17"/>
              <w:adjustRightInd/>
              <w:spacing w:line="380" w:lineRule="exact"/>
              <w:jc w:val="center"/>
              <w:rPr>
                <w:rFonts w:ascii="宋体" w:hAnsi="宋体" w:eastAsia="宋体" w:cs="华文仿宋"/>
                <w:b/>
                <w:szCs w:val="24"/>
                <w:lang w:val="zh-CN"/>
              </w:rPr>
            </w:pPr>
            <w:r>
              <w:rPr>
                <w:rFonts w:hint="eastAsia" w:ascii="宋体" w:hAnsi="宋体" w:eastAsia="宋体" w:cs="华文仿宋"/>
                <w:bCs/>
                <w:szCs w:val="24"/>
                <w:lang w:val="zh-CN"/>
              </w:rPr>
              <w:t>说明和要求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65" w:hRule="atLeast"/>
          <w:jc w:val="center"/>
        </w:trPr>
        <w:tc>
          <w:tcPr>
            <w:tcW w:w="680" w:type="dxa"/>
            <w:vAlign w:val="center"/>
          </w:tcPr>
          <w:p>
            <w:pPr>
              <w:pStyle w:val="17"/>
              <w:adjustRightInd/>
              <w:spacing w:line="380" w:lineRule="exact"/>
              <w:jc w:val="center"/>
              <w:rPr>
                <w:rFonts w:ascii="宋体" w:hAnsi="宋体" w:eastAsia="宋体" w:cs="华文仿宋"/>
                <w:szCs w:val="24"/>
                <w:lang w:val="zh-CN"/>
              </w:rPr>
            </w:pPr>
            <w:r>
              <w:rPr>
                <w:rFonts w:hint="eastAsia" w:ascii="宋体" w:hAnsi="宋体" w:eastAsia="宋体" w:cs="华文仿宋"/>
                <w:szCs w:val="24"/>
                <w:lang w:val="zh-CN"/>
              </w:rPr>
              <w:t>1</w:t>
            </w:r>
          </w:p>
        </w:tc>
        <w:tc>
          <w:tcPr>
            <w:tcW w:w="2325" w:type="dxa"/>
            <w:vAlign w:val="center"/>
          </w:tcPr>
          <w:p>
            <w:pPr>
              <w:pStyle w:val="17"/>
              <w:adjustRightInd/>
              <w:spacing w:line="380" w:lineRule="exact"/>
              <w:jc w:val="center"/>
              <w:rPr>
                <w:rFonts w:ascii="宋体" w:hAnsi="宋体" w:eastAsia="宋体" w:cs="华文仿宋"/>
                <w:szCs w:val="24"/>
                <w:lang w:val="zh-CN"/>
              </w:rPr>
            </w:pPr>
            <w:r>
              <w:rPr>
                <w:rFonts w:hint="eastAsia" w:ascii="宋体" w:hAnsi="宋体" w:eastAsia="宋体" w:cs="华文仿宋"/>
                <w:szCs w:val="24"/>
                <w:lang w:val="zh-CN"/>
              </w:rPr>
              <w:t>资格审查资料</w:t>
            </w:r>
          </w:p>
        </w:tc>
        <w:tc>
          <w:tcPr>
            <w:tcW w:w="5553" w:type="dxa"/>
            <w:vAlign w:val="center"/>
          </w:tcPr>
          <w:p>
            <w:pPr>
              <w:pStyle w:val="17"/>
              <w:adjustRightInd/>
              <w:spacing w:line="380" w:lineRule="exact"/>
              <w:ind w:left="34"/>
              <w:jc w:val="both"/>
              <w:rPr>
                <w:rFonts w:ascii="宋体" w:hAnsi="宋体" w:eastAsia="宋体"/>
                <w:szCs w:val="24"/>
              </w:rPr>
            </w:pPr>
            <w:r>
              <w:rPr>
                <w:rFonts w:hint="eastAsia" w:ascii="宋体" w:hAnsi="宋体" w:eastAsia="宋体"/>
                <w:bCs/>
                <w:szCs w:val="24"/>
              </w:rPr>
              <w:t>营业执照副本复印件及相关复印件加盖公章装订入</w:t>
            </w:r>
            <w:r>
              <w:rPr>
                <w:rFonts w:hint="eastAsia" w:ascii="宋体" w:hAnsi="宋体" w:eastAsia="宋体"/>
                <w:bCs/>
              </w:rPr>
              <w:t>磋商响应</w:t>
            </w:r>
            <w:r>
              <w:rPr>
                <w:rFonts w:hint="eastAsia" w:ascii="宋体" w:hAnsi="宋体" w:eastAsia="宋体"/>
                <w:bCs/>
                <w:szCs w:val="24"/>
              </w:rPr>
              <w:t>文件，原件带至磋商现场审查。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66" w:hRule="atLeast"/>
          <w:jc w:val="center"/>
        </w:trPr>
        <w:tc>
          <w:tcPr>
            <w:tcW w:w="680" w:type="dxa"/>
            <w:vAlign w:val="center"/>
          </w:tcPr>
          <w:p>
            <w:pPr>
              <w:pStyle w:val="17"/>
              <w:adjustRightInd/>
              <w:spacing w:line="380" w:lineRule="exact"/>
              <w:jc w:val="center"/>
              <w:rPr>
                <w:rFonts w:ascii="宋体" w:hAnsi="宋体" w:eastAsia="宋体" w:cs="华文仿宋"/>
                <w:szCs w:val="24"/>
                <w:lang w:val="zh-CN"/>
              </w:rPr>
            </w:pPr>
            <w:r>
              <w:rPr>
                <w:rFonts w:hint="eastAsia" w:ascii="宋体" w:hAnsi="宋体" w:eastAsia="宋体" w:cs="华文仿宋"/>
                <w:szCs w:val="24"/>
                <w:lang w:val="zh-CN"/>
              </w:rPr>
              <w:t>2</w:t>
            </w:r>
          </w:p>
        </w:tc>
        <w:tc>
          <w:tcPr>
            <w:tcW w:w="2325" w:type="dxa"/>
            <w:vAlign w:val="center"/>
          </w:tcPr>
          <w:p>
            <w:pPr>
              <w:pStyle w:val="17"/>
              <w:adjustRightInd/>
              <w:spacing w:line="380" w:lineRule="exact"/>
              <w:jc w:val="center"/>
              <w:rPr>
                <w:rFonts w:ascii="宋体" w:hAnsi="宋体" w:eastAsia="宋体" w:cs="华文仿宋"/>
                <w:szCs w:val="24"/>
                <w:lang w:val="zh-CN"/>
              </w:rPr>
            </w:pPr>
            <w:r>
              <w:rPr>
                <w:rFonts w:hint="eastAsia" w:ascii="宋体" w:hAnsi="宋体" w:eastAsia="宋体" w:cs="华文仿宋"/>
                <w:szCs w:val="24"/>
                <w:lang w:val="zh-CN"/>
              </w:rPr>
              <w:t>资金来源</w:t>
            </w:r>
          </w:p>
        </w:tc>
        <w:tc>
          <w:tcPr>
            <w:tcW w:w="5553" w:type="dxa"/>
            <w:vAlign w:val="center"/>
          </w:tcPr>
          <w:p>
            <w:pPr>
              <w:pStyle w:val="17"/>
              <w:adjustRightInd/>
              <w:spacing w:line="380" w:lineRule="exact"/>
              <w:ind w:left="34"/>
              <w:jc w:val="both"/>
              <w:rPr>
                <w:rFonts w:ascii="宋体" w:hAnsi="宋体" w:eastAsia="宋体"/>
                <w:szCs w:val="24"/>
              </w:rPr>
            </w:pPr>
            <w:r>
              <w:rPr>
                <w:rFonts w:hint="eastAsia" w:ascii="宋体" w:hAnsi="宋体" w:eastAsia="宋体"/>
                <w:szCs w:val="24"/>
              </w:rPr>
              <w:t>财政资金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293" w:hRule="atLeast"/>
          <w:jc w:val="center"/>
        </w:trPr>
        <w:tc>
          <w:tcPr>
            <w:tcW w:w="680" w:type="dxa"/>
            <w:vAlign w:val="center"/>
          </w:tcPr>
          <w:p>
            <w:pPr>
              <w:pStyle w:val="17"/>
              <w:adjustRightInd/>
              <w:spacing w:line="380" w:lineRule="exact"/>
              <w:jc w:val="center"/>
              <w:rPr>
                <w:rFonts w:ascii="宋体" w:hAnsi="宋体" w:eastAsia="宋体" w:cs="华文仿宋"/>
                <w:szCs w:val="24"/>
                <w:lang w:val="zh-CN"/>
              </w:rPr>
            </w:pPr>
            <w:r>
              <w:rPr>
                <w:rFonts w:hint="eastAsia" w:ascii="宋体" w:hAnsi="宋体" w:eastAsia="宋体" w:cs="华文仿宋"/>
                <w:szCs w:val="24"/>
                <w:lang w:val="zh-CN"/>
              </w:rPr>
              <w:t>3</w:t>
            </w:r>
          </w:p>
        </w:tc>
        <w:tc>
          <w:tcPr>
            <w:tcW w:w="2325" w:type="dxa"/>
            <w:vAlign w:val="center"/>
          </w:tcPr>
          <w:p>
            <w:pPr>
              <w:pStyle w:val="17"/>
              <w:adjustRightInd/>
              <w:spacing w:line="380" w:lineRule="exact"/>
              <w:jc w:val="center"/>
              <w:rPr>
                <w:rFonts w:ascii="宋体" w:hAnsi="宋体" w:eastAsia="宋体"/>
                <w:szCs w:val="24"/>
              </w:rPr>
            </w:pPr>
            <w:r>
              <w:rPr>
                <w:rFonts w:hint="eastAsia" w:ascii="宋体" w:hAnsi="宋体" w:eastAsia="宋体"/>
                <w:szCs w:val="24"/>
              </w:rPr>
              <w:t>采购范围</w:t>
            </w:r>
          </w:p>
        </w:tc>
        <w:tc>
          <w:tcPr>
            <w:tcW w:w="5553" w:type="dxa"/>
            <w:vAlign w:val="center"/>
          </w:tcPr>
          <w:p>
            <w:pPr>
              <w:widowControl/>
              <w:shd w:val="clear" w:color="auto" w:fill="FFFFFF"/>
              <w:spacing w:line="380" w:lineRule="exact"/>
              <w:rPr>
                <w:rFonts w:ascii="宋体" w:hAnsi="宋体" w:eastAsia="宋体"/>
                <w:sz w:val="24"/>
                <w:szCs w:val="24"/>
              </w:rPr>
            </w:pPr>
            <w:r>
              <w:rPr>
                <w:rFonts w:hint="eastAsia" w:ascii="宋体" w:hAnsi="宋体" w:eastAsia="宋体"/>
                <w:kern w:val="0"/>
                <w:sz w:val="24"/>
                <w:szCs w:val="24"/>
              </w:rPr>
              <w:t>详见磋商公告及文件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56" w:hRule="atLeast"/>
          <w:jc w:val="center"/>
        </w:trPr>
        <w:tc>
          <w:tcPr>
            <w:tcW w:w="680" w:type="dxa"/>
            <w:vAlign w:val="center"/>
          </w:tcPr>
          <w:p>
            <w:pPr>
              <w:pStyle w:val="17"/>
              <w:adjustRightInd/>
              <w:spacing w:line="380" w:lineRule="exact"/>
              <w:jc w:val="center"/>
              <w:rPr>
                <w:rFonts w:ascii="宋体" w:hAnsi="宋体" w:eastAsia="宋体" w:cs="华文仿宋"/>
                <w:szCs w:val="24"/>
                <w:lang w:val="zh-CN"/>
              </w:rPr>
            </w:pPr>
            <w:r>
              <w:rPr>
                <w:rFonts w:hint="eastAsia" w:ascii="宋体" w:hAnsi="宋体" w:eastAsia="宋体" w:cs="华文仿宋"/>
                <w:szCs w:val="24"/>
                <w:lang w:val="zh-CN"/>
              </w:rPr>
              <w:t>4</w:t>
            </w:r>
          </w:p>
        </w:tc>
        <w:tc>
          <w:tcPr>
            <w:tcW w:w="2325" w:type="dxa"/>
            <w:vAlign w:val="center"/>
          </w:tcPr>
          <w:p>
            <w:pPr>
              <w:pStyle w:val="17"/>
              <w:adjustRightInd/>
              <w:spacing w:line="380" w:lineRule="exact"/>
              <w:jc w:val="center"/>
              <w:rPr>
                <w:rFonts w:ascii="宋体" w:hAnsi="宋体" w:eastAsia="宋体" w:cs="华文仿宋"/>
                <w:szCs w:val="24"/>
                <w:lang w:val="zh-CN"/>
              </w:rPr>
            </w:pPr>
            <w:r>
              <w:rPr>
                <w:rFonts w:hint="eastAsia" w:ascii="宋体" w:hAnsi="宋体" w:eastAsia="宋体" w:cs="华文仿宋"/>
                <w:szCs w:val="24"/>
                <w:lang w:val="zh-CN"/>
              </w:rPr>
              <w:t>标段划分</w:t>
            </w:r>
          </w:p>
        </w:tc>
        <w:tc>
          <w:tcPr>
            <w:tcW w:w="5553" w:type="dxa"/>
            <w:vAlign w:val="center"/>
          </w:tcPr>
          <w:p>
            <w:pPr>
              <w:pStyle w:val="17"/>
              <w:adjustRightInd/>
              <w:spacing w:line="380" w:lineRule="exact"/>
              <w:jc w:val="both"/>
              <w:rPr>
                <w:rFonts w:ascii="宋体" w:hAnsi="宋体" w:eastAsia="宋体"/>
                <w:szCs w:val="24"/>
              </w:rPr>
            </w:pPr>
            <w:r>
              <w:rPr>
                <w:rFonts w:hint="eastAsia" w:ascii="宋体" w:hAnsi="宋体" w:eastAsia="宋体"/>
                <w:szCs w:val="24"/>
              </w:rPr>
              <w:t>一个标段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89" w:hRule="atLeast"/>
          <w:jc w:val="center"/>
        </w:trPr>
        <w:tc>
          <w:tcPr>
            <w:tcW w:w="680" w:type="dxa"/>
            <w:vAlign w:val="center"/>
          </w:tcPr>
          <w:p>
            <w:pPr>
              <w:pStyle w:val="17"/>
              <w:adjustRightInd/>
              <w:spacing w:line="380" w:lineRule="exact"/>
              <w:jc w:val="center"/>
              <w:rPr>
                <w:rFonts w:ascii="宋体" w:hAnsi="宋体" w:eastAsia="宋体" w:cs="华文仿宋"/>
                <w:szCs w:val="24"/>
                <w:lang w:val="zh-CN"/>
              </w:rPr>
            </w:pPr>
            <w:r>
              <w:rPr>
                <w:rFonts w:hint="eastAsia" w:ascii="宋体" w:hAnsi="宋体" w:eastAsia="宋体" w:cs="华文仿宋"/>
                <w:szCs w:val="24"/>
                <w:lang w:val="zh-CN"/>
              </w:rPr>
              <w:t>5</w:t>
            </w:r>
          </w:p>
        </w:tc>
        <w:tc>
          <w:tcPr>
            <w:tcW w:w="2325" w:type="dxa"/>
            <w:vAlign w:val="center"/>
          </w:tcPr>
          <w:p>
            <w:pPr>
              <w:pStyle w:val="17"/>
              <w:adjustRightInd/>
              <w:spacing w:line="380" w:lineRule="exact"/>
              <w:ind w:left="38"/>
              <w:jc w:val="center"/>
              <w:rPr>
                <w:rFonts w:ascii="宋体" w:hAnsi="宋体" w:eastAsia="宋体" w:cs="华文仿宋"/>
                <w:szCs w:val="24"/>
                <w:lang w:val="zh-CN"/>
              </w:rPr>
            </w:pPr>
            <w:r>
              <w:rPr>
                <w:rFonts w:hint="eastAsia" w:ascii="宋体" w:hAnsi="宋体" w:eastAsia="宋体" w:cs="华文仿宋"/>
                <w:szCs w:val="24"/>
                <w:lang w:val="zh-CN"/>
              </w:rPr>
              <w:t>最高磋商限价</w:t>
            </w:r>
          </w:p>
        </w:tc>
        <w:tc>
          <w:tcPr>
            <w:tcW w:w="5553" w:type="dxa"/>
            <w:vAlign w:val="center"/>
          </w:tcPr>
          <w:p>
            <w:pPr>
              <w:pStyle w:val="17"/>
              <w:adjustRightInd/>
              <w:spacing w:line="380" w:lineRule="exact"/>
              <w:jc w:val="both"/>
              <w:rPr>
                <w:rFonts w:ascii="宋体" w:hAnsi="宋体" w:eastAsia="宋体"/>
                <w:szCs w:val="24"/>
              </w:rPr>
            </w:pPr>
            <w:r>
              <w:rPr>
                <w:rFonts w:hint="eastAsia" w:ascii="宋体" w:hAnsi="宋体" w:eastAsia="宋体"/>
                <w:szCs w:val="24"/>
              </w:rPr>
              <w:t>9万元/年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41" w:hRule="atLeast"/>
          <w:jc w:val="center"/>
        </w:trPr>
        <w:tc>
          <w:tcPr>
            <w:tcW w:w="680" w:type="dxa"/>
            <w:vAlign w:val="center"/>
          </w:tcPr>
          <w:p>
            <w:pPr>
              <w:pStyle w:val="17"/>
              <w:adjustRightInd/>
              <w:spacing w:line="380" w:lineRule="exact"/>
              <w:jc w:val="center"/>
              <w:rPr>
                <w:rFonts w:ascii="宋体" w:hAnsi="宋体" w:eastAsia="宋体" w:cs="华文仿宋"/>
                <w:szCs w:val="24"/>
                <w:lang w:val="zh-CN"/>
              </w:rPr>
            </w:pPr>
            <w:r>
              <w:rPr>
                <w:rFonts w:hint="eastAsia" w:ascii="宋体" w:hAnsi="宋体" w:eastAsia="宋体" w:cs="华文仿宋"/>
                <w:szCs w:val="24"/>
                <w:lang w:val="zh-CN"/>
              </w:rPr>
              <w:t>6</w:t>
            </w:r>
          </w:p>
        </w:tc>
        <w:tc>
          <w:tcPr>
            <w:tcW w:w="2325" w:type="dxa"/>
            <w:vAlign w:val="center"/>
          </w:tcPr>
          <w:p>
            <w:pPr>
              <w:pStyle w:val="17"/>
              <w:adjustRightInd/>
              <w:spacing w:line="380" w:lineRule="exact"/>
              <w:ind w:left="38"/>
              <w:jc w:val="center"/>
              <w:rPr>
                <w:rFonts w:ascii="宋体" w:hAnsi="宋体" w:eastAsia="宋体" w:cs="华文仿宋"/>
                <w:szCs w:val="24"/>
                <w:lang w:val="zh-CN"/>
              </w:rPr>
            </w:pPr>
            <w:r>
              <w:rPr>
                <w:rFonts w:hint="eastAsia" w:ascii="宋体" w:hAnsi="宋体" w:eastAsia="宋体" w:cs="华文仿宋"/>
                <w:szCs w:val="24"/>
                <w:lang w:val="zh-CN"/>
              </w:rPr>
              <w:t>采购方式</w:t>
            </w:r>
          </w:p>
        </w:tc>
        <w:tc>
          <w:tcPr>
            <w:tcW w:w="5553" w:type="dxa"/>
            <w:vAlign w:val="center"/>
          </w:tcPr>
          <w:p>
            <w:pPr>
              <w:pStyle w:val="17"/>
              <w:adjustRightInd/>
              <w:spacing w:line="380" w:lineRule="exact"/>
              <w:jc w:val="both"/>
              <w:rPr>
                <w:rFonts w:ascii="宋体" w:hAnsi="宋体" w:eastAsia="宋体"/>
                <w:szCs w:val="24"/>
              </w:rPr>
            </w:pPr>
            <w:r>
              <w:rPr>
                <w:rFonts w:hint="eastAsia" w:ascii="宋体" w:hAnsi="宋体" w:eastAsia="宋体"/>
                <w:szCs w:val="24"/>
              </w:rPr>
              <w:t>竞争性磋商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506" w:hRule="atLeast"/>
          <w:jc w:val="center"/>
        </w:trPr>
        <w:tc>
          <w:tcPr>
            <w:tcW w:w="680" w:type="dxa"/>
            <w:vAlign w:val="center"/>
          </w:tcPr>
          <w:p>
            <w:pPr>
              <w:pStyle w:val="17"/>
              <w:adjustRightInd/>
              <w:spacing w:line="380" w:lineRule="exact"/>
              <w:jc w:val="center"/>
              <w:rPr>
                <w:rFonts w:ascii="宋体" w:hAnsi="宋体" w:eastAsia="宋体" w:cs="华文仿宋"/>
                <w:szCs w:val="24"/>
              </w:rPr>
            </w:pPr>
            <w:r>
              <w:rPr>
                <w:rFonts w:hint="eastAsia" w:ascii="宋体" w:hAnsi="宋体" w:eastAsia="宋体" w:cs="华文仿宋"/>
                <w:szCs w:val="24"/>
              </w:rPr>
              <w:t>7</w:t>
            </w:r>
          </w:p>
        </w:tc>
        <w:tc>
          <w:tcPr>
            <w:tcW w:w="2325" w:type="dxa"/>
            <w:vAlign w:val="center"/>
          </w:tcPr>
          <w:p>
            <w:pPr>
              <w:pStyle w:val="17"/>
              <w:adjustRightInd/>
              <w:spacing w:line="380" w:lineRule="exact"/>
              <w:jc w:val="center"/>
              <w:rPr>
                <w:rFonts w:ascii="宋体" w:hAnsi="宋体" w:eastAsia="宋体" w:cs="华文仿宋"/>
                <w:szCs w:val="24"/>
                <w:lang w:val="zh-CN"/>
              </w:rPr>
            </w:pPr>
            <w:r>
              <w:rPr>
                <w:rFonts w:hint="eastAsia" w:ascii="宋体" w:hAnsi="宋体" w:eastAsia="宋体" w:cs="华文仿宋"/>
                <w:szCs w:val="24"/>
                <w:lang w:val="zh-CN"/>
              </w:rPr>
              <w:t>是否接受联合体</w:t>
            </w:r>
          </w:p>
        </w:tc>
        <w:tc>
          <w:tcPr>
            <w:tcW w:w="5553" w:type="dxa"/>
            <w:vAlign w:val="center"/>
          </w:tcPr>
          <w:p>
            <w:pPr>
              <w:pStyle w:val="17"/>
              <w:adjustRightInd/>
              <w:spacing w:line="380" w:lineRule="exact"/>
              <w:ind w:left="34"/>
              <w:jc w:val="both"/>
              <w:rPr>
                <w:rFonts w:ascii="宋体" w:hAnsi="宋体" w:eastAsia="宋体"/>
                <w:szCs w:val="24"/>
              </w:rPr>
            </w:pPr>
            <w:r>
              <w:rPr>
                <w:rFonts w:hint="eastAsia" w:ascii="宋体" w:hAnsi="宋体" w:eastAsia="宋体"/>
                <w:szCs w:val="24"/>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456" w:hRule="atLeast"/>
          <w:jc w:val="center"/>
        </w:trPr>
        <w:tc>
          <w:tcPr>
            <w:tcW w:w="680" w:type="dxa"/>
            <w:vAlign w:val="center"/>
          </w:tcPr>
          <w:p>
            <w:pPr>
              <w:pStyle w:val="17"/>
              <w:adjustRightInd/>
              <w:spacing w:line="380" w:lineRule="exact"/>
              <w:jc w:val="center"/>
              <w:rPr>
                <w:rFonts w:ascii="宋体" w:hAnsi="宋体" w:eastAsia="宋体" w:cs="华文仿宋"/>
                <w:szCs w:val="24"/>
                <w:lang w:val="zh-CN"/>
              </w:rPr>
            </w:pPr>
            <w:r>
              <w:rPr>
                <w:rFonts w:hint="eastAsia" w:ascii="宋体" w:hAnsi="宋体" w:eastAsia="宋体" w:cs="华文仿宋"/>
                <w:szCs w:val="24"/>
                <w:lang w:val="zh-CN"/>
              </w:rPr>
              <w:t>8</w:t>
            </w:r>
          </w:p>
        </w:tc>
        <w:tc>
          <w:tcPr>
            <w:tcW w:w="2325" w:type="dxa"/>
            <w:vAlign w:val="center"/>
          </w:tcPr>
          <w:p>
            <w:pPr>
              <w:pStyle w:val="17"/>
              <w:adjustRightInd/>
              <w:spacing w:line="380" w:lineRule="exact"/>
              <w:jc w:val="center"/>
              <w:rPr>
                <w:rFonts w:ascii="宋体" w:hAnsi="宋体" w:eastAsia="宋体" w:cs="华文仿宋"/>
                <w:szCs w:val="24"/>
                <w:lang w:val="zh-CN"/>
              </w:rPr>
            </w:pPr>
            <w:r>
              <w:rPr>
                <w:rFonts w:hint="eastAsia" w:ascii="宋体" w:hAnsi="宋体" w:eastAsia="宋体" w:cs="华文仿宋"/>
                <w:szCs w:val="24"/>
                <w:lang w:val="zh-CN"/>
              </w:rPr>
              <w:t>是否接受分包履约</w:t>
            </w:r>
          </w:p>
        </w:tc>
        <w:tc>
          <w:tcPr>
            <w:tcW w:w="5553" w:type="dxa"/>
            <w:vAlign w:val="center"/>
          </w:tcPr>
          <w:p>
            <w:pPr>
              <w:pStyle w:val="17"/>
              <w:adjustRightInd/>
              <w:spacing w:line="380" w:lineRule="exact"/>
              <w:ind w:left="34"/>
              <w:jc w:val="both"/>
              <w:rPr>
                <w:rFonts w:ascii="宋体" w:hAnsi="宋体" w:eastAsia="宋体"/>
                <w:szCs w:val="24"/>
              </w:rPr>
            </w:pPr>
            <w:r>
              <w:rPr>
                <w:rFonts w:hint="eastAsia" w:ascii="宋体" w:hAnsi="宋体" w:eastAsia="宋体"/>
                <w:szCs w:val="24"/>
              </w:rPr>
              <w:t>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590" w:hRule="atLeast"/>
          <w:jc w:val="center"/>
        </w:trPr>
        <w:tc>
          <w:tcPr>
            <w:tcW w:w="680" w:type="dxa"/>
            <w:vAlign w:val="center"/>
          </w:tcPr>
          <w:p>
            <w:pPr>
              <w:pStyle w:val="17"/>
              <w:adjustRightInd/>
              <w:spacing w:line="380" w:lineRule="exact"/>
              <w:jc w:val="center"/>
              <w:rPr>
                <w:rFonts w:ascii="宋体" w:hAnsi="宋体" w:eastAsia="宋体" w:cs="华文仿宋"/>
                <w:szCs w:val="24"/>
                <w:lang w:val="zh-CN"/>
              </w:rPr>
            </w:pPr>
            <w:r>
              <w:rPr>
                <w:rFonts w:hint="eastAsia" w:ascii="宋体" w:hAnsi="宋体" w:eastAsia="宋体" w:cs="华文仿宋"/>
                <w:szCs w:val="24"/>
                <w:lang w:val="zh-CN"/>
              </w:rPr>
              <w:t>9</w:t>
            </w:r>
          </w:p>
        </w:tc>
        <w:tc>
          <w:tcPr>
            <w:tcW w:w="2325" w:type="dxa"/>
            <w:vAlign w:val="center"/>
          </w:tcPr>
          <w:p>
            <w:pPr>
              <w:pStyle w:val="17"/>
              <w:adjustRightInd/>
              <w:spacing w:line="380" w:lineRule="exact"/>
              <w:jc w:val="center"/>
              <w:rPr>
                <w:rFonts w:ascii="宋体" w:hAnsi="宋体" w:eastAsia="宋体" w:cs="华文仿宋"/>
                <w:szCs w:val="24"/>
                <w:lang w:val="zh-CN"/>
              </w:rPr>
            </w:pPr>
            <w:r>
              <w:rPr>
                <w:rFonts w:hint="eastAsia" w:ascii="宋体" w:hAnsi="宋体" w:eastAsia="宋体" w:cs="华文仿宋"/>
                <w:szCs w:val="24"/>
                <w:lang w:val="zh-CN"/>
              </w:rPr>
              <w:t>构成竞争性磋商文件的其他文件</w:t>
            </w:r>
          </w:p>
        </w:tc>
        <w:tc>
          <w:tcPr>
            <w:tcW w:w="5553" w:type="dxa"/>
            <w:vAlign w:val="center"/>
          </w:tcPr>
          <w:p>
            <w:pPr>
              <w:pStyle w:val="17"/>
              <w:adjustRightInd/>
              <w:spacing w:line="380" w:lineRule="exact"/>
              <w:jc w:val="both"/>
              <w:rPr>
                <w:rFonts w:ascii="宋体" w:hAnsi="宋体" w:eastAsia="宋体"/>
                <w:szCs w:val="24"/>
              </w:rPr>
            </w:pPr>
            <w:r>
              <w:rPr>
                <w:rFonts w:hint="eastAsia" w:ascii="宋体" w:hAnsi="宋体" w:eastAsia="宋体"/>
                <w:szCs w:val="24"/>
              </w:rPr>
              <w:t>竞争性磋商文件的澄清、修改书及有关补充通知为竞争性磋商文件的有效组成部分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475" w:hRule="atLeast"/>
          <w:jc w:val="center"/>
        </w:trPr>
        <w:tc>
          <w:tcPr>
            <w:tcW w:w="680" w:type="dxa"/>
            <w:vAlign w:val="center"/>
          </w:tcPr>
          <w:p>
            <w:pPr>
              <w:pStyle w:val="17"/>
              <w:adjustRightInd/>
              <w:spacing w:line="380" w:lineRule="exact"/>
              <w:jc w:val="center"/>
              <w:rPr>
                <w:rFonts w:ascii="宋体" w:hAnsi="宋体" w:eastAsia="宋体" w:cs="华文仿宋"/>
                <w:szCs w:val="24"/>
                <w:lang w:val="zh-CN"/>
              </w:rPr>
            </w:pPr>
            <w:r>
              <w:rPr>
                <w:rFonts w:hint="eastAsia" w:ascii="宋体" w:hAnsi="宋体" w:eastAsia="宋体" w:cs="华文仿宋"/>
                <w:szCs w:val="24"/>
                <w:lang w:val="zh-CN"/>
              </w:rPr>
              <w:t>10</w:t>
            </w:r>
          </w:p>
        </w:tc>
        <w:tc>
          <w:tcPr>
            <w:tcW w:w="2325" w:type="dxa"/>
            <w:vAlign w:val="center"/>
          </w:tcPr>
          <w:p>
            <w:pPr>
              <w:pStyle w:val="17"/>
              <w:adjustRightInd/>
              <w:spacing w:line="380" w:lineRule="exact"/>
              <w:ind w:left="52"/>
              <w:jc w:val="center"/>
              <w:rPr>
                <w:rFonts w:ascii="宋体" w:hAnsi="宋体" w:eastAsia="宋体" w:cs="华文仿宋"/>
                <w:szCs w:val="24"/>
                <w:lang w:val="zh-CN"/>
              </w:rPr>
            </w:pPr>
            <w:r>
              <w:rPr>
                <w:rFonts w:hint="eastAsia" w:ascii="宋体" w:hAnsi="宋体" w:eastAsia="宋体" w:cs="华文仿宋"/>
                <w:szCs w:val="24"/>
                <w:lang w:val="zh-CN"/>
              </w:rPr>
              <w:t>磋商及响应截止时间</w:t>
            </w:r>
          </w:p>
        </w:tc>
        <w:tc>
          <w:tcPr>
            <w:tcW w:w="5553" w:type="dxa"/>
            <w:vAlign w:val="center"/>
          </w:tcPr>
          <w:p>
            <w:pPr>
              <w:pStyle w:val="17"/>
              <w:adjustRightInd/>
              <w:spacing w:line="380" w:lineRule="exact"/>
              <w:ind w:left="34"/>
              <w:jc w:val="both"/>
              <w:rPr>
                <w:rFonts w:ascii="宋体" w:hAnsi="宋体" w:eastAsia="宋体"/>
                <w:szCs w:val="24"/>
              </w:rPr>
            </w:pPr>
            <w:r>
              <w:rPr>
                <w:rFonts w:hint="eastAsia" w:ascii="宋体" w:hAnsi="宋体" w:eastAsia="宋体"/>
                <w:szCs w:val="24"/>
              </w:rPr>
              <w:t>详见磋商公告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90" w:hRule="atLeast"/>
          <w:jc w:val="center"/>
        </w:trPr>
        <w:tc>
          <w:tcPr>
            <w:tcW w:w="680" w:type="dxa"/>
            <w:vAlign w:val="center"/>
          </w:tcPr>
          <w:p>
            <w:pPr>
              <w:pStyle w:val="17"/>
              <w:adjustRightInd/>
              <w:spacing w:line="380" w:lineRule="exact"/>
              <w:jc w:val="center"/>
              <w:rPr>
                <w:rFonts w:ascii="宋体" w:hAnsi="宋体" w:eastAsia="宋体" w:cs="华文仿宋"/>
                <w:szCs w:val="24"/>
                <w:lang w:val="zh-CN"/>
              </w:rPr>
            </w:pPr>
            <w:r>
              <w:rPr>
                <w:rFonts w:hint="eastAsia" w:ascii="宋体" w:hAnsi="宋体" w:eastAsia="宋体" w:cs="华文仿宋"/>
                <w:szCs w:val="24"/>
                <w:lang w:val="zh-CN"/>
              </w:rPr>
              <w:t>11</w:t>
            </w:r>
          </w:p>
        </w:tc>
        <w:tc>
          <w:tcPr>
            <w:tcW w:w="2325" w:type="dxa"/>
            <w:vAlign w:val="center"/>
          </w:tcPr>
          <w:p>
            <w:pPr>
              <w:pStyle w:val="17"/>
              <w:adjustRightInd/>
              <w:spacing w:line="380" w:lineRule="exact"/>
              <w:jc w:val="center"/>
              <w:rPr>
                <w:rFonts w:ascii="宋体" w:hAnsi="宋体" w:eastAsia="宋体" w:cs="华文仿宋"/>
                <w:szCs w:val="24"/>
                <w:lang w:val="zh-CN"/>
              </w:rPr>
            </w:pPr>
            <w:r>
              <w:rPr>
                <w:rFonts w:hint="eastAsia" w:ascii="宋体" w:hAnsi="宋体" w:eastAsia="宋体" w:cs="华文仿宋"/>
                <w:szCs w:val="24"/>
                <w:lang w:val="zh-CN"/>
              </w:rPr>
              <w:t>磋商及磋商响应书</w:t>
            </w:r>
          </w:p>
          <w:p>
            <w:pPr>
              <w:pStyle w:val="17"/>
              <w:adjustRightInd/>
              <w:spacing w:line="380" w:lineRule="exact"/>
              <w:jc w:val="center"/>
              <w:rPr>
                <w:rFonts w:ascii="宋体" w:hAnsi="宋体" w:eastAsia="宋体" w:cs="华文仿宋"/>
                <w:szCs w:val="24"/>
                <w:lang w:val="zh-CN"/>
              </w:rPr>
            </w:pPr>
            <w:r>
              <w:rPr>
                <w:rFonts w:hint="eastAsia" w:ascii="宋体" w:hAnsi="宋体" w:eastAsia="宋体" w:cs="华文仿宋"/>
                <w:szCs w:val="24"/>
                <w:lang w:val="zh-CN"/>
              </w:rPr>
              <w:t>递交地点</w:t>
            </w:r>
          </w:p>
        </w:tc>
        <w:tc>
          <w:tcPr>
            <w:tcW w:w="5553" w:type="dxa"/>
            <w:vAlign w:val="center"/>
          </w:tcPr>
          <w:p>
            <w:pPr>
              <w:pStyle w:val="17"/>
              <w:adjustRightInd/>
              <w:spacing w:line="380" w:lineRule="exact"/>
              <w:jc w:val="both"/>
              <w:rPr>
                <w:rFonts w:ascii="宋体" w:hAnsi="宋体" w:eastAsia="宋体"/>
                <w:szCs w:val="24"/>
              </w:rPr>
            </w:pPr>
            <w:r>
              <w:rPr>
                <w:rFonts w:hint="eastAsia" w:ascii="宋体" w:hAnsi="宋体" w:eastAsia="宋体"/>
                <w:szCs w:val="24"/>
              </w:rPr>
              <w:t>详见磋商公告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604" w:hRule="atLeast"/>
          <w:jc w:val="center"/>
        </w:trPr>
        <w:tc>
          <w:tcPr>
            <w:tcW w:w="680" w:type="dxa"/>
            <w:vAlign w:val="center"/>
          </w:tcPr>
          <w:p>
            <w:pPr>
              <w:pStyle w:val="17"/>
              <w:adjustRightInd/>
              <w:spacing w:line="380" w:lineRule="exact"/>
              <w:jc w:val="center"/>
              <w:rPr>
                <w:rFonts w:ascii="宋体" w:hAnsi="宋体" w:eastAsia="宋体" w:cs="华文仿宋"/>
                <w:szCs w:val="24"/>
              </w:rPr>
            </w:pPr>
            <w:r>
              <w:rPr>
                <w:rFonts w:hint="eastAsia" w:ascii="宋体" w:hAnsi="宋体" w:eastAsia="宋体" w:cs="华文仿宋"/>
                <w:szCs w:val="24"/>
              </w:rPr>
              <w:t>12</w:t>
            </w:r>
          </w:p>
        </w:tc>
        <w:tc>
          <w:tcPr>
            <w:tcW w:w="2325" w:type="dxa"/>
            <w:vAlign w:val="center"/>
          </w:tcPr>
          <w:p>
            <w:pPr>
              <w:pStyle w:val="17"/>
              <w:adjustRightInd/>
              <w:spacing w:line="380" w:lineRule="exact"/>
              <w:ind w:left="33"/>
              <w:jc w:val="center"/>
              <w:rPr>
                <w:rFonts w:ascii="宋体" w:hAnsi="宋体" w:eastAsia="宋体" w:cs="华文仿宋"/>
                <w:szCs w:val="24"/>
                <w:lang w:val="zh-CN"/>
              </w:rPr>
            </w:pPr>
            <w:r>
              <w:rPr>
                <w:rFonts w:hint="eastAsia" w:ascii="宋体" w:hAnsi="宋体" w:eastAsia="宋体" w:cs="华文仿宋"/>
                <w:szCs w:val="24"/>
                <w:lang w:val="zh-CN"/>
              </w:rPr>
              <w:t>服务期</w:t>
            </w:r>
          </w:p>
        </w:tc>
        <w:tc>
          <w:tcPr>
            <w:tcW w:w="5553" w:type="dxa"/>
            <w:vAlign w:val="center"/>
          </w:tcPr>
          <w:p>
            <w:pPr>
              <w:adjustRightInd w:val="0"/>
              <w:snapToGrid w:val="0"/>
              <w:spacing w:line="380" w:lineRule="exact"/>
              <w:rPr>
                <w:rFonts w:ascii="宋体" w:hAnsi="宋体" w:eastAsia="宋体" w:cs="仿宋_GB2312"/>
                <w:szCs w:val="24"/>
              </w:rPr>
            </w:pPr>
            <w:r>
              <w:rPr>
                <w:rFonts w:hint="eastAsia" w:ascii="宋体" w:hAnsi="宋体" w:eastAsia="宋体"/>
                <w:color w:val="000000"/>
                <w:sz w:val="24"/>
                <w:szCs w:val="24"/>
              </w:rPr>
              <w:t>暂定1年（根据项目实施情况及采购人的满意程度</w:t>
            </w:r>
            <w:r>
              <w:rPr>
                <w:rFonts w:hint="eastAsia" w:ascii="宋体" w:hAnsi="宋体" w:cs="宋体"/>
                <w:bCs/>
                <w:kern w:val="0"/>
                <w:sz w:val="24"/>
                <w:szCs w:val="24"/>
              </w:rPr>
              <w:t>，拟采用1+1+1方式签订服务合同</w:t>
            </w:r>
            <w:r>
              <w:rPr>
                <w:rFonts w:hint="eastAsia" w:ascii="宋体" w:hAnsi="宋体" w:eastAsia="宋体"/>
                <w:color w:val="000000"/>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62" w:hRule="atLeast"/>
          <w:jc w:val="center"/>
        </w:trPr>
        <w:tc>
          <w:tcPr>
            <w:tcW w:w="680" w:type="dxa"/>
            <w:vAlign w:val="center"/>
          </w:tcPr>
          <w:p>
            <w:pPr>
              <w:pStyle w:val="17"/>
              <w:adjustRightInd/>
              <w:spacing w:line="380" w:lineRule="exact"/>
              <w:jc w:val="center"/>
              <w:rPr>
                <w:rFonts w:ascii="宋体" w:hAnsi="宋体" w:eastAsia="宋体" w:cs="华文仿宋"/>
                <w:szCs w:val="24"/>
              </w:rPr>
            </w:pPr>
            <w:r>
              <w:rPr>
                <w:rFonts w:hint="eastAsia" w:ascii="宋体" w:hAnsi="宋体" w:eastAsia="宋体" w:cs="华文仿宋"/>
                <w:szCs w:val="24"/>
              </w:rPr>
              <w:t>13</w:t>
            </w:r>
          </w:p>
        </w:tc>
        <w:tc>
          <w:tcPr>
            <w:tcW w:w="2325" w:type="dxa"/>
            <w:vAlign w:val="center"/>
          </w:tcPr>
          <w:p>
            <w:pPr>
              <w:pStyle w:val="17"/>
              <w:adjustRightInd/>
              <w:spacing w:line="380" w:lineRule="exact"/>
              <w:ind w:left="33"/>
              <w:jc w:val="center"/>
              <w:rPr>
                <w:rFonts w:ascii="宋体" w:hAnsi="宋体" w:eastAsia="宋体" w:cs="华文仿宋"/>
                <w:szCs w:val="24"/>
                <w:lang w:val="zh-CN"/>
              </w:rPr>
            </w:pPr>
            <w:r>
              <w:rPr>
                <w:rFonts w:hint="eastAsia" w:ascii="宋体" w:hAnsi="宋体" w:eastAsia="宋体" w:cs="华文仿宋"/>
                <w:szCs w:val="24"/>
                <w:lang w:val="zh-CN"/>
              </w:rPr>
              <w:t>合同价款的支付</w:t>
            </w:r>
          </w:p>
        </w:tc>
        <w:tc>
          <w:tcPr>
            <w:tcW w:w="5553" w:type="dxa"/>
            <w:vAlign w:val="center"/>
          </w:tcPr>
          <w:p>
            <w:pPr>
              <w:pStyle w:val="17"/>
              <w:adjustRightInd/>
              <w:spacing w:line="380" w:lineRule="exact"/>
              <w:jc w:val="both"/>
              <w:rPr>
                <w:rFonts w:ascii="宋体" w:hAnsi="宋体" w:eastAsia="宋体"/>
                <w:szCs w:val="24"/>
              </w:rPr>
            </w:pPr>
            <w:r>
              <w:rPr>
                <w:rFonts w:hint="eastAsia" w:ascii="宋体" w:hAnsi="宋体" w:eastAsia="宋体"/>
                <w:szCs w:val="24"/>
                <w:lang w:val="zh-CN"/>
              </w:rPr>
              <w:t>项目完成且采购人验收合格后</w:t>
            </w:r>
            <w:r>
              <w:rPr>
                <w:rFonts w:hint="eastAsia" w:ascii="宋体" w:hAnsi="宋体" w:eastAsia="宋体"/>
                <w:szCs w:val="24"/>
              </w:rPr>
              <w:t>一次性付清款项。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422" w:hRule="atLeast"/>
          <w:jc w:val="center"/>
        </w:trPr>
        <w:tc>
          <w:tcPr>
            <w:tcW w:w="680" w:type="dxa"/>
            <w:vAlign w:val="center"/>
          </w:tcPr>
          <w:p>
            <w:pPr>
              <w:spacing w:line="380" w:lineRule="exact"/>
              <w:jc w:val="center"/>
              <w:rPr>
                <w:rFonts w:ascii="宋体" w:hAnsi="宋体" w:eastAsia="宋体" w:cs="华文仿宋"/>
                <w:sz w:val="24"/>
                <w:szCs w:val="24"/>
              </w:rPr>
            </w:pPr>
            <w:r>
              <w:rPr>
                <w:rFonts w:hint="eastAsia" w:ascii="宋体" w:hAnsi="宋体" w:eastAsia="宋体" w:cs="华文仿宋"/>
                <w:sz w:val="24"/>
                <w:szCs w:val="24"/>
              </w:rPr>
              <w:t>14</w:t>
            </w:r>
          </w:p>
        </w:tc>
        <w:tc>
          <w:tcPr>
            <w:tcW w:w="2325" w:type="dxa"/>
            <w:vAlign w:val="center"/>
          </w:tcPr>
          <w:p>
            <w:pPr>
              <w:pStyle w:val="17"/>
              <w:adjustRightInd/>
              <w:spacing w:line="380" w:lineRule="exact"/>
              <w:ind w:left="33"/>
              <w:jc w:val="center"/>
              <w:rPr>
                <w:rFonts w:ascii="宋体" w:hAnsi="宋体" w:eastAsia="宋体" w:cs="华文仿宋"/>
                <w:szCs w:val="24"/>
              </w:rPr>
            </w:pPr>
            <w:r>
              <w:rPr>
                <w:rFonts w:hint="eastAsia" w:ascii="宋体" w:hAnsi="宋体" w:eastAsia="宋体" w:cs="华文仿宋"/>
                <w:szCs w:val="24"/>
                <w:lang w:val="zh-CN"/>
              </w:rPr>
              <w:t>磋商响应文件</w:t>
            </w:r>
            <w:r>
              <w:rPr>
                <w:rFonts w:hint="eastAsia" w:ascii="宋体" w:hAnsi="宋体" w:eastAsia="宋体" w:cs="华文仿宋"/>
                <w:szCs w:val="24"/>
              </w:rPr>
              <w:t>份数</w:t>
            </w:r>
          </w:p>
        </w:tc>
        <w:tc>
          <w:tcPr>
            <w:tcW w:w="5553" w:type="dxa"/>
            <w:vAlign w:val="center"/>
          </w:tcPr>
          <w:p>
            <w:pPr>
              <w:pStyle w:val="17"/>
              <w:adjustRightInd/>
              <w:spacing w:line="380" w:lineRule="exact"/>
              <w:ind w:left="34"/>
              <w:jc w:val="both"/>
              <w:rPr>
                <w:rFonts w:ascii="宋体" w:hAnsi="宋体" w:eastAsia="宋体"/>
                <w:szCs w:val="24"/>
              </w:rPr>
            </w:pPr>
            <w:r>
              <w:rPr>
                <w:rFonts w:hint="eastAsia" w:ascii="宋体" w:hAnsi="宋体" w:eastAsia="宋体" w:cs="宋体"/>
                <w:szCs w:val="24"/>
                <w:lang w:val="zh-CN"/>
              </w:rPr>
              <w:t>正本1份、副本</w:t>
            </w:r>
            <w:r>
              <w:rPr>
                <w:rFonts w:hint="eastAsia" w:ascii="宋体" w:hAnsi="宋体" w:eastAsia="宋体" w:cs="宋体"/>
                <w:szCs w:val="24"/>
              </w:rPr>
              <w:t>2</w:t>
            </w:r>
            <w:r>
              <w:rPr>
                <w:rFonts w:hint="eastAsia" w:ascii="宋体" w:hAnsi="宋体" w:eastAsia="宋体" w:cs="宋体"/>
                <w:szCs w:val="24"/>
                <w:lang w:val="zh-CN"/>
              </w:rPr>
              <w:t>份（</w:t>
            </w:r>
            <w:r>
              <w:rPr>
                <w:rFonts w:hint="eastAsia" w:ascii="宋体" w:hAnsi="宋体" w:eastAsia="宋体" w:cs="宋体"/>
                <w:szCs w:val="24"/>
              </w:rPr>
              <w:t>正本与副本单独或一起封装</w:t>
            </w:r>
            <w:r>
              <w:rPr>
                <w:rFonts w:hint="eastAsia" w:ascii="宋体" w:hAnsi="宋体" w:eastAsia="宋体" w:cs="宋体"/>
                <w:szCs w:val="24"/>
                <w:lang w:val="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422" w:hRule="atLeast"/>
          <w:jc w:val="center"/>
        </w:trPr>
        <w:tc>
          <w:tcPr>
            <w:tcW w:w="680" w:type="dxa"/>
            <w:vAlign w:val="center"/>
          </w:tcPr>
          <w:p>
            <w:pPr>
              <w:spacing w:line="380" w:lineRule="exact"/>
              <w:jc w:val="center"/>
              <w:rPr>
                <w:rFonts w:ascii="宋体" w:hAnsi="宋体" w:eastAsia="宋体" w:cs="华文仿宋"/>
                <w:sz w:val="24"/>
                <w:szCs w:val="24"/>
              </w:rPr>
            </w:pPr>
            <w:r>
              <w:rPr>
                <w:rFonts w:hint="eastAsia" w:ascii="宋体" w:hAnsi="宋体" w:eastAsia="宋体" w:cs="华文仿宋"/>
                <w:sz w:val="24"/>
                <w:szCs w:val="24"/>
              </w:rPr>
              <w:t>15</w:t>
            </w:r>
          </w:p>
        </w:tc>
        <w:tc>
          <w:tcPr>
            <w:tcW w:w="2325" w:type="dxa"/>
            <w:vAlign w:val="center"/>
          </w:tcPr>
          <w:p>
            <w:pPr>
              <w:pStyle w:val="17"/>
              <w:adjustRightInd/>
              <w:spacing w:line="380" w:lineRule="exact"/>
              <w:ind w:left="33"/>
              <w:jc w:val="center"/>
              <w:rPr>
                <w:rFonts w:ascii="宋体" w:hAnsi="宋体" w:eastAsia="宋体" w:cs="华文仿宋"/>
                <w:szCs w:val="24"/>
                <w:lang w:val="zh-CN"/>
              </w:rPr>
            </w:pPr>
            <w:r>
              <w:rPr>
                <w:rFonts w:hint="eastAsia" w:ascii="宋体" w:hAnsi="宋体" w:eastAsia="宋体" w:cs="华文仿宋"/>
                <w:szCs w:val="24"/>
                <w:lang w:val="zh-CN"/>
              </w:rPr>
              <w:t>项目实施地点</w:t>
            </w:r>
          </w:p>
        </w:tc>
        <w:tc>
          <w:tcPr>
            <w:tcW w:w="5553" w:type="dxa"/>
            <w:vAlign w:val="center"/>
          </w:tcPr>
          <w:p>
            <w:pPr>
              <w:pStyle w:val="17"/>
              <w:adjustRightInd/>
              <w:spacing w:line="380" w:lineRule="exact"/>
              <w:ind w:left="34" w:hanging="34"/>
              <w:jc w:val="both"/>
              <w:rPr>
                <w:rFonts w:ascii="宋体" w:hAnsi="宋体" w:eastAsia="宋体"/>
                <w:szCs w:val="24"/>
              </w:rPr>
            </w:pPr>
            <w:r>
              <w:rPr>
                <w:rFonts w:hint="eastAsia" w:ascii="宋体" w:hAnsi="宋体" w:eastAsia="宋体" w:cs="宋体"/>
                <w:szCs w:val="24"/>
                <w:lang w:val="zh-CN"/>
              </w:rPr>
              <w:t>铜陵学院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90" w:hRule="atLeast"/>
          <w:jc w:val="center"/>
        </w:trPr>
        <w:tc>
          <w:tcPr>
            <w:tcW w:w="680" w:type="dxa"/>
            <w:vAlign w:val="center"/>
          </w:tcPr>
          <w:p>
            <w:pPr>
              <w:spacing w:line="380" w:lineRule="exact"/>
              <w:jc w:val="center"/>
              <w:rPr>
                <w:rFonts w:ascii="宋体" w:hAnsi="宋体" w:eastAsia="宋体" w:cs="华文仿宋"/>
                <w:sz w:val="24"/>
                <w:szCs w:val="24"/>
              </w:rPr>
            </w:pPr>
            <w:r>
              <w:rPr>
                <w:rFonts w:hint="eastAsia" w:ascii="宋体" w:hAnsi="宋体" w:eastAsia="宋体" w:cs="华文仿宋"/>
                <w:sz w:val="24"/>
                <w:szCs w:val="24"/>
              </w:rPr>
              <w:t>16</w:t>
            </w:r>
          </w:p>
        </w:tc>
        <w:tc>
          <w:tcPr>
            <w:tcW w:w="2325" w:type="dxa"/>
            <w:vAlign w:val="center"/>
          </w:tcPr>
          <w:p>
            <w:pPr>
              <w:pStyle w:val="17"/>
              <w:adjustRightInd/>
              <w:spacing w:line="380" w:lineRule="exact"/>
              <w:ind w:firstLine="44"/>
              <w:jc w:val="center"/>
              <w:rPr>
                <w:rFonts w:ascii="宋体" w:hAnsi="宋体" w:eastAsia="宋体" w:cs="华文仿宋"/>
                <w:szCs w:val="24"/>
                <w:lang w:val="zh-CN"/>
              </w:rPr>
            </w:pPr>
            <w:r>
              <w:rPr>
                <w:rFonts w:hint="eastAsia" w:ascii="宋体" w:hAnsi="宋体" w:eastAsia="宋体" w:cs="华文仿宋"/>
                <w:szCs w:val="24"/>
              </w:rPr>
              <w:t>费用承担</w:t>
            </w:r>
          </w:p>
        </w:tc>
        <w:tc>
          <w:tcPr>
            <w:tcW w:w="5553" w:type="dxa"/>
            <w:vAlign w:val="center"/>
          </w:tcPr>
          <w:p>
            <w:pPr>
              <w:pStyle w:val="17"/>
              <w:adjustRightInd/>
              <w:spacing w:line="380" w:lineRule="exact"/>
              <w:ind w:left="34" w:hanging="34"/>
              <w:jc w:val="both"/>
              <w:rPr>
                <w:rFonts w:ascii="宋体" w:hAnsi="宋体" w:eastAsia="宋体"/>
                <w:szCs w:val="24"/>
              </w:rPr>
            </w:pPr>
            <w:r>
              <w:rPr>
                <w:rFonts w:hint="eastAsia" w:ascii="宋体" w:hAnsi="宋体" w:eastAsia="宋体"/>
                <w:szCs w:val="24"/>
              </w:rPr>
              <w:t>供应商参加磋商活动发生的一切费用均自理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1985" w:hRule="atLeast"/>
          <w:jc w:val="center"/>
        </w:trPr>
        <w:tc>
          <w:tcPr>
            <w:tcW w:w="680" w:type="dxa"/>
            <w:vAlign w:val="center"/>
          </w:tcPr>
          <w:p>
            <w:pPr>
              <w:spacing w:line="380" w:lineRule="exact"/>
              <w:jc w:val="center"/>
              <w:rPr>
                <w:rFonts w:ascii="宋体" w:hAnsi="宋体" w:eastAsia="宋体" w:cs="Courier New"/>
                <w:color w:val="000000"/>
                <w:sz w:val="24"/>
                <w:szCs w:val="24"/>
              </w:rPr>
            </w:pPr>
            <w:r>
              <w:rPr>
                <w:rFonts w:hint="eastAsia" w:ascii="宋体" w:hAnsi="宋体" w:eastAsia="宋体" w:cs="华文仿宋"/>
                <w:sz w:val="24"/>
                <w:szCs w:val="24"/>
              </w:rPr>
              <w:t>17</w:t>
            </w:r>
          </w:p>
        </w:tc>
        <w:tc>
          <w:tcPr>
            <w:tcW w:w="2325" w:type="dxa"/>
            <w:vAlign w:val="center"/>
          </w:tcPr>
          <w:p>
            <w:pPr>
              <w:pStyle w:val="17"/>
              <w:adjustRightInd/>
              <w:spacing w:line="380" w:lineRule="exact"/>
              <w:jc w:val="center"/>
              <w:rPr>
                <w:rFonts w:ascii="宋体" w:hAnsi="宋体" w:eastAsia="宋体" w:cs="华文仿宋"/>
                <w:szCs w:val="24"/>
                <w:lang w:val="zh-CN"/>
              </w:rPr>
            </w:pPr>
            <w:r>
              <w:rPr>
                <w:rFonts w:hint="eastAsia" w:ascii="宋体" w:hAnsi="宋体" w:eastAsia="宋体" w:cs="华文仿宋"/>
                <w:szCs w:val="24"/>
              </w:rPr>
              <w:t>合同签订时间</w:t>
            </w:r>
          </w:p>
        </w:tc>
        <w:tc>
          <w:tcPr>
            <w:tcW w:w="5553" w:type="dxa"/>
            <w:vAlign w:val="center"/>
          </w:tcPr>
          <w:p>
            <w:pPr>
              <w:pStyle w:val="17"/>
              <w:adjustRightInd/>
              <w:spacing w:line="380" w:lineRule="exact"/>
              <w:ind w:left="34" w:hanging="34"/>
              <w:jc w:val="both"/>
              <w:rPr>
                <w:rFonts w:ascii="宋体" w:hAnsi="宋体" w:eastAsia="宋体"/>
                <w:szCs w:val="24"/>
              </w:rPr>
            </w:pPr>
            <w:r>
              <w:rPr>
                <w:rFonts w:hint="eastAsia" w:ascii="宋体" w:hAnsi="宋体" w:eastAsia="宋体"/>
                <w:szCs w:val="24"/>
              </w:rPr>
              <w:t>采购人通知领取成交通知书后，成交供应商应在</w:t>
            </w:r>
            <w:r>
              <w:rPr>
                <w:rFonts w:ascii="宋体" w:hAnsi="宋体" w:eastAsia="宋体"/>
                <w:szCs w:val="24"/>
              </w:rPr>
              <w:t>3日内领取成交通知书，领取成交通知书后5日内与</w:t>
            </w:r>
            <w:r>
              <w:rPr>
                <w:rFonts w:hint="eastAsia" w:ascii="宋体" w:hAnsi="宋体" w:eastAsia="宋体"/>
                <w:szCs w:val="24"/>
              </w:rPr>
              <w:t>采购</w:t>
            </w:r>
            <w:r>
              <w:rPr>
                <w:rFonts w:ascii="宋体" w:hAnsi="宋体" w:eastAsia="宋体"/>
                <w:szCs w:val="24"/>
              </w:rPr>
              <w:t>人签订合同，逾期不领取成交通知书或由于成交供应商不响应谈判承诺原因无法签订合同的，</w:t>
            </w:r>
            <w:r>
              <w:rPr>
                <w:rFonts w:hint="eastAsia" w:ascii="宋体" w:hAnsi="宋体" w:eastAsia="宋体"/>
                <w:szCs w:val="24"/>
              </w:rPr>
              <w:t>采购</w:t>
            </w:r>
            <w:r>
              <w:rPr>
                <w:rFonts w:ascii="宋体" w:hAnsi="宋体" w:eastAsia="宋体"/>
                <w:szCs w:val="24"/>
              </w:rPr>
              <w:t>人可以顺延至第二</w:t>
            </w:r>
            <w:r>
              <w:rPr>
                <w:rFonts w:hint="eastAsia" w:ascii="宋体" w:hAnsi="宋体" w:eastAsia="宋体"/>
                <w:szCs w:val="24"/>
              </w:rPr>
              <w:t>成交</w:t>
            </w:r>
            <w:r>
              <w:rPr>
                <w:rFonts w:ascii="宋体" w:hAnsi="宋体" w:eastAsia="宋体"/>
                <w:szCs w:val="24"/>
              </w:rPr>
              <w:t>侯选供应商或重新</w:t>
            </w:r>
            <w:r>
              <w:rPr>
                <w:rFonts w:hint="eastAsia" w:ascii="宋体" w:hAnsi="宋体" w:eastAsia="宋体"/>
                <w:szCs w:val="24"/>
              </w:rPr>
              <w:t>采购</w:t>
            </w:r>
            <w:r>
              <w:rPr>
                <w:rFonts w:ascii="宋体" w:hAnsi="宋体" w:eastAsia="宋体"/>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977" w:hRule="atLeast"/>
          <w:jc w:val="center"/>
        </w:trPr>
        <w:tc>
          <w:tcPr>
            <w:tcW w:w="680" w:type="dxa"/>
            <w:vAlign w:val="center"/>
          </w:tcPr>
          <w:p>
            <w:pPr>
              <w:spacing w:line="380" w:lineRule="exact"/>
              <w:jc w:val="center"/>
              <w:rPr>
                <w:rFonts w:ascii="宋体" w:hAnsi="宋体" w:eastAsia="宋体" w:cs="Courier New"/>
                <w:color w:val="000000"/>
                <w:sz w:val="24"/>
                <w:szCs w:val="24"/>
              </w:rPr>
            </w:pPr>
            <w:r>
              <w:rPr>
                <w:rFonts w:hint="eastAsia" w:ascii="宋体" w:hAnsi="宋体" w:eastAsia="宋体" w:cs="Courier New"/>
                <w:color w:val="000000"/>
                <w:sz w:val="24"/>
                <w:szCs w:val="24"/>
              </w:rPr>
              <w:t>18</w:t>
            </w:r>
          </w:p>
        </w:tc>
        <w:tc>
          <w:tcPr>
            <w:tcW w:w="2325" w:type="dxa"/>
            <w:vAlign w:val="center"/>
          </w:tcPr>
          <w:p>
            <w:pPr>
              <w:pStyle w:val="17"/>
              <w:adjustRightInd/>
              <w:snapToGrid w:val="0"/>
              <w:spacing w:line="380" w:lineRule="exact"/>
              <w:jc w:val="center"/>
              <w:rPr>
                <w:rFonts w:ascii="宋体" w:hAnsi="宋体" w:eastAsia="宋体"/>
                <w:szCs w:val="24"/>
              </w:rPr>
            </w:pPr>
            <w:r>
              <w:rPr>
                <w:rFonts w:hint="eastAsia" w:ascii="宋体" w:hAnsi="宋体" w:eastAsia="宋体"/>
                <w:szCs w:val="24"/>
              </w:rPr>
              <w:t>采购代理服务费</w:t>
            </w:r>
          </w:p>
        </w:tc>
        <w:tc>
          <w:tcPr>
            <w:tcW w:w="5553" w:type="dxa"/>
            <w:vAlign w:val="center"/>
          </w:tcPr>
          <w:p>
            <w:pPr>
              <w:autoSpaceDE w:val="0"/>
              <w:autoSpaceDN w:val="0"/>
              <w:snapToGrid w:val="0"/>
              <w:spacing w:line="380" w:lineRule="exact"/>
              <w:rPr>
                <w:rFonts w:ascii="宋体" w:hAnsi="宋体" w:eastAsia="宋体"/>
                <w:sz w:val="24"/>
                <w:szCs w:val="24"/>
              </w:rPr>
            </w:pPr>
            <w:r>
              <w:rPr>
                <w:rFonts w:hint="eastAsia" w:ascii="宋体" w:hAnsi="宋体" w:eastAsia="宋体"/>
                <w:sz w:val="24"/>
                <w:szCs w:val="24"/>
              </w:rPr>
              <w:t>代理费3000元，由成交供应商在领取成交通知书前向代理机构支付，此费用包含在磋商总价内，成交供应商不得要求采购人另行支付。</w:t>
            </w:r>
            <w:bookmarkStart w:id="34" w:name="_GoBack"/>
            <w:bookmarkEnd w:id="34"/>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977" w:hRule="atLeast"/>
          <w:jc w:val="center"/>
        </w:trPr>
        <w:tc>
          <w:tcPr>
            <w:tcW w:w="680" w:type="dxa"/>
            <w:vAlign w:val="center"/>
          </w:tcPr>
          <w:p>
            <w:pPr>
              <w:spacing w:line="380" w:lineRule="exact"/>
              <w:jc w:val="center"/>
              <w:rPr>
                <w:rFonts w:ascii="宋体" w:hAnsi="宋体" w:eastAsia="宋体" w:cs="华文仿宋"/>
                <w:sz w:val="24"/>
                <w:szCs w:val="24"/>
              </w:rPr>
            </w:pPr>
            <w:r>
              <w:rPr>
                <w:rFonts w:hint="eastAsia" w:ascii="宋体" w:hAnsi="宋体" w:eastAsia="宋体" w:cs="华文仿宋"/>
                <w:sz w:val="24"/>
                <w:szCs w:val="24"/>
              </w:rPr>
              <w:t>20</w:t>
            </w:r>
          </w:p>
        </w:tc>
        <w:tc>
          <w:tcPr>
            <w:tcW w:w="2325" w:type="dxa"/>
            <w:vAlign w:val="center"/>
          </w:tcPr>
          <w:p>
            <w:pPr>
              <w:pStyle w:val="17"/>
              <w:adjustRightInd/>
              <w:snapToGrid w:val="0"/>
              <w:spacing w:line="380" w:lineRule="exact"/>
              <w:jc w:val="center"/>
              <w:rPr>
                <w:rFonts w:ascii="宋体" w:hAnsi="宋体" w:eastAsia="宋体"/>
                <w:szCs w:val="24"/>
              </w:rPr>
            </w:pPr>
            <w:r>
              <w:rPr>
                <w:rFonts w:hint="eastAsia" w:ascii="宋体" w:hAnsi="宋体" w:eastAsia="宋体"/>
                <w:szCs w:val="24"/>
              </w:rPr>
              <w:t>磋商保证金缴纳账</w:t>
            </w:r>
            <w:r>
              <w:rPr>
                <w:rFonts w:hint="eastAsia" w:ascii="宋体" w:hAnsi="宋体" w:eastAsia="宋体" w:cs="宋体"/>
              </w:rPr>
              <w:t>户</w:t>
            </w:r>
          </w:p>
        </w:tc>
        <w:tc>
          <w:tcPr>
            <w:tcW w:w="5553" w:type="dxa"/>
            <w:vAlign w:val="center"/>
          </w:tcPr>
          <w:p>
            <w:pPr>
              <w:spacing w:line="380" w:lineRule="exact"/>
              <w:rPr>
                <w:rFonts w:ascii="宋体" w:hAnsi="宋体" w:eastAsia="宋体"/>
                <w:sz w:val="24"/>
              </w:rPr>
            </w:pPr>
            <w:r>
              <w:rPr>
                <w:rFonts w:hint="eastAsia" w:ascii="宋体" w:hAnsi="宋体" w:eastAsia="宋体"/>
                <w:sz w:val="24"/>
              </w:rPr>
              <w:t>开户名称：铜陵华春建设工程项目管理有限责任公司</w:t>
            </w:r>
          </w:p>
          <w:p>
            <w:pPr>
              <w:spacing w:line="380" w:lineRule="exact"/>
              <w:rPr>
                <w:rFonts w:ascii="宋体" w:hAnsi="宋体" w:eastAsia="宋体"/>
                <w:sz w:val="24"/>
              </w:rPr>
            </w:pPr>
            <w:r>
              <w:rPr>
                <w:rFonts w:hint="eastAsia" w:ascii="宋体" w:hAnsi="宋体" w:eastAsia="宋体"/>
                <w:sz w:val="24"/>
              </w:rPr>
              <w:t>开户银行：建设银行铜陵建龙支行</w:t>
            </w:r>
          </w:p>
          <w:p>
            <w:pPr>
              <w:pStyle w:val="13"/>
              <w:snapToGrid w:val="0"/>
              <w:spacing w:line="380" w:lineRule="exact"/>
              <w:rPr>
                <w:rFonts w:ascii="宋体" w:hAnsi="宋体" w:eastAsia="宋体"/>
              </w:rPr>
            </w:pPr>
            <w:r>
              <w:rPr>
                <w:rFonts w:hint="eastAsia" w:ascii="宋体" w:hAnsi="宋体" w:eastAsia="宋体"/>
              </w:rPr>
              <w:t>银行账号：34001662208053005978</w:t>
            </w:r>
          </w:p>
          <w:p>
            <w:pPr>
              <w:pStyle w:val="13"/>
              <w:snapToGrid w:val="0"/>
              <w:spacing w:line="380" w:lineRule="exact"/>
              <w:rPr>
                <w:rFonts w:ascii="宋体" w:hAnsi="宋体" w:eastAsia="宋体" w:cs="宋体"/>
              </w:rPr>
            </w:pPr>
            <w:r>
              <w:rPr>
                <w:rFonts w:hint="eastAsia" w:ascii="宋体" w:hAnsi="宋体" w:eastAsia="宋体" w:cs="宋体"/>
              </w:rPr>
              <w:t>磋商保证金金额：3000元整</w:t>
            </w:r>
          </w:p>
          <w:p>
            <w:pPr>
              <w:pStyle w:val="13"/>
              <w:snapToGrid w:val="0"/>
              <w:spacing w:line="380" w:lineRule="exact"/>
              <w:rPr>
                <w:rFonts w:ascii="宋体" w:hAnsi="宋体" w:eastAsia="宋体"/>
              </w:rPr>
            </w:pPr>
            <w:r>
              <w:rPr>
                <w:rFonts w:hint="eastAsia" w:ascii="宋体" w:hAnsi="宋体" w:eastAsia="宋体" w:cs="宋体"/>
              </w:rPr>
              <w:t>（不计息，磋商截止日前从供应商账户汇款至代理机构账户，并于磋商响应文件递交截止时间前到帐。）</w:t>
            </w:r>
          </w:p>
        </w:tc>
      </w:tr>
    </w:tbl>
    <w:p>
      <w:pPr>
        <w:pStyle w:val="19"/>
        <w:spacing w:line="380" w:lineRule="exact"/>
        <w:rPr>
          <w:rFonts w:ascii="宋体" w:hAnsi="宋体" w:eastAsia="宋体"/>
          <w:b/>
          <w:bCs/>
        </w:rPr>
      </w:pPr>
      <w:r>
        <w:rPr>
          <w:rFonts w:hint="eastAsia" w:ascii="宋体" w:hAnsi="宋体" w:eastAsia="宋体"/>
        </w:rPr>
        <w:br w:type="page"/>
      </w:r>
      <w:bookmarkEnd w:id="7"/>
      <w:bookmarkStart w:id="8" w:name="_Toc383776343"/>
      <w:bookmarkStart w:id="9" w:name="_Toc383776345"/>
      <w:r>
        <w:rPr>
          <w:rFonts w:hint="eastAsia" w:ascii="宋体" w:hAnsi="宋体" w:eastAsia="宋体" w:cs="宋体"/>
          <w:b/>
          <w:bCs/>
        </w:rPr>
        <w:t>二、磋商响应供应商须知</w:t>
      </w:r>
      <w:bookmarkEnd w:id="8"/>
    </w:p>
    <w:p>
      <w:pPr>
        <w:pStyle w:val="19"/>
        <w:spacing w:line="380" w:lineRule="exact"/>
        <w:rPr>
          <w:rFonts w:ascii="宋体" w:hAnsi="宋体" w:eastAsia="宋体"/>
          <w:b/>
          <w:bCs/>
          <w:sz w:val="24"/>
          <w:szCs w:val="24"/>
        </w:rPr>
      </w:pPr>
      <w:bookmarkStart w:id="10" w:name="_Toc383776344"/>
      <w:r>
        <w:rPr>
          <w:rFonts w:hint="eastAsia" w:ascii="宋体" w:hAnsi="宋体" w:eastAsia="宋体" w:cs="宋体"/>
          <w:b/>
          <w:bCs/>
          <w:sz w:val="24"/>
          <w:szCs w:val="24"/>
        </w:rPr>
        <w:t>（一）总则</w:t>
      </w:r>
      <w:bookmarkEnd w:id="10"/>
    </w:p>
    <w:p>
      <w:pPr>
        <w:pStyle w:val="17"/>
        <w:spacing w:line="380" w:lineRule="exact"/>
        <w:ind w:firstLine="480" w:firstLineChars="200"/>
        <w:rPr>
          <w:rFonts w:ascii="宋体" w:hAnsi="宋体" w:eastAsia="宋体"/>
          <w:bCs/>
          <w:szCs w:val="24"/>
        </w:rPr>
      </w:pPr>
      <w:r>
        <w:rPr>
          <w:rFonts w:hint="eastAsia" w:ascii="宋体" w:hAnsi="宋体" w:eastAsia="宋体"/>
          <w:bCs/>
          <w:szCs w:val="24"/>
        </w:rPr>
        <w:t>1．磋商响应供应商（以下简称供应商）资格要求</w:t>
      </w:r>
    </w:p>
    <w:p>
      <w:pPr>
        <w:widowControl/>
        <w:spacing w:line="380" w:lineRule="exact"/>
        <w:ind w:firstLine="480" w:firstLineChars="200"/>
        <w:jc w:val="left"/>
        <w:rPr>
          <w:rFonts w:ascii="宋体" w:hAnsi="宋体" w:eastAsia="宋体"/>
          <w:kern w:val="0"/>
          <w:sz w:val="24"/>
          <w:szCs w:val="24"/>
        </w:rPr>
      </w:pPr>
      <w:r>
        <w:rPr>
          <w:rFonts w:hint="eastAsia" w:ascii="宋体" w:hAnsi="宋体" w:eastAsia="宋体" w:cs="宋体"/>
          <w:kern w:val="0"/>
          <w:sz w:val="24"/>
          <w:szCs w:val="24"/>
        </w:rPr>
        <w:t>见磋商公告</w:t>
      </w:r>
    </w:p>
    <w:p>
      <w:pPr>
        <w:pStyle w:val="17"/>
        <w:spacing w:line="380" w:lineRule="exact"/>
        <w:ind w:firstLine="480" w:firstLineChars="200"/>
        <w:rPr>
          <w:rFonts w:ascii="宋体" w:hAnsi="宋体" w:eastAsia="宋体"/>
          <w:szCs w:val="24"/>
        </w:rPr>
      </w:pPr>
      <w:r>
        <w:rPr>
          <w:rFonts w:hint="eastAsia" w:ascii="宋体" w:hAnsi="宋体" w:eastAsia="宋体"/>
          <w:szCs w:val="24"/>
        </w:rPr>
        <w:t>注：本磋商文件中规定提供的复印件须装订入磋商响应书正、副本中，原件带至磋商现场审查。</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2．磋商响应费用</w:t>
      </w:r>
    </w:p>
    <w:p>
      <w:pPr>
        <w:pStyle w:val="19"/>
        <w:spacing w:line="380" w:lineRule="exact"/>
        <w:ind w:firstLine="480" w:firstLineChars="200"/>
        <w:jc w:val="both"/>
        <w:rPr>
          <w:rFonts w:ascii="宋体" w:hAnsi="宋体" w:eastAsia="宋体"/>
          <w:sz w:val="24"/>
          <w:szCs w:val="24"/>
        </w:rPr>
      </w:pPr>
      <w:r>
        <w:rPr>
          <w:rFonts w:hint="eastAsia" w:ascii="宋体" w:hAnsi="宋体" w:eastAsia="宋体" w:cs="宋体"/>
          <w:sz w:val="24"/>
          <w:szCs w:val="24"/>
        </w:rPr>
        <w:t>供应商必须自行承担所有与参加磋商有关的一切费用。不论磋商的结果如何，采购人和采购代理机构在任何情况下均无义务和责任承担这些费用。</w:t>
      </w:r>
    </w:p>
    <w:p>
      <w:pPr>
        <w:pStyle w:val="19"/>
        <w:spacing w:line="380" w:lineRule="exact"/>
        <w:rPr>
          <w:rFonts w:ascii="宋体" w:hAnsi="宋体" w:eastAsia="宋体"/>
          <w:b/>
          <w:bCs/>
          <w:sz w:val="24"/>
          <w:szCs w:val="24"/>
        </w:rPr>
      </w:pPr>
      <w:r>
        <w:rPr>
          <w:rFonts w:hint="eastAsia" w:ascii="宋体" w:hAnsi="宋体" w:eastAsia="宋体" w:cs="宋体"/>
          <w:b/>
          <w:bCs/>
          <w:sz w:val="24"/>
          <w:szCs w:val="24"/>
        </w:rPr>
        <w:t>（二）竞争性磋商文件</w:t>
      </w:r>
      <w:bookmarkEnd w:id="9"/>
    </w:p>
    <w:p>
      <w:pPr>
        <w:pStyle w:val="4"/>
        <w:spacing w:line="380" w:lineRule="exact"/>
        <w:ind w:firstLine="480" w:firstLineChars="200"/>
        <w:jc w:val="both"/>
        <w:rPr>
          <w:rFonts w:ascii="宋体" w:hAnsi="宋体" w:eastAsia="宋体" w:cs="宋体"/>
          <w:b w:val="0"/>
          <w:sz w:val="24"/>
          <w:szCs w:val="24"/>
        </w:rPr>
      </w:pPr>
      <w:r>
        <w:rPr>
          <w:rFonts w:hint="eastAsia" w:ascii="宋体" w:hAnsi="宋体" w:eastAsia="宋体" w:cs="宋体"/>
          <w:b w:val="0"/>
          <w:sz w:val="24"/>
          <w:szCs w:val="24"/>
        </w:rPr>
        <w:t xml:space="preserve">3．供应商应认真阅读和充分理解竞争性磋商文件中所有的内容。如果供应商没有满足竞争性磋商文件的有关要求，其风险由供应商自行承担。  </w:t>
      </w:r>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4．竞争性磋商文件的澄清</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4.1供应商可以要求采购人对竞争性磋商文件中的有关问题进行答疑、澄清。</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4.2供应商对竞争性磋商文件如有疑问，应在磋商文件要求的截止时间前以书面形式（如传真、信件、电报等）通知采购人和采购代理机构。</w:t>
      </w:r>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5．竞争性磋商文件的修改</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5.1</w:t>
      </w:r>
      <w:r>
        <w:rPr>
          <w:rFonts w:hint="eastAsia" w:ascii="宋体" w:hAnsi="宋体" w:eastAsia="宋体" w:cs="宋体"/>
          <w:sz w:val="24"/>
          <w:szCs w:val="24"/>
        </w:rPr>
        <w:t>在某些情况下，采购人可能对竞争性磋商文件进行修改。</w:t>
      </w:r>
    </w:p>
    <w:p>
      <w:pPr>
        <w:spacing w:line="380" w:lineRule="exact"/>
        <w:ind w:firstLine="480" w:firstLineChars="200"/>
        <w:rPr>
          <w:rFonts w:ascii="宋体" w:hAnsi="宋体" w:eastAsia="宋体" w:cs="宋体"/>
          <w:sz w:val="24"/>
          <w:szCs w:val="24"/>
        </w:rPr>
      </w:pPr>
      <w:r>
        <w:rPr>
          <w:rFonts w:hint="eastAsia" w:ascii="宋体" w:hAnsi="宋体" w:eastAsia="宋体" w:cs="宋体"/>
          <w:bCs/>
          <w:sz w:val="24"/>
          <w:szCs w:val="24"/>
        </w:rPr>
        <w:t>5.2</w:t>
      </w:r>
      <w:r>
        <w:rPr>
          <w:rFonts w:hint="eastAsia" w:ascii="宋体" w:hAnsi="宋体" w:eastAsia="宋体" w:cs="宋体"/>
          <w:sz w:val="24"/>
          <w:szCs w:val="24"/>
        </w:rPr>
        <w:t xml:space="preserve">采购人对竞争性磋商文件的修改，将在竞争性磋商公告中的网站以补充公告的形式通知所有供应商，并对这些供应商具有约束力。  </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5.3</w:t>
      </w:r>
      <w:r>
        <w:rPr>
          <w:rFonts w:hint="eastAsia" w:ascii="宋体" w:hAnsi="宋体" w:eastAsia="宋体" w:cs="宋体"/>
          <w:sz w:val="24"/>
          <w:szCs w:val="24"/>
        </w:rPr>
        <w:t xml:space="preserve"> 为使供应商有充分时间对竞争性磋商文件的修改部分进行研究或由于其他原因，采购人可以决定延长磋商响应截止日期，并以前款方式将变更时间通知所有供应商。</w:t>
      </w:r>
    </w:p>
    <w:p>
      <w:pPr>
        <w:pStyle w:val="19"/>
        <w:spacing w:line="380" w:lineRule="exact"/>
        <w:rPr>
          <w:rFonts w:ascii="宋体" w:hAnsi="宋体" w:eastAsia="宋体"/>
          <w:b/>
          <w:bCs/>
          <w:sz w:val="24"/>
          <w:szCs w:val="24"/>
        </w:rPr>
      </w:pPr>
      <w:bookmarkStart w:id="11" w:name="_Toc383776346"/>
      <w:r>
        <w:rPr>
          <w:rFonts w:hint="eastAsia" w:ascii="宋体" w:hAnsi="宋体" w:eastAsia="宋体" w:cs="宋体"/>
          <w:b/>
          <w:bCs/>
          <w:sz w:val="24"/>
          <w:szCs w:val="24"/>
        </w:rPr>
        <w:t>（三）磋商响应书的编制</w:t>
      </w:r>
      <w:bookmarkEnd w:id="11"/>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6．磋商响应的语言及度量衡单位</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6.1</w:t>
      </w:r>
      <w:r>
        <w:rPr>
          <w:rFonts w:hint="eastAsia" w:ascii="宋体" w:hAnsi="宋体" w:eastAsia="宋体" w:cs="宋体"/>
          <w:sz w:val="24"/>
          <w:szCs w:val="24"/>
        </w:rPr>
        <w:t>供应商的磋商响应书、以及供应商与采购人就磋商响应的所有往来函电，均须使用简体中文。</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6.2</w:t>
      </w:r>
      <w:r>
        <w:rPr>
          <w:rFonts w:hint="eastAsia" w:ascii="宋体" w:hAnsi="宋体" w:eastAsia="宋体" w:cs="宋体"/>
          <w:sz w:val="24"/>
          <w:szCs w:val="24"/>
        </w:rPr>
        <w:t>除竞争性磋商文件中另有规定外，磋商响应书所使用的度量衡均须采用法定计量单位。</w:t>
      </w:r>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7. 磋商响应书构成</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 xml:space="preserve">7.1 </w:t>
      </w:r>
      <w:r>
        <w:rPr>
          <w:rFonts w:hint="eastAsia" w:ascii="宋体" w:hAnsi="宋体" w:eastAsia="宋体" w:cs="宋体"/>
          <w:sz w:val="24"/>
          <w:szCs w:val="24"/>
        </w:rPr>
        <w:t>磋商响应书应包括本竞争性磋商文件第二章磋商响应书中所规定的全部内容。</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7.2</w:t>
      </w:r>
      <w:r>
        <w:rPr>
          <w:rFonts w:hint="eastAsia" w:ascii="宋体" w:hAnsi="宋体" w:eastAsia="宋体" w:cs="宋体"/>
          <w:sz w:val="24"/>
          <w:szCs w:val="24"/>
        </w:rPr>
        <w:t xml:space="preserve"> 供应商必须对其磋商响应书的真实性与准确性负责。供应商一旦成为成交供应商，其磋商响应书将作为合同的重要组成部分。</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7.3</w:t>
      </w:r>
      <w:r>
        <w:rPr>
          <w:rFonts w:hint="eastAsia" w:ascii="宋体" w:hAnsi="宋体" w:eastAsia="宋体" w:cs="宋体"/>
          <w:sz w:val="24"/>
          <w:szCs w:val="24"/>
        </w:rPr>
        <w:t>供应商不得擅自对竞争性磋商文件的格式、条款和技术要求进行修改。否则，其磋商响应书在磋商时有可能被认为是未对竞争性磋商文件做出实质性的响应而中止对其作进一步的评审。</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8．磋商响应报价</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8.1</w:t>
      </w:r>
      <w:r>
        <w:rPr>
          <w:rFonts w:hint="eastAsia" w:ascii="宋体" w:hAnsi="宋体" w:eastAsia="宋体" w:cs="宋体"/>
          <w:sz w:val="24"/>
          <w:szCs w:val="24"/>
        </w:rPr>
        <w:t xml:space="preserve"> 磋商响应报价应清楚地标明供应商拟提供服务的名称、单价。只允许有一个方案、一个报价，多方案、多报价的磋商响应文件将不被接受。</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8.2</w:t>
      </w:r>
      <w:r>
        <w:rPr>
          <w:rFonts w:hint="eastAsia" w:ascii="宋体" w:hAnsi="宋体" w:eastAsia="宋体" w:cs="宋体"/>
          <w:sz w:val="24"/>
          <w:szCs w:val="24"/>
        </w:rPr>
        <w:t>　磋商报价表上的总价即为履行合同的固定价格。</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8.3</w:t>
      </w:r>
      <w:r>
        <w:rPr>
          <w:rFonts w:hint="eastAsia" w:ascii="宋体" w:hAnsi="宋体" w:eastAsia="宋体" w:cs="宋体"/>
          <w:sz w:val="24"/>
          <w:szCs w:val="24"/>
        </w:rPr>
        <w:t>　技术要求中规定的现场服务、售后服务等一切费用应包括在报价中（本磋商文件中有特殊规定的除外）。</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 xml:space="preserve">8.4  </w:t>
      </w:r>
      <w:r>
        <w:rPr>
          <w:rFonts w:hint="eastAsia" w:ascii="宋体" w:hAnsi="宋体" w:eastAsia="宋体" w:cs="宋体"/>
          <w:sz w:val="24"/>
          <w:szCs w:val="24"/>
        </w:rPr>
        <w:t>供应商的磋商报价，应是完成本项目采购合同条款上全部费用。</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8.5磋商响应货币：</w:t>
      </w:r>
      <w:r>
        <w:rPr>
          <w:rFonts w:hint="eastAsia" w:ascii="宋体" w:hAnsi="宋体" w:eastAsia="宋体" w:cs="宋体"/>
          <w:sz w:val="24"/>
          <w:szCs w:val="24"/>
        </w:rPr>
        <w:t>须以人民币报价。</w:t>
      </w:r>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9．证明供应商合格的资格文件</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9.1</w:t>
      </w:r>
      <w:r>
        <w:rPr>
          <w:rFonts w:hint="eastAsia" w:ascii="宋体" w:hAnsi="宋体" w:eastAsia="宋体" w:cs="宋体"/>
          <w:sz w:val="24"/>
          <w:szCs w:val="24"/>
        </w:rPr>
        <w:t>供应商在其磋商响应书中，应包括证明其有资格参加磋商和成交后有能力履行合同的资质证明文件。</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9.2</w:t>
      </w:r>
      <w:r>
        <w:rPr>
          <w:rFonts w:hint="eastAsia" w:ascii="宋体" w:hAnsi="宋体" w:eastAsia="宋体" w:cs="宋体"/>
          <w:sz w:val="24"/>
          <w:szCs w:val="24"/>
        </w:rPr>
        <w:t>供应商必须具有履行合同所必需的能力。</w:t>
      </w:r>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10．磋商响应保证金（详见前附表）。</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11．磋商响应书份数和签署</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11.1</w:t>
      </w:r>
      <w:r>
        <w:rPr>
          <w:rFonts w:hint="eastAsia" w:ascii="宋体" w:hAnsi="宋体" w:eastAsia="宋体" w:cs="宋体"/>
          <w:sz w:val="24"/>
          <w:szCs w:val="24"/>
        </w:rPr>
        <w:t>供应商应准备供应商须知前附表规定份数的磋商响应书。每份磋商响应书须清楚地标明“正本”或“副本”字样，正本与副本必须一致；若正本与副本不一致，以正本为准。</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11.2</w:t>
      </w:r>
      <w:r>
        <w:rPr>
          <w:rFonts w:hint="eastAsia" w:ascii="宋体" w:hAnsi="宋体" w:eastAsia="宋体" w:cs="宋体"/>
          <w:sz w:val="24"/>
          <w:szCs w:val="24"/>
        </w:rPr>
        <w:t xml:space="preserve"> 磋商响应书的正本和所有的副本均需打印，由供应商的法定代表人或其授权代表正确签署。授权代表须将以书面形式出具的“法定代表人授权书”附在磋商响应书上。</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11.3</w:t>
      </w:r>
      <w:r>
        <w:rPr>
          <w:rFonts w:hint="eastAsia" w:ascii="宋体" w:hAnsi="宋体" w:eastAsia="宋体" w:cs="宋体"/>
          <w:sz w:val="24"/>
          <w:szCs w:val="24"/>
        </w:rPr>
        <w:t>磋商响应书不得行间插字、涂改或增删。如有修改错漏处，必须由供应商的法定代表人或其授权代表签字和盖章。</w:t>
      </w:r>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12．磋商响应书的密封和标记</w:t>
      </w:r>
    </w:p>
    <w:p>
      <w:pPr>
        <w:spacing w:line="380" w:lineRule="exact"/>
        <w:ind w:firstLine="480" w:firstLineChars="200"/>
        <w:rPr>
          <w:rFonts w:ascii="宋体" w:hAnsi="宋体" w:eastAsia="宋体" w:cs="宋体"/>
          <w:kern w:val="0"/>
          <w:sz w:val="24"/>
          <w:szCs w:val="24"/>
        </w:rPr>
      </w:pPr>
      <w:r>
        <w:rPr>
          <w:rFonts w:hint="eastAsia" w:ascii="宋体" w:hAnsi="宋体" w:eastAsia="宋体" w:cs="宋体"/>
          <w:bCs/>
          <w:sz w:val="24"/>
          <w:szCs w:val="24"/>
        </w:rPr>
        <w:t>12.1</w:t>
      </w:r>
      <w:r>
        <w:rPr>
          <w:rFonts w:hint="eastAsia" w:ascii="宋体" w:hAnsi="宋体" w:eastAsia="宋体" w:cs="宋体"/>
          <w:bCs/>
          <w:kern w:val="0"/>
          <w:sz w:val="24"/>
          <w:szCs w:val="24"/>
        </w:rPr>
        <w:t>供应商应将磋商响应书的正本和副本单独或一起用包装袋封装好。封装应该严密、不易破损。封口处应盖有供应商公章。</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12.2</w:t>
      </w:r>
      <w:r>
        <w:rPr>
          <w:rFonts w:hint="eastAsia" w:ascii="宋体" w:hAnsi="宋体" w:eastAsia="宋体" w:cs="宋体"/>
          <w:sz w:val="24"/>
          <w:szCs w:val="24"/>
        </w:rPr>
        <w:t>磋商响应书包装袋上必须清楚写明项目的名称、项目编号、供应商全称。</w:t>
      </w:r>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12．3 磋商响应书不得活页装订，否则响应无效。</w:t>
      </w:r>
    </w:p>
    <w:p>
      <w:pPr>
        <w:pStyle w:val="19"/>
        <w:spacing w:line="380" w:lineRule="exact"/>
        <w:rPr>
          <w:rFonts w:ascii="宋体" w:hAnsi="宋体" w:eastAsia="宋体"/>
          <w:b/>
          <w:bCs/>
          <w:sz w:val="24"/>
          <w:szCs w:val="24"/>
        </w:rPr>
      </w:pPr>
      <w:bookmarkStart w:id="12" w:name="_Toc383776347"/>
      <w:r>
        <w:rPr>
          <w:rFonts w:hint="eastAsia" w:ascii="宋体" w:hAnsi="宋体" w:eastAsia="宋体" w:cs="宋体"/>
          <w:b/>
          <w:bCs/>
          <w:sz w:val="24"/>
          <w:szCs w:val="24"/>
        </w:rPr>
        <w:t>（四）磋商响应书的递交</w:t>
      </w:r>
      <w:bookmarkEnd w:id="12"/>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13．磋商响应书超过时间递交的将被拒绝。磋商响应书有下列情形之一的，采购人将不予受理：</w:t>
      </w:r>
    </w:p>
    <w:p>
      <w:pPr>
        <w:pStyle w:val="6"/>
        <w:spacing w:line="380" w:lineRule="exact"/>
        <w:ind w:firstLine="475" w:firstLineChars="198"/>
        <w:rPr>
          <w:rFonts w:ascii="宋体" w:hAnsi="宋体" w:eastAsia="宋体"/>
          <w:bCs/>
          <w:sz w:val="24"/>
          <w:szCs w:val="24"/>
        </w:rPr>
      </w:pPr>
      <w:r>
        <w:rPr>
          <w:rFonts w:hint="eastAsia" w:ascii="宋体" w:hAnsi="宋体" w:eastAsia="宋体"/>
          <w:bCs/>
          <w:sz w:val="24"/>
          <w:szCs w:val="24"/>
        </w:rPr>
        <w:t xml:space="preserve">13.1逾期送达的或者未送达指定地点的； </w:t>
      </w:r>
    </w:p>
    <w:p>
      <w:pPr>
        <w:pStyle w:val="6"/>
        <w:spacing w:line="380" w:lineRule="exact"/>
        <w:ind w:firstLine="475" w:firstLineChars="198"/>
        <w:rPr>
          <w:rFonts w:ascii="宋体" w:hAnsi="宋体" w:eastAsia="宋体"/>
          <w:bCs/>
          <w:sz w:val="24"/>
          <w:szCs w:val="24"/>
        </w:rPr>
      </w:pPr>
      <w:r>
        <w:rPr>
          <w:rFonts w:hint="eastAsia" w:ascii="宋体" w:hAnsi="宋体" w:eastAsia="宋体"/>
          <w:bCs/>
          <w:sz w:val="24"/>
          <w:szCs w:val="24"/>
        </w:rPr>
        <w:t>13.2未按磋商文件要求包装、密封和标记的。</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14．磋商响应书的修改和撤回</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14.1供应商递交磋商响应书后，可以在规定的磋商响应截止时间前修改或撤回其磋商响应书。但这种修改和撤回，必须以书面形式通知采购人和采购代理机构。补充修改的内容与响应文件不一致的，以补充、修改的内容为准。</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14.2供应商修改书或撤回通知书，应由法定代表人或其授权代表签署，并按规定进行密封、标记和提交。</w:t>
      </w:r>
    </w:p>
    <w:p>
      <w:pPr>
        <w:pStyle w:val="4"/>
        <w:spacing w:line="380" w:lineRule="exact"/>
        <w:ind w:firstLine="480" w:firstLineChars="200"/>
        <w:jc w:val="both"/>
        <w:rPr>
          <w:rFonts w:ascii="宋体" w:hAnsi="宋体" w:eastAsia="宋体" w:cs="Times New Roman"/>
          <w:b w:val="0"/>
          <w:sz w:val="24"/>
          <w:szCs w:val="24"/>
        </w:rPr>
      </w:pPr>
      <w:r>
        <w:rPr>
          <w:rFonts w:hint="eastAsia" w:ascii="宋体" w:hAnsi="宋体" w:eastAsia="宋体" w:cs="宋体"/>
          <w:b w:val="0"/>
          <w:sz w:val="24"/>
          <w:szCs w:val="24"/>
        </w:rPr>
        <w:t>15．磋商现场</w:t>
      </w:r>
    </w:p>
    <w:p>
      <w:pPr>
        <w:pStyle w:val="4"/>
        <w:spacing w:line="380" w:lineRule="exact"/>
        <w:ind w:firstLine="480" w:firstLineChars="200"/>
        <w:jc w:val="both"/>
        <w:rPr>
          <w:rFonts w:ascii="宋体" w:hAnsi="宋体" w:eastAsia="宋体" w:cs="Times New Roman"/>
          <w:b w:val="0"/>
          <w:bCs w:val="0"/>
          <w:kern w:val="0"/>
          <w:sz w:val="24"/>
          <w:szCs w:val="24"/>
        </w:rPr>
      </w:pPr>
      <w:r>
        <w:rPr>
          <w:rFonts w:hint="eastAsia" w:ascii="宋体" w:hAnsi="宋体" w:eastAsia="宋体" w:cs="宋体"/>
          <w:b w:val="0"/>
          <w:bCs w:val="0"/>
          <w:kern w:val="0"/>
          <w:sz w:val="24"/>
          <w:szCs w:val="24"/>
        </w:rPr>
        <w:t>华春建设工程项目管理有限责任公司将按照磋商响应供应商须知前附表载明的时间和地点举行磋商。</w:t>
      </w:r>
    </w:p>
    <w:p>
      <w:pPr>
        <w:spacing w:line="380" w:lineRule="exact"/>
        <w:ind w:firstLine="480" w:firstLineChars="200"/>
        <w:rPr>
          <w:rFonts w:ascii="宋体" w:hAnsi="宋体" w:eastAsia="宋体"/>
          <w:bCs/>
          <w:sz w:val="24"/>
          <w:szCs w:val="24"/>
        </w:rPr>
      </w:pPr>
      <w:r>
        <w:rPr>
          <w:rFonts w:hint="eastAsia" w:ascii="宋体" w:hAnsi="宋体" w:eastAsia="宋体" w:cs="宋体"/>
          <w:bCs/>
          <w:kern w:val="0"/>
          <w:sz w:val="24"/>
          <w:szCs w:val="24"/>
        </w:rPr>
        <w:t>16．</w:t>
      </w:r>
      <w:r>
        <w:rPr>
          <w:rFonts w:hint="eastAsia" w:ascii="宋体" w:hAnsi="宋体" w:eastAsia="宋体" w:cs="宋体"/>
          <w:bCs/>
          <w:sz w:val="24"/>
          <w:szCs w:val="24"/>
        </w:rPr>
        <w:t>磋商与评审</w:t>
      </w:r>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16.1磋商与评审程序</w:t>
      </w:r>
    </w:p>
    <w:p>
      <w:pPr>
        <w:numPr>
          <w:numId w:val="0"/>
        </w:numPr>
        <w:spacing w:line="38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1、磋商小组由采购人和评审专家构成，成员人数为3人以上单数。</w:t>
      </w:r>
    </w:p>
    <w:p>
      <w:pPr>
        <w:spacing w:line="380" w:lineRule="exact"/>
        <w:ind w:firstLine="480" w:firstLineChars="200"/>
        <w:rPr>
          <w:rFonts w:ascii="宋体" w:hAnsi="宋体" w:eastAsia="宋体"/>
          <w:kern w:val="0"/>
          <w:sz w:val="24"/>
          <w:szCs w:val="24"/>
        </w:rPr>
      </w:pPr>
      <w:r>
        <w:rPr>
          <w:rFonts w:hint="eastAsia" w:ascii="宋体" w:hAnsi="宋体" w:eastAsia="宋体" w:cs="宋体"/>
          <w:kern w:val="0"/>
          <w:sz w:val="24"/>
          <w:szCs w:val="24"/>
        </w:rPr>
        <w:t>2、磋商小组首先对供应商的资格进行审查，资格审查不通过的，将不得进入磋商。</w:t>
      </w:r>
    </w:p>
    <w:p>
      <w:pPr>
        <w:spacing w:line="380" w:lineRule="exact"/>
        <w:ind w:firstLine="480" w:firstLineChars="200"/>
        <w:rPr>
          <w:rFonts w:ascii="宋体" w:hAnsi="宋体" w:eastAsia="宋体"/>
          <w:kern w:val="0"/>
          <w:sz w:val="24"/>
          <w:szCs w:val="24"/>
        </w:rPr>
      </w:pPr>
      <w:r>
        <w:rPr>
          <w:rFonts w:hint="eastAsia" w:ascii="宋体" w:hAnsi="宋体" w:eastAsia="宋体" w:cs="宋体"/>
          <w:kern w:val="0"/>
          <w:sz w:val="24"/>
          <w:szCs w:val="24"/>
        </w:rPr>
        <w:t>3、磋商小组对供应商提交的磋商响应书及样品（如有）进行审查，为磋商做好准备工作。</w:t>
      </w:r>
    </w:p>
    <w:p>
      <w:pPr>
        <w:spacing w:line="380" w:lineRule="exact"/>
        <w:ind w:firstLine="480" w:firstLineChars="200"/>
        <w:rPr>
          <w:rFonts w:ascii="宋体" w:hAnsi="宋体" w:eastAsia="宋体"/>
          <w:kern w:val="0"/>
          <w:sz w:val="24"/>
          <w:szCs w:val="24"/>
        </w:rPr>
      </w:pPr>
      <w:r>
        <w:rPr>
          <w:rFonts w:hint="eastAsia" w:ascii="宋体" w:hAnsi="宋体" w:eastAsia="宋体" w:cs="宋体"/>
          <w:kern w:val="0"/>
          <w:sz w:val="24"/>
          <w:szCs w:val="24"/>
        </w:rPr>
        <w:t>4、磋商小组所有成员集中与单一供应商进行逐一磋商。磋商过程中可对磋商文件规定的内容进行变动，变动内容须经采购人代表确认。</w:t>
      </w:r>
    </w:p>
    <w:p>
      <w:pPr>
        <w:spacing w:line="380" w:lineRule="exact"/>
        <w:ind w:firstLine="480" w:firstLineChars="200"/>
        <w:rPr>
          <w:rFonts w:ascii="宋体" w:hAnsi="宋体" w:eastAsia="宋体"/>
          <w:kern w:val="0"/>
          <w:sz w:val="24"/>
          <w:szCs w:val="24"/>
        </w:rPr>
      </w:pPr>
      <w:r>
        <w:rPr>
          <w:rFonts w:hint="eastAsia" w:ascii="宋体" w:hAnsi="宋体" w:eastAsia="宋体" w:cs="宋体"/>
          <w:kern w:val="0"/>
          <w:sz w:val="24"/>
          <w:szCs w:val="24"/>
        </w:rPr>
        <w:t>5、对否定的供应商，磋商小组要提出充足的否定理由，并填写在评审记录上；对评审结果持有异议的，按照少数服从多数的原则由磋商小组采取投票方式表决确定并记录入评审记录。</w:t>
      </w:r>
    </w:p>
    <w:p>
      <w:pPr>
        <w:spacing w:line="380" w:lineRule="exact"/>
        <w:ind w:firstLine="480" w:firstLineChars="200"/>
        <w:rPr>
          <w:rFonts w:ascii="宋体" w:hAnsi="宋体" w:eastAsia="宋体" w:cs="宋体"/>
          <w:sz w:val="24"/>
          <w:szCs w:val="24"/>
        </w:rPr>
      </w:pPr>
      <w:r>
        <w:rPr>
          <w:rFonts w:hint="eastAsia" w:ascii="宋体" w:hAnsi="宋体" w:eastAsia="宋体" w:cs="宋体"/>
          <w:bCs/>
          <w:sz w:val="24"/>
          <w:szCs w:val="24"/>
        </w:rPr>
        <w:t>16.1.1 资格审查</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经磋商小组确定，有以下情形的供应商属于无效响应：</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1）未按本磋商文件要求提供营业执照以及相关资质、资格证明材料或提供的材料不符合要求的；</w:t>
      </w:r>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2）未提供样品的。（如有）</w:t>
      </w:r>
    </w:p>
    <w:p>
      <w:pPr>
        <w:numPr>
          <w:ilvl w:val="0"/>
          <w:numId w:val="1"/>
        </w:numPr>
        <w:spacing w:line="380" w:lineRule="exact"/>
        <w:ind w:firstLine="480" w:firstLineChars="200"/>
        <w:jc w:val="left"/>
        <w:rPr>
          <w:rFonts w:ascii="宋体" w:hAnsi="宋体" w:eastAsia="宋体" w:cs="黑体"/>
          <w:sz w:val="24"/>
          <w:szCs w:val="24"/>
        </w:rPr>
      </w:pPr>
      <w:r>
        <w:rPr>
          <w:rFonts w:hint="eastAsia" w:ascii="宋体" w:hAnsi="宋体" w:eastAsia="宋体" w:cs="黑体"/>
          <w:sz w:val="24"/>
          <w:szCs w:val="24"/>
        </w:rPr>
        <w:t>供应商未按照磋商文件要求提交磋商保证金的；</w:t>
      </w:r>
    </w:p>
    <w:p>
      <w:pPr>
        <w:numPr>
          <w:ilvl w:val="0"/>
          <w:numId w:val="1"/>
        </w:numPr>
        <w:spacing w:line="380" w:lineRule="exact"/>
        <w:ind w:firstLine="480" w:firstLineChars="200"/>
        <w:jc w:val="left"/>
        <w:rPr>
          <w:rFonts w:ascii="宋体" w:hAnsi="宋体" w:eastAsia="宋体" w:cs="黑体"/>
          <w:sz w:val="24"/>
          <w:szCs w:val="24"/>
        </w:rPr>
      </w:pPr>
      <w:r>
        <w:rPr>
          <w:rFonts w:hint="eastAsia" w:ascii="宋体" w:hAnsi="宋体" w:eastAsia="宋体" w:cs="黑体"/>
          <w:sz w:val="24"/>
          <w:szCs w:val="24"/>
        </w:rPr>
        <w:t>供应商递交磋商响应书后提交书面修改或撤回申请，但未在规定的磋商响应截止时间前提交已修改的磋商响应书的，视为响应无效。</w:t>
      </w:r>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16.1.2 磋商响应书及样品（如有）</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磋商开始前，磋商小组将认真审查供应商提交的磋商响应书，了解其与磋商文件要求是否有偏离，并对照本磋商文件规定评判供应商是否合格。审查完磋商响应书后，对合格供应商提供的样品(如有)进行检验。</w:t>
      </w:r>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16.1.3 磋商</w:t>
      </w:r>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 xml:space="preserve">1、在掌握了供应商磋商响应书及样品的基本情况后，磋商小组将与供应商分别进行磋商。 </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2、在磋商过程中，磋商小组可以根据磋商文件和磋商情况实质性变动采购需求中的技术、服务要求以及合同草案条款，实质性变动内容是磋商文件的有效组成部分。实质性变动的内容，经采购人代表确认。</w:t>
      </w:r>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16.1.4 报价</w:t>
      </w:r>
    </w:p>
    <w:p>
      <w:pPr>
        <w:numPr>
          <w:ilvl w:val="0"/>
          <w:numId w:val="2"/>
        </w:numPr>
        <w:spacing w:line="380" w:lineRule="exact"/>
        <w:ind w:firstLine="480" w:firstLineChars="200"/>
        <w:rPr>
          <w:rFonts w:ascii="宋体" w:hAnsi="宋体" w:eastAsia="宋体"/>
          <w:sz w:val="24"/>
          <w:szCs w:val="24"/>
        </w:rPr>
      </w:pPr>
      <w:r>
        <w:rPr>
          <w:rFonts w:hint="eastAsia" w:ascii="宋体" w:hAnsi="宋体" w:eastAsia="宋体" w:cs="宋体"/>
          <w:sz w:val="24"/>
          <w:szCs w:val="24"/>
        </w:rPr>
        <w:t>响应报价超过项目预算控制数或不按规定格式进行报价的属于无效响应。报价表应按要求填写并装订入响应文件内。</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2、磋商结束后，磋商小组将要求所有继续参加磋商的供应商在规定的时间内提交最后报价，最后报价表由采购代理机构工作人员现场发放。最后报价不得高于本单位第一轮报价，否则为无效报价。</w:t>
      </w:r>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16.1.5成交候选供应商</w:t>
      </w:r>
    </w:p>
    <w:p>
      <w:pPr>
        <w:spacing w:line="380" w:lineRule="exact"/>
        <w:ind w:firstLine="480" w:firstLineChars="200"/>
        <w:rPr>
          <w:rFonts w:ascii="宋体" w:hAnsi="宋体" w:eastAsia="宋体" w:cs="宋体"/>
          <w:color w:val="0000FF"/>
          <w:sz w:val="24"/>
          <w:szCs w:val="24"/>
        </w:rPr>
      </w:pPr>
      <w:r>
        <w:rPr>
          <w:rFonts w:hint="eastAsia" w:ascii="宋体" w:hAnsi="宋体" w:eastAsia="宋体" w:cs="宋体"/>
          <w:bCs/>
          <w:sz w:val="24"/>
          <w:szCs w:val="24"/>
          <w:u w:val="single"/>
        </w:rPr>
        <w:t>磋商小组应当根据综合评分情况，按照评审得分由高到低顺序推荐有排序的2名成交候选供应商，并编写评审报告。</w:t>
      </w:r>
      <w:r>
        <w:rPr>
          <w:rFonts w:hint="eastAsia" w:ascii="宋体" w:hAnsi="宋体" w:eastAsia="宋体" w:cs="宋体"/>
          <w:sz w:val="24"/>
          <w:szCs w:val="24"/>
        </w:rPr>
        <w:t>评审得分相同的，按照最后报价由低到高的顺序推荐。评审得分且最后报价相同的，按照现场抽签顺序推荐。同时将评审结果形成评审意见，报采购人依法确定成交供应商</w:t>
      </w:r>
      <w:r>
        <w:rPr>
          <w:rFonts w:hint="eastAsia" w:ascii="宋体" w:hAnsi="宋体" w:eastAsia="宋体" w:cs="宋体"/>
          <w:color w:val="0000FF"/>
          <w:sz w:val="24"/>
          <w:szCs w:val="24"/>
        </w:rPr>
        <w:t>。</w:t>
      </w:r>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17. 经磋商小组确定，有以下情形的供应商视为不合格供应商，其磋商响应将被否决：</w:t>
      </w:r>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1）资格审查未通过的；</w:t>
      </w:r>
    </w:p>
    <w:p>
      <w:pPr>
        <w:spacing w:line="380" w:lineRule="exact"/>
        <w:ind w:firstLine="480" w:firstLineChars="200"/>
        <w:rPr>
          <w:rFonts w:ascii="宋体" w:hAnsi="宋体" w:eastAsia="宋体"/>
          <w:kern w:val="0"/>
          <w:sz w:val="24"/>
          <w:szCs w:val="24"/>
        </w:rPr>
      </w:pPr>
      <w:r>
        <w:rPr>
          <w:rFonts w:hint="eastAsia" w:ascii="宋体" w:hAnsi="宋体" w:eastAsia="宋体" w:cs="宋体"/>
          <w:kern w:val="0"/>
          <w:sz w:val="24"/>
          <w:szCs w:val="24"/>
        </w:rPr>
        <w:t>2）磋商响应书未加盖单位印章和法定代表人（或授权委托人）签章的；</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3）所提供的货物/服务/采购清单缺少的；</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4）关键性商务、技术参数以及相关要求不能得到真正满足的；</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5）样品不符合要求的（如有）；</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6) 报价超过项目预算控制数或不按规定格式进行报价的属于无效报价。</w:t>
      </w:r>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7）其它不满足本磋商文件要求和法律法规规定应当否决的情形。</w:t>
      </w:r>
    </w:p>
    <w:p>
      <w:pPr>
        <w:pStyle w:val="17"/>
        <w:adjustRightInd/>
        <w:spacing w:line="380" w:lineRule="exact"/>
        <w:jc w:val="center"/>
        <w:rPr>
          <w:rFonts w:ascii="宋体" w:hAnsi="宋体" w:eastAsia="宋体"/>
          <w:b/>
          <w:bCs/>
          <w:szCs w:val="24"/>
        </w:rPr>
      </w:pPr>
      <w:bookmarkStart w:id="13" w:name="_Toc383776348"/>
    </w:p>
    <w:p>
      <w:pPr>
        <w:pStyle w:val="17"/>
        <w:adjustRightInd/>
        <w:spacing w:line="380" w:lineRule="exact"/>
        <w:jc w:val="center"/>
        <w:rPr>
          <w:rFonts w:ascii="宋体" w:hAnsi="宋体" w:eastAsia="宋体"/>
          <w:b/>
          <w:bCs/>
          <w:szCs w:val="24"/>
        </w:rPr>
      </w:pPr>
    </w:p>
    <w:p>
      <w:pPr>
        <w:pStyle w:val="17"/>
        <w:adjustRightInd/>
        <w:spacing w:line="380" w:lineRule="exact"/>
        <w:jc w:val="center"/>
        <w:rPr>
          <w:rFonts w:ascii="宋体" w:hAnsi="宋体" w:eastAsia="宋体"/>
          <w:b/>
          <w:bCs/>
          <w:szCs w:val="24"/>
        </w:rPr>
      </w:pPr>
    </w:p>
    <w:p>
      <w:pPr>
        <w:pStyle w:val="17"/>
        <w:adjustRightInd/>
        <w:spacing w:line="380" w:lineRule="exact"/>
        <w:jc w:val="center"/>
        <w:rPr>
          <w:rFonts w:ascii="宋体" w:hAnsi="宋体" w:eastAsia="宋体"/>
          <w:b/>
          <w:bCs/>
          <w:szCs w:val="24"/>
        </w:rPr>
      </w:pPr>
    </w:p>
    <w:p>
      <w:pPr>
        <w:pStyle w:val="17"/>
        <w:adjustRightInd/>
        <w:spacing w:line="380" w:lineRule="exact"/>
        <w:jc w:val="center"/>
        <w:rPr>
          <w:rFonts w:ascii="宋体" w:hAnsi="宋体" w:eastAsia="宋体"/>
          <w:b/>
          <w:bCs/>
          <w:szCs w:val="24"/>
        </w:rPr>
      </w:pPr>
    </w:p>
    <w:p>
      <w:pPr>
        <w:pStyle w:val="17"/>
        <w:adjustRightInd/>
        <w:spacing w:line="380" w:lineRule="exact"/>
        <w:jc w:val="center"/>
        <w:rPr>
          <w:rFonts w:ascii="宋体" w:hAnsi="宋体" w:eastAsia="宋体"/>
          <w:b/>
          <w:bCs/>
          <w:szCs w:val="24"/>
        </w:rPr>
      </w:pPr>
    </w:p>
    <w:p>
      <w:pPr>
        <w:pStyle w:val="17"/>
        <w:adjustRightInd/>
        <w:spacing w:line="380" w:lineRule="exact"/>
        <w:jc w:val="center"/>
        <w:rPr>
          <w:rFonts w:ascii="宋体" w:hAnsi="宋体" w:eastAsia="宋体"/>
          <w:b/>
          <w:bCs/>
          <w:szCs w:val="24"/>
        </w:rPr>
      </w:pPr>
    </w:p>
    <w:p>
      <w:pPr>
        <w:pStyle w:val="17"/>
        <w:adjustRightInd/>
        <w:spacing w:line="380" w:lineRule="exact"/>
        <w:jc w:val="center"/>
        <w:rPr>
          <w:rFonts w:ascii="宋体" w:hAnsi="宋体" w:eastAsia="宋体"/>
          <w:b/>
          <w:bCs/>
          <w:szCs w:val="24"/>
        </w:rPr>
      </w:pPr>
    </w:p>
    <w:p>
      <w:pPr>
        <w:pStyle w:val="17"/>
        <w:adjustRightInd/>
        <w:spacing w:line="380" w:lineRule="exact"/>
        <w:jc w:val="center"/>
        <w:rPr>
          <w:rFonts w:ascii="宋体" w:hAnsi="宋体" w:eastAsia="宋体"/>
          <w:b/>
          <w:bCs/>
          <w:szCs w:val="24"/>
        </w:rPr>
      </w:pPr>
    </w:p>
    <w:p>
      <w:pPr>
        <w:pStyle w:val="17"/>
        <w:adjustRightInd/>
        <w:spacing w:line="380" w:lineRule="exact"/>
        <w:jc w:val="center"/>
        <w:rPr>
          <w:rFonts w:ascii="宋体" w:hAnsi="宋体" w:eastAsia="宋体"/>
          <w:b/>
          <w:bCs/>
          <w:szCs w:val="24"/>
        </w:rPr>
      </w:pPr>
    </w:p>
    <w:p>
      <w:pPr>
        <w:pStyle w:val="17"/>
        <w:adjustRightInd/>
        <w:spacing w:line="380" w:lineRule="exact"/>
        <w:jc w:val="center"/>
        <w:rPr>
          <w:rFonts w:ascii="宋体" w:hAnsi="宋体" w:eastAsia="宋体"/>
          <w:b/>
          <w:bCs/>
          <w:szCs w:val="24"/>
        </w:rPr>
      </w:pPr>
    </w:p>
    <w:p>
      <w:pPr>
        <w:pStyle w:val="17"/>
        <w:adjustRightInd/>
        <w:spacing w:line="380" w:lineRule="exact"/>
        <w:jc w:val="center"/>
        <w:rPr>
          <w:rFonts w:ascii="宋体" w:hAnsi="宋体" w:eastAsia="宋体"/>
          <w:b/>
          <w:bCs/>
          <w:szCs w:val="24"/>
        </w:rPr>
      </w:pPr>
    </w:p>
    <w:p>
      <w:pPr>
        <w:pStyle w:val="17"/>
        <w:adjustRightInd/>
        <w:spacing w:line="380" w:lineRule="exact"/>
        <w:jc w:val="center"/>
        <w:rPr>
          <w:rFonts w:ascii="宋体" w:hAnsi="宋体" w:eastAsia="宋体"/>
          <w:b/>
          <w:bCs/>
          <w:szCs w:val="24"/>
        </w:rPr>
      </w:pPr>
    </w:p>
    <w:p>
      <w:pPr>
        <w:pStyle w:val="17"/>
        <w:adjustRightInd/>
        <w:spacing w:line="380" w:lineRule="exact"/>
        <w:jc w:val="center"/>
        <w:rPr>
          <w:rFonts w:ascii="宋体" w:hAnsi="宋体" w:eastAsia="宋体"/>
          <w:b/>
          <w:bCs/>
          <w:szCs w:val="24"/>
        </w:rPr>
      </w:pPr>
    </w:p>
    <w:p>
      <w:pPr>
        <w:pStyle w:val="17"/>
        <w:adjustRightInd/>
        <w:spacing w:line="380" w:lineRule="exact"/>
        <w:jc w:val="center"/>
        <w:rPr>
          <w:rFonts w:ascii="宋体" w:hAnsi="宋体" w:eastAsia="宋体"/>
          <w:b/>
          <w:bCs/>
          <w:szCs w:val="24"/>
        </w:rPr>
      </w:pPr>
    </w:p>
    <w:p>
      <w:pPr>
        <w:pStyle w:val="17"/>
        <w:adjustRightInd/>
        <w:spacing w:line="380" w:lineRule="exact"/>
        <w:jc w:val="center"/>
        <w:rPr>
          <w:rFonts w:ascii="宋体" w:hAnsi="宋体" w:eastAsia="宋体"/>
          <w:b/>
          <w:bCs/>
          <w:szCs w:val="24"/>
        </w:rPr>
      </w:pPr>
    </w:p>
    <w:p>
      <w:pPr>
        <w:pStyle w:val="17"/>
        <w:adjustRightInd/>
        <w:spacing w:line="380" w:lineRule="exact"/>
        <w:jc w:val="center"/>
        <w:rPr>
          <w:rFonts w:ascii="宋体" w:hAnsi="宋体" w:eastAsia="宋体"/>
          <w:b/>
          <w:bCs/>
          <w:szCs w:val="24"/>
        </w:rPr>
      </w:pPr>
      <w:r>
        <w:rPr>
          <w:rFonts w:hint="eastAsia" w:ascii="宋体" w:hAnsi="宋体" w:eastAsia="宋体"/>
          <w:b/>
          <w:bCs/>
          <w:szCs w:val="24"/>
        </w:rPr>
        <w:t>（五）磋商办法</w:t>
      </w:r>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根据《政府采购竞争性磋商采购方式管理暂行办法》等法律法规的精神，并结合本项目实际制定本办法。综合评分法，是指响应文件满足磋商文件全部实质性要求且按评审因素的量化指标评审得分最高的供应商为成交候选供应商的评审方法。</w:t>
      </w:r>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磋商小组首先进行符合性评审，评审通过后，然后对满足磋商文件实质性要求的磋商响应文件，按照评分标准和二次商务报价打分，汇总最终商务报价得分和技术得分为各供应商的最终得分。</w:t>
      </w:r>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一、资格审查</w:t>
      </w:r>
    </w:p>
    <w:tbl>
      <w:tblPr>
        <w:tblStyle w:val="16"/>
        <w:tblpPr w:leftFromText="180" w:rightFromText="180" w:vertAnchor="text" w:horzAnchor="page" w:tblpX="1552" w:tblpY="588"/>
        <w:tblOverlap w:val="never"/>
        <w:tblW w:w="9472"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0"/>
        <w:gridCol w:w="1340"/>
        <w:gridCol w:w="2683"/>
        <w:gridCol w:w="2487"/>
        <w:gridCol w:w="2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trPr>
        <w:tc>
          <w:tcPr>
            <w:tcW w:w="660" w:type="dxa"/>
            <w:vAlign w:val="center"/>
          </w:tcPr>
          <w:p>
            <w:pPr>
              <w:spacing w:line="380" w:lineRule="exact"/>
              <w:jc w:val="center"/>
              <w:rPr>
                <w:rFonts w:ascii="宋体" w:hAnsi="宋体" w:eastAsia="宋体" w:cs="宋体"/>
              </w:rPr>
            </w:pPr>
            <w:r>
              <w:rPr>
                <w:rFonts w:hint="eastAsia" w:ascii="宋体" w:hAnsi="宋体" w:eastAsia="宋体" w:cs="宋体"/>
              </w:rPr>
              <w:t>序</w:t>
            </w:r>
          </w:p>
          <w:p>
            <w:pPr>
              <w:spacing w:line="380" w:lineRule="exact"/>
              <w:jc w:val="center"/>
              <w:rPr>
                <w:rFonts w:ascii="宋体" w:hAnsi="宋体" w:eastAsia="宋体" w:cs="宋体"/>
              </w:rPr>
            </w:pPr>
            <w:r>
              <w:rPr>
                <w:rFonts w:hint="eastAsia" w:ascii="宋体" w:hAnsi="宋体" w:eastAsia="宋体" w:cs="宋体"/>
              </w:rPr>
              <w:t>号</w:t>
            </w:r>
          </w:p>
        </w:tc>
        <w:tc>
          <w:tcPr>
            <w:tcW w:w="1340" w:type="dxa"/>
            <w:vAlign w:val="center"/>
          </w:tcPr>
          <w:p>
            <w:pPr>
              <w:spacing w:line="380" w:lineRule="exact"/>
              <w:jc w:val="center"/>
              <w:rPr>
                <w:rFonts w:ascii="宋体" w:hAnsi="宋体" w:eastAsia="宋体" w:cs="宋体"/>
              </w:rPr>
            </w:pPr>
            <w:r>
              <w:rPr>
                <w:rFonts w:hint="eastAsia" w:ascii="宋体" w:hAnsi="宋体" w:eastAsia="宋体" w:cs="宋体"/>
              </w:rPr>
              <w:t>合格条件</w:t>
            </w:r>
          </w:p>
        </w:tc>
        <w:tc>
          <w:tcPr>
            <w:tcW w:w="2683" w:type="dxa"/>
            <w:vAlign w:val="center"/>
          </w:tcPr>
          <w:p>
            <w:pPr>
              <w:spacing w:line="380" w:lineRule="exact"/>
              <w:ind w:left="15" w:hanging="14" w:hangingChars="7"/>
              <w:jc w:val="center"/>
              <w:rPr>
                <w:rFonts w:ascii="宋体" w:hAnsi="宋体" w:eastAsia="宋体" w:cs="宋体"/>
              </w:rPr>
            </w:pPr>
            <w:r>
              <w:rPr>
                <w:rFonts w:hint="eastAsia" w:ascii="宋体" w:hAnsi="宋体" w:eastAsia="宋体" w:cs="宋体"/>
              </w:rPr>
              <w:t>投标资格合格条件标准</w:t>
            </w:r>
          </w:p>
        </w:tc>
        <w:tc>
          <w:tcPr>
            <w:tcW w:w="2487" w:type="dxa"/>
            <w:vAlign w:val="center"/>
          </w:tcPr>
          <w:p>
            <w:pPr>
              <w:spacing w:line="380" w:lineRule="exact"/>
              <w:ind w:left="4" w:hanging="4" w:hangingChars="2"/>
              <w:jc w:val="center"/>
              <w:rPr>
                <w:rFonts w:ascii="宋体" w:hAnsi="宋体" w:eastAsia="宋体" w:cs="宋体"/>
              </w:rPr>
            </w:pPr>
            <w:r>
              <w:rPr>
                <w:rFonts w:hint="eastAsia" w:ascii="宋体" w:hAnsi="宋体" w:eastAsia="宋体" w:cs="宋体"/>
              </w:rPr>
              <w:t>有效证明材料</w:t>
            </w:r>
          </w:p>
        </w:tc>
        <w:tc>
          <w:tcPr>
            <w:tcW w:w="2302" w:type="dxa"/>
            <w:vAlign w:val="center"/>
          </w:tcPr>
          <w:p>
            <w:pPr>
              <w:spacing w:line="380" w:lineRule="exact"/>
              <w:jc w:val="center"/>
              <w:rPr>
                <w:rFonts w:ascii="宋体" w:hAnsi="宋体" w:eastAsia="宋体" w:cs="宋体"/>
              </w:rPr>
            </w:pPr>
            <w:r>
              <w:rPr>
                <w:rFonts w:hint="eastAsia" w:ascii="宋体" w:hAnsi="宋体" w:eastAsia="宋体" w:cs="宋体"/>
              </w:rPr>
              <w:t>定性的结论以及</w:t>
            </w:r>
          </w:p>
          <w:p>
            <w:pPr>
              <w:spacing w:line="380" w:lineRule="exact"/>
              <w:jc w:val="center"/>
              <w:rPr>
                <w:rFonts w:ascii="宋体" w:hAnsi="宋体" w:eastAsia="宋体" w:cs="宋体"/>
              </w:rPr>
            </w:pPr>
            <w:r>
              <w:rPr>
                <w:rFonts w:hint="eastAsia" w:ascii="宋体" w:hAnsi="宋体" w:eastAsia="宋体" w:cs="宋体"/>
              </w:rPr>
              <w:t>相关情况说明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651" w:hRule="atLeast"/>
          <w:tblCellSpacing w:w="0" w:type="dxa"/>
        </w:trPr>
        <w:tc>
          <w:tcPr>
            <w:tcW w:w="660" w:type="dxa"/>
            <w:vAlign w:val="center"/>
          </w:tcPr>
          <w:p>
            <w:pPr>
              <w:spacing w:line="380" w:lineRule="exact"/>
              <w:jc w:val="center"/>
              <w:rPr>
                <w:rFonts w:ascii="宋体" w:hAnsi="宋体" w:eastAsia="宋体" w:cs="宋体"/>
              </w:rPr>
            </w:pPr>
            <w:r>
              <w:rPr>
                <w:rFonts w:hint="eastAsia" w:ascii="宋体" w:hAnsi="宋体" w:eastAsia="宋体" w:cs="宋体"/>
              </w:rPr>
              <w:t>1</w:t>
            </w:r>
          </w:p>
        </w:tc>
        <w:tc>
          <w:tcPr>
            <w:tcW w:w="1340" w:type="dxa"/>
            <w:vAlign w:val="center"/>
          </w:tcPr>
          <w:p>
            <w:pPr>
              <w:spacing w:line="380" w:lineRule="exact"/>
              <w:ind w:firstLine="48" w:firstLineChars="23"/>
              <w:jc w:val="center"/>
              <w:rPr>
                <w:rFonts w:ascii="宋体" w:hAnsi="宋体" w:eastAsia="宋体" w:cs="宋体"/>
              </w:rPr>
            </w:pPr>
            <w:r>
              <w:rPr>
                <w:rFonts w:hint="eastAsia" w:ascii="宋体" w:hAnsi="宋体" w:eastAsia="宋体" w:cs="宋体"/>
              </w:rPr>
              <w:t>磋商保证金</w:t>
            </w:r>
          </w:p>
        </w:tc>
        <w:tc>
          <w:tcPr>
            <w:tcW w:w="2683" w:type="dxa"/>
            <w:vAlign w:val="center"/>
          </w:tcPr>
          <w:p>
            <w:pPr>
              <w:spacing w:line="380" w:lineRule="exact"/>
              <w:jc w:val="center"/>
              <w:rPr>
                <w:rFonts w:ascii="宋体" w:hAnsi="宋体" w:eastAsia="宋体" w:cs="宋体"/>
              </w:rPr>
            </w:pPr>
            <w:r>
              <w:rPr>
                <w:rFonts w:hint="eastAsia" w:ascii="宋体" w:hAnsi="宋体" w:eastAsia="宋体" w:cs="宋体"/>
              </w:rPr>
              <w:t>按磋商文件规定的金额、账号、提交形式等要求从供应商账户转入磋商保证金并在竞争性磋商截止时间前到达指定账户</w:t>
            </w:r>
          </w:p>
        </w:tc>
        <w:tc>
          <w:tcPr>
            <w:tcW w:w="2487" w:type="dxa"/>
            <w:vAlign w:val="center"/>
          </w:tcPr>
          <w:p>
            <w:pPr>
              <w:spacing w:line="380" w:lineRule="exact"/>
              <w:ind w:left="4" w:hanging="4" w:hangingChars="2"/>
              <w:jc w:val="center"/>
              <w:rPr>
                <w:rFonts w:ascii="宋体" w:hAnsi="宋体" w:eastAsia="宋体" w:cs="宋体"/>
              </w:rPr>
            </w:pPr>
            <w:r>
              <w:rPr>
                <w:rFonts w:hint="eastAsia" w:ascii="宋体" w:hAnsi="宋体" w:eastAsia="宋体" w:cs="宋体"/>
              </w:rPr>
              <w:t>提交磋商保证金的回单</w:t>
            </w:r>
          </w:p>
        </w:tc>
        <w:tc>
          <w:tcPr>
            <w:tcW w:w="2302" w:type="dxa"/>
            <w:vAlign w:val="center"/>
          </w:tcPr>
          <w:p>
            <w:pPr>
              <w:spacing w:line="380" w:lineRule="exact"/>
              <w:jc w:val="center"/>
              <w:rPr>
                <w:rFonts w:ascii="宋体" w:hAnsi="宋体" w:eastAsia="宋体" w:cs="宋体"/>
              </w:rPr>
            </w:pPr>
            <w:r>
              <w:rPr>
                <w:rFonts w:hint="eastAsia" w:ascii="宋体" w:hAnsi="宋体" w:eastAsia="宋体" w:cs="宋体"/>
              </w:rPr>
              <w:t>供应商应按磋商文件规定的金额、账号、提交形式等，在开标截止时间前缴纳保证金。(复印件加盖公章装订在磋商响应文件内)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blCellSpacing w:w="0" w:type="dxa"/>
        </w:trPr>
        <w:tc>
          <w:tcPr>
            <w:tcW w:w="660" w:type="dxa"/>
            <w:vAlign w:val="center"/>
          </w:tcPr>
          <w:p>
            <w:pPr>
              <w:spacing w:line="380" w:lineRule="exact"/>
              <w:jc w:val="center"/>
              <w:rPr>
                <w:rFonts w:ascii="宋体" w:hAnsi="宋体" w:eastAsia="宋体" w:cs="宋体"/>
              </w:rPr>
            </w:pPr>
            <w:r>
              <w:rPr>
                <w:rFonts w:hint="eastAsia" w:ascii="宋体" w:hAnsi="宋体" w:eastAsia="宋体" w:cs="宋体"/>
              </w:rPr>
              <w:t>2</w:t>
            </w:r>
          </w:p>
        </w:tc>
        <w:tc>
          <w:tcPr>
            <w:tcW w:w="1340" w:type="dxa"/>
            <w:vAlign w:val="center"/>
          </w:tcPr>
          <w:p>
            <w:pPr>
              <w:spacing w:line="380" w:lineRule="exact"/>
              <w:jc w:val="center"/>
              <w:rPr>
                <w:rFonts w:ascii="宋体" w:hAnsi="宋体" w:eastAsia="宋体" w:cs="宋体"/>
              </w:rPr>
            </w:pPr>
            <w:r>
              <w:rPr>
                <w:rFonts w:hint="eastAsia" w:ascii="宋体" w:hAnsi="宋体" w:eastAsia="宋体" w:cs="宋体"/>
              </w:rPr>
              <w:t>独立的法人营业资格</w:t>
            </w:r>
          </w:p>
        </w:tc>
        <w:tc>
          <w:tcPr>
            <w:tcW w:w="2683" w:type="dxa"/>
            <w:vAlign w:val="center"/>
          </w:tcPr>
          <w:p>
            <w:pPr>
              <w:spacing w:line="380" w:lineRule="exact"/>
              <w:jc w:val="center"/>
              <w:rPr>
                <w:rFonts w:ascii="宋体" w:hAnsi="宋体" w:eastAsia="宋体" w:cs="宋体"/>
              </w:rPr>
            </w:pPr>
            <w:r>
              <w:rPr>
                <w:rFonts w:hint="eastAsia" w:ascii="宋体" w:hAnsi="宋体" w:eastAsia="宋体" w:cs="宋体"/>
              </w:rPr>
              <w:t>在中华人民共和国境内合法注册的独立法人资格，并具有相应的经营范围。</w:t>
            </w:r>
          </w:p>
        </w:tc>
        <w:tc>
          <w:tcPr>
            <w:tcW w:w="2487" w:type="dxa"/>
            <w:vAlign w:val="center"/>
          </w:tcPr>
          <w:p>
            <w:pPr>
              <w:spacing w:line="380" w:lineRule="exact"/>
              <w:ind w:left="4" w:hanging="4" w:hangingChars="2"/>
              <w:jc w:val="center"/>
              <w:rPr>
                <w:rFonts w:ascii="宋体" w:hAnsi="宋体" w:eastAsia="宋体" w:cs="宋体"/>
              </w:rPr>
            </w:pPr>
            <w:r>
              <w:rPr>
                <w:rFonts w:hint="eastAsia" w:ascii="宋体" w:hAnsi="宋体" w:eastAsia="宋体" w:cs="宋体"/>
              </w:rPr>
              <w:t>企业法人营业执照（副本）</w:t>
            </w:r>
          </w:p>
        </w:tc>
        <w:tc>
          <w:tcPr>
            <w:tcW w:w="2302" w:type="dxa"/>
            <w:vAlign w:val="center"/>
          </w:tcPr>
          <w:p>
            <w:pPr>
              <w:spacing w:line="380" w:lineRule="exact"/>
              <w:jc w:val="center"/>
              <w:rPr>
                <w:rFonts w:ascii="宋体" w:hAnsi="宋体" w:eastAsia="宋体" w:cs="宋体"/>
              </w:rPr>
            </w:pPr>
            <w:r>
              <w:rPr>
                <w:rFonts w:hint="eastAsia" w:ascii="宋体" w:hAnsi="宋体" w:eastAsia="宋体" w:cs="宋体"/>
              </w:rPr>
              <w:t>复印件加盖公章装订在磋商响应文件内，原件备查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078" w:hRule="atLeast"/>
          <w:tblCellSpacing w:w="0" w:type="dxa"/>
        </w:trPr>
        <w:tc>
          <w:tcPr>
            <w:tcW w:w="660" w:type="dxa"/>
            <w:vAlign w:val="center"/>
          </w:tcPr>
          <w:p>
            <w:pPr>
              <w:spacing w:line="380" w:lineRule="exact"/>
              <w:jc w:val="center"/>
              <w:rPr>
                <w:rFonts w:ascii="宋体" w:hAnsi="宋体" w:eastAsia="宋体" w:cs="宋体"/>
              </w:rPr>
            </w:pPr>
            <w:r>
              <w:rPr>
                <w:rFonts w:hint="eastAsia" w:ascii="宋体" w:hAnsi="宋体" w:eastAsia="宋体" w:cs="宋体"/>
              </w:rPr>
              <w:t>3</w:t>
            </w:r>
          </w:p>
        </w:tc>
        <w:tc>
          <w:tcPr>
            <w:tcW w:w="1340" w:type="dxa"/>
            <w:vAlign w:val="center"/>
          </w:tcPr>
          <w:p>
            <w:pPr>
              <w:spacing w:line="380" w:lineRule="exact"/>
              <w:jc w:val="center"/>
              <w:rPr>
                <w:rFonts w:ascii="宋体" w:hAnsi="宋体" w:eastAsia="宋体" w:cs="宋体"/>
              </w:rPr>
            </w:pPr>
            <w:r>
              <w:rPr>
                <w:rFonts w:hint="eastAsia" w:ascii="宋体" w:hAnsi="宋体" w:eastAsia="宋体" w:cs="宋体"/>
              </w:rPr>
              <w:t>授权委托书</w:t>
            </w:r>
          </w:p>
        </w:tc>
        <w:tc>
          <w:tcPr>
            <w:tcW w:w="2683" w:type="dxa"/>
            <w:vAlign w:val="center"/>
          </w:tcPr>
          <w:p>
            <w:pPr>
              <w:spacing w:line="380" w:lineRule="exact"/>
              <w:jc w:val="center"/>
              <w:rPr>
                <w:rFonts w:ascii="宋体" w:hAnsi="宋体" w:eastAsia="宋体" w:cs="宋体"/>
              </w:rPr>
            </w:pPr>
            <w:r>
              <w:rPr>
                <w:rFonts w:hint="eastAsia" w:ascii="宋体" w:hAnsi="宋体" w:eastAsia="宋体" w:cs="宋体"/>
              </w:rPr>
              <w:t>按格式要求填写、签章</w:t>
            </w:r>
          </w:p>
        </w:tc>
        <w:tc>
          <w:tcPr>
            <w:tcW w:w="2487" w:type="dxa"/>
            <w:vAlign w:val="center"/>
          </w:tcPr>
          <w:p>
            <w:pPr>
              <w:spacing w:line="380" w:lineRule="exact"/>
              <w:ind w:left="4" w:hanging="4" w:hangingChars="2"/>
              <w:jc w:val="center"/>
              <w:rPr>
                <w:rFonts w:ascii="宋体" w:hAnsi="宋体" w:eastAsia="宋体" w:cs="宋体"/>
              </w:rPr>
            </w:pPr>
            <w:r>
              <w:rPr>
                <w:rFonts w:hint="eastAsia" w:ascii="宋体" w:hAnsi="宋体" w:eastAsia="宋体" w:cs="宋体"/>
              </w:rPr>
              <w:t>由法定代表人签署并加盖公章</w:t>
            </w:r>
          </w:p>
        </w:tc>
        <w:tc>
          <w:tcPr>
            <w:tcW w:w="2302" w:type="dxa"/>
            <w:vAlign w:val="center"/>
          </w:tcPr>
          <w:p>
            <w:pPr>
              <w:spacing w:line="380" w:lineRule="exact"/>
              <w:jc w:val="center"/>
              <w:rPr>
                <w:rFonts w:ascii="宋体" w:hAnsi="宋体" w:eastAsia="宋体" w:cs="宋体"/>
              </w:rPr>
            </w:pPr>
            <w:r>
              <w:rPr>
                <w:rFonts w:hint="eastAsia" w:ascii="宋体" w:hAnsi="宋体" w:eastAsia="宋体" w:cs="宋体"/>
              </w:rPr>
              <w:t>必须原件装订在磋商响应文件内。</w:t>
            </w:r>
          </w:p>
        </w:tc>
      </w:tr>
    </w:tbl>
    <w:p>
      <w:pPr>
        <w:spacing w:line="380" w:lineRule="exact"/>
        <w:ind w:firstLine="480" w:firstLineChars="200"/>
        <w:rPr>
          <w:rFonts w:ascii="宋体" w:hAnsi="宋体" w:eastAsia="宋体" w:cs="宋体"/>
          <w:sz w:val="24"/>
          <w:szCs w:val="24"/>
        </w:rPr>
      </w:pPr>
      <w:bookmarkStart w:id="14" w:name="_Toc513623392"/>
      <w:bookmarkStart w:id="15" w:name="_Toc23811"/>
      <w:bookmarkStart w:id="16" w:name="_Toc23778"/>
      <w:bookmarkStart w:id="17" w:name="_Toc17631"/>
      <w:r>
        <w:rPr>
          <w:rFonts w:hint="eastAsia" w:ascii="宋体" w:hAnsi="宋体" w:eastAsia="宋体" w:cs="宋体"/>
          <w:sz w:val="24"/>
          <w:szCs w:val="24"/>
        </w:rPr>
        <w:t>符合性评审内容（原件备查）</w:t>
      </w:r>
      <w:bookmarkEnd w:id="14"/>
      <w:bookmarkEnd w:id="15"/>
      <w:bookmarkEnd w:id="16"/>
      <w:bookmarkEnd w:id="17"/>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注: 1.以上条款中有一条不符合即为不合格。</w:t>
      </w:r>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2.经公证部门公证的复印件和原件具有同等效力。</w:t>
      </w:r>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3.以上评审内容均应在磋商响应文件中体现。</w:t>
      </w:r>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4.以上所有证书原件与磋商响应文件同一时间递交，超过磋商规定截止时间外提交或补交的证书原件一律不再接收并评审。</w:t>
      </w:r>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5.以上评审有任何一项未通过的，资格审查不合格，磋商响应文件按无效处理。</w:t>
      </w:r>
    </w:p>
    <w:p>
      <w:pPr>
        <w:spacing w:line="380" w:lineRule="exact"/>
        <w:ind w:firstLine="480" w:firstLineChars="200"/>
        <w:rPr>
          <w:rFonts w:ascii="宋体" w:hAnsi="宋体" w:eastAsia="宋体" w:cs="宋体"/>
          <w:b/>
          <w:bCs/>
          <w:sz w:val="24"/>
          <w:szCs w:val="24"/>
        </w:rPr>
      </w:pPr>
      <w:r>
        <w:rPr>
          <w:rFonts w:hint="eastAsia" w:ascii="宋体" w:hAnsi="宋体" w:eastAsia="宋体" w:cs="宋体"/>
          <w:sz w:val="24"/>
          <w:szCs w:val="24"/>
        </w:rPr>
        <w:t>6.供应商原件如有虚假，一经查实，不予退还其磋商保证金，并列入不良行为予以记录，是成交候选供应商的，取消其成交候选供应商资格。</w:t>
      </w:r>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二、评分标准</w:t>
      </w:r>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（满分100分，计算过程和结果四舍五入，精确到小数点后两位。）</w:t>
      </w:r>
    </w:p>
    <w:tbl>
      <w:tblPr>
        <w:tblStyle w:val="16"/>
        <w:tblW w:w="8847"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735"/>
        <w:gridCol w:w="5475"/>
        <w:gridCol w:w="1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8" w:hRule="atLeast"/>
        </w:trPr>
        <w:tc>
          <w:tcPr>
            <w:tcW w:w="852" w:type="dxa"/>
            <w:vAlign w:val="center"/>
          </w:tcPr>
          <w:p>
            <w:pPr>
              <w:spacing w:line="380" w:lineRule="exact"/>
              <w:jc w:val="center"/>
              <w:rPr>
                <w:rFonts w:ascii="宋体" w:hAnsi="宋体" w:cs="宋体"/>
              </w:rPr>
            </w:pPr>
            <w:r>
              <w:rPr>
                <w:rFonts w:hint="eastAsia" w:ascii="宋体" w:hAnsi="宋体" w:cs="宋体"/>
              </w:rPr>
              <w:t>评分项目</w:t>
            </w:r>
          </w:p>
        </w:tc>
        <w:tc>
          <w:tcPr>
            <w:tcW w:w="735" w:type="dxa"/>
            <w:vAlign w:val="center"/>
          </w:tcPr>
          <w:p>
            <w:pPr>
              <w:spacing w:line="380" w:lineRule="exact"/>
              <w:jc w:val="center"/>
              <w:rPr>
                <w:rFonts w:ascii="宋体" w:hAnsi="宋体" w:cs="宋体"/>
              </w:rPr>
            </w:pPr>
            <w:r>
              <w:rPr>
                <w:rFonts w:hint="eastAsia" w:ascii="宋体" w:hAnsi="宋体" w:cs="宋体"/>
              </w:rPr>
              <w:t>分值</w:t>
            </w:r>
          </w:p>
        </w:tc>
        <w:tc>
          <w:tcPr>
            <w:tcW w:w="5475" w:type="dxa"/>
            <w:vAlign w:val="center"/>
          </w:tcPr>
          <w:p>
            <w:pPr>
              <w:spacing w:line="380" w:lineRule="exact"/>
              <w:jc w:val="center"/>
              <w:rPr>
                <w:rFonts w:ascii="宋体" w:hAnsi="宋体" w:cs="宋体"/>
              </w:rPr>
            </w:pPr>
            <w:r>
              <w:rPr>
                <w:rFonts w:hint="eastAsia" w:ascii="宋体" w:hAnsi="宋体" w:cs="宋体"/>
              </w:rPr>
              <w:t>评分标准</w:t>
            </w:r>
          </w:p>
        </w:tc>
        <w:tc>
          <w:tcPr>
            <w:tcW w:w="1785" w:type="dxa"/>
            <w:vAlign w:val="center"/>
          </w:tcPr>
          <w:p>
            <w:pPr>
              <w:spacing w:line="380" w:lineRule="exact"/>
              <w:jc w:val="center"/>
              <w:rPr>
                <w:rFonts w:ascii="宋体" w:hAnsi="宋体" w:cs="宋体"/>
              </w:rPr>
            </w:pPr>
            <w:r>
              <w:rPr>
                <w:rFonts w:hint="eastAsia" w:ascii="宋体" w:hAnsi="宋体" w:cs="宋体"/>
              </w:rPr>
              <w:t>所需提供材料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8" w:hRule="atLeast"/>
        </w:trPr>
        <w:tc>
          <w:tcPr>
            <w:tcW w:w="852" w:type="dxa"/>
            <w:vAlign w:val="center"/>
          </w:tcPr>
          <w:p>
            <w:pPr>
              <w:spacing w:line="380" w:lineRule="exact"/>
              <w:jc w:val="center"/>
              <w:rPr>
                <w:rFonts w:ascii="宋体" w:hAnsi="宋体" w:cs="宋体"/>
              </w:rPr>
            </w:pPr>
            <w:r>
              <w:rPr>
                <w:rFonts w:hint="eastAsia" w:ascii="宋体" w:hAnsi="宋体" w:cs="宋体"/>
              </w:rPr>
              <w:t>整体技术服务方案</w:t>
            </w:r>
          </w:p>
        </w:tc>
        <w:tc>
          <w:tcPr>
            <w:tcW w:w="735" w:type="dxa"/>
            <w:vAlign w:val="center"/>
          </w:tcPr>
          <w:p>
            <w:pPr>
              <w:spacing w:line="380" w:lineRule="exact"/>
              <w:jc w:val="center"/>
              <w:rPr>
                <w:rFonts w:ascii="宋体" w:hAnsi="宋体" w:cs="宋体"/>
              </w:rPr>
            </w:pPr>
            <w:r>
              <w:rPr>
                <w:rFonts w:hint="eastAsia" w:ascii="宋体" w:hAnsi="宋体" w:cs="宋体"/>
              </w:rPr>
              <w:t>30</w:t>
            </w:r>
          </w:p>
        </w:tc>
        <w:tc>
          <w:tcPr>
            <w:tcW w:w="5475" w:type="dxa"/>
            <w:vAlign w:val="center"/>
          </w:tcPr>
          <w:p>
            <w:pPr>
              <w:spacing w:line="380" w:lineRule="exact"/>
              <w:rPr>
                <w:rFonts w:ascii="宋体" w:hAnsi="宋体" w:cs="宋体"/>
              </w:rPr>
            </w:pPr>
            <w:r>
              <w:rPr>
                <w:rFonts w:hint="eastAsia" w:ascii="宋体" w:hAnsi="宋体" w:cs="宋体"/>
              </w:rPr>
              <w:t>根据各响应单位针对本项目提供的方案内容（报告大纲、问卷、实施流程、人员配置、管理机制、质量保障等）完整程度、细节全面性，措施合理性等综合评判，优秀得20-</w:t>
            </w:r>
            <w:r>
              <w:rPr>
                <w:rFonts w:ascii="宋体" w:hAnsi="宋体" w:cs="宋体"/>
              </w:rPr>
              <w:t>30分</w:t>
            </w:r>
            <w:r>
              <w:rPr>
                <w:rFonts w:hint="eastAsia" w:ascii="宋体" w:hAnsi="宋体" w:cs="宋体"/>
              </w:rPr>
              <w:t>，良得10-2</w:t>
            </w:r>
            <w:r>
              <w:rPr>
                <w:rFonts w:ascii="宋体" w:hAnsi="宋体" w:cs="宋体"/>
              </w:rPr>
              <w:t>0</w:t>
            </w:r>
            <w:r>
              <w:rPr>
                <w:rFonts w:hint="eastAsia" w:ascii="宋体" w:hAnsi="宋体" w:cs="宋体"/>
              </w:rPr>
              <w:t>分；中得1-</w:t>
            </w:r>
            <w:r>
              <w:rPr>
                <w:rFonts w:ascii="宋体" w:hAnsi="宋体" w:cs="宋体"/>
              </w:rPr>
              <w:t>10分</w:t>
            </w:r>
            <w:r>
              <w:rPr>
                <w:rFonts w:hint="eastAsia" w:ascii="宋体" w:hAnsi="宋体" w:cs="宋体"/>
              </w:rPr>
              <w:t>，</w:t>
            </w:r>
            <w:r>
              <w:rPr>
                <w:rFonts w:ascii="宋体" w:hAnsi="宋体" w:cs="宋体"/>
              </w:rPr>
              <w:t>差</w:t>
            </w:r>
            <w:r>
              <w:rPr>
                <w:rFonts w:hint="eastAsia" w:ascii="宋体" w:hAnsi="宋体" w:cs="宋体"/>
              </w:rPr>
              <w:t>得0分。</w:t>
            </w:r>
          </w:p>
        </w:tc>
        <w:tc>
          <w:tcPr>
            <w:tcW w:w="1785" w:type="dxa"/>
            <w:vAlign w:val="center"/>
          </w:tcPr>
          <w:p>
            <w:pPr>
              <w:spacing w:line="380" w:lineRule="exact"/>
              <w:rPr>
                <w:rFonts w:ascii="宋体" w:hAnsi="宋体" w:cs="宋体"/>
              </w:rPr>
            </w:pPr>
            <w:r>
              <w:rPr>
                <w:rFonts w:hint="eastAsia" w:ascii="宋体" w:hAnsi="宋体" w:cs="宋体"/>
              </w:rPr>
              <w:t>服务方案加盖公章，装订在磋商响应文件内。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8" w:hRule="atLeast"/>
        </w:trPr>
        <w:tc>
          <w:tcPr>
            <w:tcW w:w="852"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宋体" w:hAnsi="宋体"/>
                <w:color w:val="000000"/>
                <w:highlight w:val="white"/>
              </w:rPr>
            </w:pPr>
            <w:r>
              <w:rPr>
                <w:rFonts w:hint="eastAsia" w:ascii="宋体" w:hAnsi="宋体"/>
                <w:color w:val="000000"/>
                <w:highlight w:val="white"/>
              </w:rPr>
              <w:t xml:space="preserve"> 研究成果</w:t>
            </w:r>
          </w:p>
        </w:tc>
        <w:tc>
          <w:tcPr>
            <w:tcW w:w="735"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宋体" w:hAnsi="宋体" w:cs="宋体"/>
                <w:color w:val="000000"/>
              </w:rPr>
            </w:pPr>
            <w:r>
              <w:rPr>
                <w:rFonts w:hint="eastAsia" w:ascii="宋体" w:hAnsi="宋体"/>
                <w:color w:val="000000"/>
                <w:highlight w:val="white"/>
              </w:rPr>
              <w:t>10分</w:t>
            </w:r>
          </w:p>
        </w:tc>
        <w:tc>
          <w:tcPr>
            <w:tcW w:w="5475" w:type="dxa"/>
            <w:tcBorders>
              <w:top w:val="single" w:color="auto" w:sz="4" w:space="0"/>
              <w:left w:val="single" w:color="auto" w:sz="4" w:space="0"/>
              <w:bottom w:val="single" w:color="auto" w:sz="4" w:space="0"/>
              <w:right w:val="single" w:color="auto" w:sz="4" w:space="0"/>
            </w:tcBorders>
            <w:vAlign w:val="center"/>
          </w:tcPr>
          <w:p>
            <w:pPr>
              <w:spacing w:line="380" w:lineRule="exact"/>
              <w:rPr>
                <w:rFonts w:ascii="宋体" w:hAnsi="宋体"/>
                <w:color w:val="000000"/>
                <w:highlight w:val="white"/>
              </w:rPr>
            </w:pPr>
            <w:r>
              <w:rPr>
                <w:rFonts w:hint="eastAsia" w:ascii="宋体" w:hAnsi="宋体"/>
                <w:color w:val="000000"/>
                <w:highlight w:val="white"/>
              </w:rPr>
              <w:t>1.供应商与</w:t>
            </w:r>
            <w:bookmarkStart w:id="18" w:name="OLE_LINK15"/>
            <w:r>
              <w:rPr>
                <w:rFonts w:hint="eastAsia" w:ascii="宋体" w:hAnsi="宋体"/>
                <w:color w:val="000000"/>
                <w:highlight w:val="white"/>
              </w:rPr>
              <w:t>本采购项目类似的研究成果能够被教育部引用或权威媒体报道</w:t>
            </w:r>
            <w:bookmarkEnd w:id="18"/>
            <w:r>
              <w:rPr>
                <w:rFonts w:hint="eastAsia" w:ascii="宋体" w:hAnsi="宋体"/>
                <w:color w:val="000000"/>
                <w:highlight w:val="white"/>
              </w:rPr>
              <w:t>（包括教育部、新浪、搜狐、人民网、腾讯、网易、光明日报等一线权威媒体），有一项得1分，最多</w:t>
            </w:r>
            <w:r>
              <w:rPr>
                <w:rFonts w:ascii="宋体" w:hAnsi="宋体"/>
                <w:color w:val="000000"/>
                <w:highlight w:val="white"/>
              </w:rPr>
              <w:t>5</w:t>
            </w:r>
            <w:r>
              <w:rPr>
                <w:rFonts w:hint="eastAsia" w:ascii="宋体" w:hAnsi="宋体"/>
                <w:color w:val="000000"/>
                <w:highlight w:val="white"/>
              </w:rPr>
              <w:t>分。</w:t>
            </w:r>
          </w:p>
          <w:p>
            <w:pPr>
              <w:spacing w:line="380" w:lineRule="exact"/>
            </w:pPr>
            <w:r>
              <w:rPr>
                <w:rFonts w:hint="eastAsia" w:ascii="宋体" w:hAnsi="宋体"/>
                <w:color w:val="000000"/>
                <w:highlight w:val="white"/>
              </w:rPr>
              <w:t>2.供应商能够提供与本项目相关的公开出版物或核心期刊证明研发能力及先进性，满足得5分，不满足得0分</w:t>
            </w:r>
            <w:r>
              <w:rPr>
                <w:rFonts w:hint="eastAsia" w:ascii="宋体" w:hAnsi="宋体"/>
                <w:color w:val="000000"/>
              </w:rPr>
              <w:t>。</w:t>
            </w:r>
            <w:r>
              <w:rPr>
                <w:rFonts w:ascii="宋体" w:hAnsi="宋体" w:cs="宋体"/>
                <w:kern w:val="0"/>
                <w:sz w:val="24"/>
              </w:rPr>
              <w:t xml:space="preserve"> </w:t>
            </w:r>
          </w:p>
        </w:tc>
        <w:tc>
          <w:tcPr>
            <w:tcW w:w="1785"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left"/>
              <w:rPr>
                <w:rFonts w:ascii="宋体" w:hAnsi="宋体"/>
                <w:color w:val="000000"/>
                <w:highlight w:val="white"/>
              </w:rPr>
            </w:pPr>
            <w:r>
              <w:rPr>
                <w:rFonts w:hint="eastAsia" w:ascii="宋体" w:hAnsi="宋体"/>
                <w:color w:val="000000"/>
                <w:highlight w:val="white"/>
              </w:rPr>
              <w:t>提供相关证明材料加盖公章，装订在磋商响应文件内（如网上截图、出版物中相关内容等）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8" w:hRule="atLeast"/>
        </w:trPr>
        <w:tc>
          <w:tcPr>
            <w:tcW w:w="852"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宋体" w:hAnsi="宋体"/>
                <w:color w:val="000000"/>
                <w:highlight w:val="white"/>
              </w:rPr>
            </w:pPr>
            <w:r>
              <w:rPr>
                <w:rFonts w:hint="eastAsia" w:ascii="宋体" w:hAnsi="宋体"/>
                <w:color w:val="000000"/>
                <w:highlight w:val="white"/>
              </w:rPr>
              <w:t>项目知识产权保障</w:t>
            </w:r>
          </w:p>
        </w:tc>
        <w:tc>
          <w:tcPr>
            <w:tcW w:w="735"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宋体" w:hAnsi="宋体"/>
                <w:color w:val="000000"/>
                <w:highlight w:val="white"/>
              </w:rPr>
            </w:pPr>
            <w:r>
              <w:rPr>
                <w:rFonts w:hint="eastAsia" w:ascii="宋体" w:hAnsi="宋体"/>
                <w:color w:val="000000"/>
                <w:highlight w:val="white"/>
              </w:rPr>
              <w:t>14分</w:t>
            </w:r>
          </w:p>
        </w:tc>
        <w:tc>
          <w:tcPr>
            <w:tcW w:w="5475" w:type="dxa"/>
            <w:tcBorders>
              <w:top w:val="single" w:color="auto" w:sz="4" w:space="0"/>
              <w:left w:val="single" w:color="auto" w:sz="4" w:space="0"/>
              <w:bottom w:val="single" w:color="auto" w:sz="4" w:space="0"/>
              <w:right w:val="single" w:color="auto" w:sz="4" w:space="0"/>
            </w:tcBorders>
            <w:vAlign w:val="center"/>
          </w:tcPr>
          <w:p>
            <w:pPr>
              <w:spacing w:line="380" w:lineRule="exact"/>
              <w:rPr>
                <w:rFonts w:ascii="宋体" w:hAnsi="宋体"/>
                <w:color w:val="000000"/>
                <w:highlight w:val="white"/>
              </w:rPr>
            </w:pPr>
            <w:r>
              <w:rPr>
                <w:rFonts w:hint="eastAsia" w:ascii="宋体" w:hAnsi="宋体"/>
                <w:color w:val="000000"/>
                <w:highlight w:val="white"/>
              </w:rPr>
              <w:t>1.为保证供应商对所提供的产品拥有完全的知识产权，需要提供“数据调研、数据分析、报告撰写系统、就业质量数据结果呈现系统</w:t>
            </w:r>
            <w:r>
              <w:rPr>
                <w:rFonts w:ascii="宋体" w:hAnsi="宋体"/>
                <w:color w:val="000000"/>
                <w:highlight w:val="white"/>
              </w:rPr>
              <w:t>”</w:t>
            </w:r>
            <w:r>
              <w:rPr>
                <w:rFonts w:hint="eastAsia" w:ascii="宋体" w:hAnsi="宋体"/>
                <w:color w:val="000000"/>
                <w:highlight w:val="white"/>
              </w:rPr>
              <w:t>或具有相同功能的软件著作权登记证书，满足1项得</w:t>
            </w:r>
            <w:r>
              <w:rPr>
                <w:rFonts w:ascii="宋体" w:hAnsi="宋体"/>
                <w:color w:val="000000"/>
                <w:highlight w:val="white"/>
              </w:rPr>
              <w:t>2</w:t>
            </w:r>
            <w:r>
              <w:rPr>
                <w:rFonts w:hint="eastAsia" w:ascii="宋体" w:hAnsi="宋体"/>
                <w:color w:val="000000"/>
                <w:highlight w:val="white"/>
              </w:rPr>
              <w:t>分，最多</w:t>
            </w:r>
            <w:r>
              <w:rPr>
                <w:rFonts w:ascii="宋体" w:hAnsi="宋体"/>
                <w:color w:val="000000"/>
                <w:highlight w:val="white"/>
              </w:rPr>
              <w:t>8</w:t>
            </w:r>
            <w:r>
              <w:rPr>
                <w:rFonts w:hint="eastAsia" w:ascii="宋体" w:hAnsi="宋体"/>
                <w:color w:val="000000"/>
                <w:highlight w:val="white"/>
              </w:rPr>
              <w:t>分。</w:t>
            </w:r>
          </w:p>
          <w:p>
            <w:pPr>
              <w:spacing w:line="380" w:lineRule="exact"/>
              <w:rPr>
                <w:rFonts w:ascii="宋体" w:hAnsi="宋体"/>
                <w:color w:val="000000"/>
                <w:highlight w:val="white"/>
              </w:rPr>
            </w:pPr>
            <w:r>
              <w:rPr>
                <w:rFonts w:ascii="宋体" w:hAnsi="宋体"/>
                <w:color w:val="000000"/>
                <w:highlight w:val="white"/>
              </w:rPr>
              <w:t>2</w:t>
            </w:r>
            <w:r>
              <w:rPr>
                <w:rFonts w:hint="eastAsia" w:ascii="宋体" w:hAnsi="宋体"/>
                <w:color w:val="000000"/>
                <w:highlight w:val="white"/>
              </w:rPr>
              <w:t>.</w:t>
            </w:r>
            <w:r>
              <w:rPr>
                <w:rFonts w:ascii="宋体" w:hAnsi="宋体"/>
                <w:color w:val="000000"/>
                <w:highlight w:val="white"/>
              </w:rPr>
              <w:t>具有</w:t>
            </w:r>
            <w:r>
              <w:rPr>
                <w:rFonts w:hint="eastAsia" w:ascii="宋体" w:hAnsi="宋体"/>
                <w:color w:val="000000"/>
                <w:highlight w:val="white"/>
              </w:rPr>
              <w:t>有效期内的质量管理体系认证证书</w:t>
            </w:r>
            <w:r>
              <w:rPr>
                <w:rFonts w:ascii="宋体" w:hAnsi="宋体"/>
                <w:color w:val="000000"/>
                <w:highlight w:val="white"/>
              </w:rPr>
              <w:t>得2</w:t>
            </w:r>
            <w:r>
              <w:rPr>
                <w:rFonts w:hint="eastAsia" w:ascii="宋体" w:hAnsi="宋体"/>
                <w:color w:val="000000"/>
                <w:highlight w:val="white"/>
              </w:rPr>
              <w:t>分，没有不得分</w:t>
            </w:r>
            <w:r>
              <w:rPr>
                <w:rFonts w:ascii="宋体" w:hAnsi="宋体"/>
                <w:color w:val="000000"/>
                <w:highlight w:val="white"/>
              </w:rPr>
              <w:t>。</w:t>
            </w:r>
          </w:p>
          <w:p>
            <w:pPr>
              <w:spacing w:line="380" w:lineRule="exact"/>
              <w:rPr>
                <w:rFonts w:ascii="宋体" w:hAnsi="宋体"/>
                <w:color w:val="000000"/>
                <w:highlight w:val="white"/>
              </w:rPr>
            </w:pPr>
            <w:r>
              <w:rPr>
                <w:rFonts w:ascii="宋体" w:hAnsi="宋体"/>
                <w:color w:val="000000"/>
                <w:highlight w:val="white"/>
              </w:rPr>
              <w:t>3</w:t>
            </w:r>
            <w:r>
              <w:rPr>
                <w:rFonts w:hint="eastAsia" w:ascii="宋体" w:hAnsi="宋体"/>
                <w:color w:val="000000"/>
                <w:highlight w:val="white"/>
              </w:rPr>
              <w:t>.具有有效期内的信息安全管理体系认证证书得</w:t>
            </w:r>
            <w:r>
              <w:rPr>
                <w:rFonts w:ascii="宋体" w:hAnsi="宋体"/>
                <w:color w:val="000000"/>
                <w:highlight w:val="white"/>
              </w:rPr>
              <w:t>2</w:t>
            </w:r>
            <w:r>
              <w:rPr>
                <w:rFonts w:hint="eastAsia" w:ascii="宋体" w:hAnsi="宋体"/>
                <w:color w:val="000000"/>
                <w:highlight w:val="white"/>
              </w:rPr>
              <w:t>分</w:t>
            </w:r>
            <w:r>
              <w:rPr>
                <w:rFonts w:ascii="宋体" w:hAnsi="宋体"/>
                <w:color w:val="000000"/>
                <w:highlight w:val="white"/>
              </w:rPr>
              <w:t>，</w:t>
            </w:r>
            <w:r>
              <w:rPr>
                <w:rFonts w:hint="eastAsia" w:ascii="宋体" w:hAnsi="宋体"/>
                <w:color w:val="000000"/>
                <w:highlight w:val="white"/>
              </w:rPr>
              <w:t>没有不得分</w:t>
            </w:r>
            <w:r>
              <w:rPr>
                <w:rFonts w:ascii="宋体" w:hAnsi="宋体"/>
                <w:color w:val="000000"/>
                <w:highlight w:val="white"/>
              </w:rPr>
              <w:t>。</w:t>
            </w:r>
          </w:p>
          <w:p>
            <w:pPr>
              <w:spacing w:line="380" w:lineRule="exact"/>
              <w:rPr>
                <w:rFonts w:ascii="宋体" w:hAnsi="宋体"/>
                <w:color w:val="000000"/>
                <w:highlight w:val="white"/>
              </w:rPr>
            </w:pPr>
            <w:r>
              <w:rPr>
                <w:rFonts w:ascii="宋体" w:hAnsi="宋体"/>
                <w:color w:val="000000"/>
                <w:highlight w:val="white"/>
              </w:rPr>
              <w:t>4</w:t>
            </w:r>
            <w:r>
              <w:rPr>
                <w:rFonts w:hint="eastAsia" w:ascii="宋体" w:hAnsi="宋体"/>
                <w:color w:val="000000"/>
                <w:highlight w:val="white"/>
              </w:rPr>
              <w:t>.具有</w:t>
            </w:r>
            <w:r>
              <w:rPr>
                <w:rFonts w:ascii="宋体" w:hAnsi="宋体"/>
                <w:color w:val="000000"/>
                <w:highlight w:val="white"/>
              </w:rPr>
              <w:t>重合同守信用</w:t>
            </w:r>
            <w:r>
              <w:rPr>
                <w:rFonts w:hint="eastAsia" w:ascii="宋体" w:hAnsi="宋体"/>
                <w:color w:val="000000"/>
                <w:highlight w:val="white"/>
              </w:rPr>
              <w:t>相关</w:t>
            </w:r>
            <w:r>
              <w:rPr>
                <w:rFonts w:ascii="宋体" w:hAnsi="宋体"/>
                <w:color w:val="000000"/>
                <w:highlight w:val="white"/>
              </w:rPr>
              <w:t>证明文件得</w:t>
            </w:r>
            <w:r>
              <w:rPr>
                <w:rFonts w:hint="eastAsia" w:ascii="宋体" w:hAnsi="宋体"/>
                <w:color w:val="000000"/>
                <w:highlight w:val="white"/>
              </w:rPr>
              <w:t>2分，没有不得分。</w:t>
            </w:r>
          </w:p>
        </w:tc>
        <w:tc>
          <w:tcPr>
            <w:tcW w:w="1785" w:type="dxa"/>
            <w:tcBorders>
              <w:top w:val="single" w:color="auto" w:sz="4" w:space="0"/>
              <w:left w:val="single" w:color="auto" w:sz="4" w:space="0"/>
              <w:bottom w:val="single" w:color="auto" w:sz="4" w:space="0"/>
              <w:right w:val="single" w:color="auto" w:sz="4" w:space="0"/>
            </w:tcBorders>
            <w:vAlign w:val="center"/>
          </w:tcPr>
          <w:p>
            <w:pPr>
              <w:spacing w:line="380" w:lineRule="exact"/>
              <w:rPr>
                <w:rFonts w:ascii="宋体" w:hAnsi="宋体"/>
                <w:color w:val="000000"/>
                <w:highlight w:val="white"/>
              </w:rPr>
            </w:pPr>
            <w:r>
              <w:rPr>
                <w:rFonts w:hint="eastAsia" w:ascii="宋体" w:hAnsi="宋体"/>
                <w:color w:val="000000"/>
                <w:highlight w:val="white"/>
              </w:rPr>
              <w:t>提供证书复印件及相关证明材料加盖公章，装订在磋商响应文件内。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8" w:hRule="atLeast"/>
        </w:trPr>
        <w:tc>
          <w:tcPr>
            <w:tcW w:w="852"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宋体" w:hAnsi="宋体"/>
                <w:color w:val="000000"/>
                <w:highlight w:val="white"/>
              </w:rPr>
            </w:pPr>
            <w:r>
              <w:rPr>
                <w:rFonts w:hint="eastAsia" w:ascii="宋体" w:hAnsi="宋体"/>
                <w:bCs/>
                <w:color w:val="000000"/>
                <w:highlight w:val="white"/>
              </w:rPr>
              <w:t>数据结果呈现系统</w:t>
            </w:r>
          </w:p>
        </w:tc>
        <w:tc>
          <w:tcPr>
            <w:tcW w:w="735"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宋体" w:hAnsi="宋体"/>
                <w:color w:val="000000"/>
              </w:rPr>
            </w:pPr>
            <w:r>
              <w:rPr>
                <w:rFonts w:hint="eastAsia" w:ascii="宋体" w:hAnsi="宋体"/>
                <w:color w:val="000000"/>
              </w:rPr>
              <w:t>8分</w:t>
            </w:r>
          </w:p>
        </w:tc>
        <w:tc>
          <w:tcPr>
            <w:tcW w:w="5475" w:type="dxa"/>
            <w:tcBorders>
              <w:top w:val="single" w:color="auto" w:sz="4" w:space="0"/>
              <w:left w:val="single" w:color="auto" w:sz="4" w:space="0"/>
              <w:bottom w:val="single" w:color="auto" w:sz="4" w:space="0"/>
              <w:right w:val="single" w:color="auto" w:sz="4" w:space="0"/>
            </w:tcBorders>
            <w:vAlign w:val="center"/>
          </w:tcPr>
          <w:p>
            <w:pPr>
              <w:widowControl/>
              <w:spacing w:line="380" w:lineRule="exact"/>
              <w:rPr>
                <w:rFonts w:ascii="宋体" w:hAnsi="宋体" w:cs="宋体"/>
                <w:bCs/>
                <w:color w:val="000000"/>
                <w:kern w:val="0"/>
              </w:rPr>
            </w:pPr>
            <w:r>
              <w:rPr>
                <w:rFonts w:hint="eastAsia" w:ascii="宋体" w:hAnsi="宋体" w:cs="宋体"/>
                <w:bCs/>
                <w:color w:val="000000"/>
                <w:kern w:val="0"/>
              </w:rPr>
              <w:t>1.系统预设指标体系全面覆盖高校招生、就业、学生工作、课程建设、师资队伍、教育教学等主要工作；</w:t>
            </w:r>
          </w:p>
          <w:p>
            <w:pPr>
              <w:widowControl/>
              <w:spacing w:line="380" w:lineRule="exact"/>
              <w:rPr>
                <w:rFonts w:ascii="宋体" w:hAnsi="宋体" w:cs="宋体"/>
                <w:bCs/>
                <w:color w:val="000000"/>
                <w:kern w:val="0"/>
              </w:rPr>
            </w:pPr>
            <w:r>
              <w:rPr>
                <w:rFonts w:hint="eastAsia" w:ascii="宋体" w:hAnsi="宋体" w:cs="宋体"/>
                <w:bCs/>
                <w:color w:val="000000"/>
                <w:kern w:val="0"/>
              </w:rPr>
              <w:t>2.数据图形化以雷达图、柱状图、条形图、数据表等各类图表综合、直观展现数据结果；</w:t>
            </w:r>
          </w:p>
          <w:p>
            <w:pPr>
              <w:widowControl/>
              <w:spacing w:line="380" w:lineRule="exact"/>
              <w:rPr>
                <w:rFonts w:ascii="宋体" w:hAnsi="宋体" w:cs="宋体"/>
                <w:bCs/>
                <w:color w:val="000000"/>
                <w:kern w:val="0"/>
              </w:rPr>
            </w:pPr>
            <w:r>
              <w:rPr>
                <w:rFonts w:hint="eastAsia" w:ascii="宋体" w:hAnsi="宋体" w:cs="宋体"/>
                <w:bCs/>
                <w:color w:val="000000"/>
                <w:kern w:val="0"/>
              </w:rPr>
              <w:t>3.通过点击相关指标点和数据点，可以直接下钻到该指标的下一级指标。逐层下钻，可以深入了解到各项指标的详细情况；</w:t>
            </w:r>
          </w:p>
          <w:p>
            <w:pPr>
              <w:widowControl/>
              <w:spacing w:line="380" w:lineRule="exact"/>
              <w:rPr>
                <w:rFonts w:ascii="宋体" w:hAnsi="宋体" w:cs="宋体"/>
                <w:bCs/>
                <w:color w:val="000000"/>
                <w:kern w:val="0"/>
              </w:rPr>
            </w:pPr>
            <w:r>
              <w:rPr>
                <w:rFonts w:ascii="宋体" w:hAnsi="宋体" w:cs="宋体"/>
                <w:bCs/>
                <w:color w:val="000000"/>
                <w:kern w:val="0"/>
              </w:rPr>
              <w:t>4</w:t>
            </w:r>
            <w:r>
              <w:rPr>
                <w:rFonts w:hint="eastAsia" w:ascii="宋体" w:hAnsi="宋体" w:cs="宋体"/>
                <w:bCs/>
                <w:color w:val="000000"/>
                <w:kern w:val="0"/>
              </w:rPr>
              <w:t>.系统可自动生成对应专业的数据结果，通过系统，可以直观、清晰地监测对各个专业的各项工作评价。</w:t>
            </w:r>
          </w:p>
          <w:p>
            <w:pPr>
              <w:widowControl/>
              <w:spacing w:line="380" w:lineRule="exact"/>
              <w:rPr>
                <w:rFonts w:ascii="宋体" w:hAnsi="宋体" w:cs="宋体"/>
                <w:color w:val="000000"/>
                <w:kern w:val="0"/>
              </w:rPr>
            </w:pPr>
            <w:r>
              <w:rPr>
                <w:rFonts w:hint="eastAsia" w:ascii="宋体" w:hAnsi="宋体" w:cs="宋体"/>
                <w:bCs/>
                <w:color w:val="000000"/>
                <w:kern w:val="0"/>
              </w:rPr>
              <w:t>满足一条得2分，最高得8分。</w:t>
            </w:r>
          </w:p>
        </w:tc>
        <w:tc>
          <w:tcPr>
            <w:tcW w:w="1785" w:type="dxa"/>
            <w:tcBorders>
              <w:top w:val="single" w:color="auto" w:sz="4" w:space="0"/>
              <w:left w:val="single" w:color="auto" w:sz="4" w:space="0"/>
              <w:bottom w:val="single" w:color="auto" w:sz="4" w:space="0"/>
              <w:right w:val="single" w:color="auto" w:sz="4" w:space="0"/>
            </w:tcBorders>
            <w:vAlign w:val="center"/>
          </w:tcPr>
          <w:p>
            <w:pPr>
              <w:widowControl/>
              <w:spacing w:line="380" w:lineRule="exact"/>
              <w:rPr>
                <w:rFonts w:ascii="宋体" w:hAnsi="宋体" w:cs="宋体"/>
                <w:bCs/>
                <w:color w:val="000000"/>
                <w:kern w:val="0"/>
              </w:rPr>
            </w:pPr>
            <w:r>
              <w:rPr>
                <w:rFonts w:hint="eastAsia" w:ascii="宋体" w:hAnsi="宋体" w:cs="宋体"/>
                <w:bCs/>
                <w:color w:val="000000"/>
                <w:kern w:val="0"/>
              </w:rPr>
              <w:t>提供承诺函及其他相关证明材料加盖公章，</w:t>
            </w:r>
            <w:r>
              <w:rPr>
                <w:rFonts w:hint="eastAsia" w:ascii="宋体" w:hAnsi="宋体"/>
                <w:color w:val="000000"/>
                <w:highlight w:val="white"/>
              </w:rPr>
              <w:t>装订在磋商响应文件内</w:t>
            </w:r>
            <w:r>
              <w:rPr>
                <w:rFonts w:hint="eastAsia" w:ascii="宋体" w:hAns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6" w:hRule="atLeast"/>
        </w:trPr>
        <w:tc>
          <w:tcPr>
            <w:tcW w:w="852" w:type="dxa"/>
            <w:tcBorders>
              <w:top w:val="single" w:color="auto" w:sz="4" w:space="0"/>
              <w:left w:val="single" w:color="auto" w:sz="4" w:space="0"/>
              <w:right w:val="single" w:color="auto" w:sz="4" w:space="0"/>
            </w:tcBorders>
            <w:vAlign w:val="center"/>
          </w:tcPr>
          <w:p>
            <w:pPr>
              <w:spacing w:line="380" w:lineRule="exact"/>
              <w:jc w:val="center"/>
              <w:rPr>
                <w:rFonts w:ascii="宋体" w:hAnsi="宋体"/>
                <w:color w:val="000000"/>
                <w:highlight w:val="white"/>
              </w:rPr>
            </w:pPr>
            <w:r>
              <w:rPr>
                <w:rFonts w:hint="eastAsia" w:ascii="宋体" w:hAnsi="宋体"/>
                <w:color w:val="000000"/>
                <w:highlight w:val="white"/>
              </w:rPr>
              <w:t>业绩</w:t>
            </w:r>
          </w:p>
          <w:p>
            <w:pPr>
              <w:spacing w:line="380" w:lineRule="exact"/>
              <w:jc w:val="center"/>
              <w:rPr>
                <w:rFonts w:ascii="宋体" w:hAnsi="宋体"/>
                <w:color w:val="000000"/>
                <w:highlight w:val="white"/>
              </w:rPr>
            </w:pPr>
            <w:r>
              <w:rPr>
                <w:rFonts w:hint="eastAsia" w:ascii="宋体" w:hAnsi="宋体"/>
                <w:color w:val="000000"/>
                <w:highlight w:val="white"/>
              </w:rPr>
              <w:t>合作经验</w:t>
            </w:r>
          </w:p>
        </w:tc>
        <w:tc>
          <w:tcPr>
            <w:tcW w:w="735" w:type="dxa"/>
            <w:tcBorders>
              <w:top w:val="single" w:color="auto" w:sz="4" w:space="0"/>
              <w:left w:val="single" w:color="auto" w:sz="4" w:space="0"/>
              <w:right w:val="single" w:color="auto" w:sz="4" w:space="0"/>
            </w:tcBorders>
            <w:vAlign w:val="center"/>
          </w:tcPr>
          <w:p>
            <w:pPr>
              <w:spacing w:line="380" w:lineRule="exact"/>
              <w:jc w:val="center"/>
              <w:rPr>
                <w:rFonts w:ascii="宋体" w:hAnsi="宋体" w:cs="宋体"/>
                <w:color w:val="000000"/>
              </w:rPr>
            </w:pPr>
            <w:r>
              <w:rPr>
                <w:rFonts w:hint="eastAsia" w:ascii="宋体" w:hAnsi="宋体"/>
                <w:color w:val="000000"/>
              </w:rPr>
              <w:t>2</w:t>
            </w:r>
            <w:r>
              <w:rPr>
                <w:rFonts w:ascii="宋体" w:hAnsi="宋体"/>
                <w:color w:val="000000"/>
              </w:rPr>
              <w:t>0</w:t>
            </w:r>
            <w:r>
              <w:rPr>
                <w:rFonts w:hint="eastAsia" w:ascii="宋体" w:hAnsi="宋体"/>
                <w:color w:val="000000"/>
              </w:rPr>
              <w:t>分</w:t>
            </w:r>
          </w:p>
        </w:tc>
        <w:tc>
          <w:tcPr>
            <w:tcW w:w="5475" w:type="dxa"/>
            <w:tcBorders>
              <w:top w:val="single" w:color="auto" w:sz="4" w:space="0"/>
              <w:left w:val="single" w:color="auto" w:sz="4" w:space="0"/>
              <w:right w:val="single" w:color="auto" w:sz="4" w:space="0"/>
            </w:tcBorders>
            <w:vAlign w:val="center"/>
          </w:tcPr>
          <w:p>
            <w:pPr>
              <w:spacing w:line="380" w:lineRule="exact"/>
              <w:rPr>
                <w:rFonts w:ascii="宋体" w:hAnsi="宋体"/>
                <w:color w:val="000000"/>
                <w:highlight w:val="white"/>
              </w:rPr>
            </w:pPr>
            <w:r>
              <w:rPr>
                <w:rFonts w:hint="eastAsia" w:ascii="宋体" w:hAnsi="宋体"/>
                <w:color w:val="000000"/>
                <w:highlight w:val="white"/>
              </w:rPr>
              <w:t>1.供应商与</w:t>
            </w:r>
            <w:bookmarkStart w:id="19" w:name="OLE_LINK18"/>
            <w:r>
              <w:rPr>
                <w:rFonts w:hint="eastAsia" w:ascii="宋体" w:hAnsi="宋体"/>
                <w:color w:val="000000"/>
                <w:highlight w:val="white"/>
              </w:rPr>
              <w:t>教育部、省级以上教育主管部门开展过类似调研项目或</w:t>
            </w:r>
            <w:bookmarkStart w:id="20" w:name="OLE_LINK17"/>
            <w:r>
              <w:rPr>
                <w:rFonts w:hint="eastAsia" w:ascii="宋体" w:hAnsi="宋体"/>
                <w:color w:val="000000"/>
                <w:highlight w:val="white"/>
              </w:rPr>
              <w:t>与全国985/211院校开展过</w:t>
            </w:r>
            <w:bookmarkEnd w:id="19"/>
            <w:r>
              <w:rPr>
                <w:rFonts w:hint="eastAsia" w:ascii="宋体" w:hAnsi="宋体"/>
                <w:color w:val="000000"/>
                <w:highlight w:val="white"/>
              </w:rPr>
              <w:t>类似调研项目合作，有一项得</w:t>
            </w:r>
            <w:r>
              <w:rPr>
                <w:rFonts w:ascii="宋体" w:hAnsi="宋体"/>
                <w:color w:val="000000"/>
                <w:highlight w:val="white"/>
              </w:rPr>
              <w:t>2</w:t>
            </w:r>
            <w:r>
              <w:rPr>
                <w:rFonts w:hint="eastAsia" w:ascii="宋体" w:hAnsi="宋体"/>
                <w:color w:val="000000"/>
                <w:highlight w:val="white"/>
              </w:rPr>
              <w:t>分，最多得</w:t>
            </w:r>
            <w:r>
              <w:rPr>
                <w:rFonts w:ascii="宋体" w:hAnsi="宋体"/>
                <w:color w:val="000000"/>
                <w:highlight w:val="white"/>
              </w:rPr>
              <w:t>10</w:t>
            </w:r>
            <w:r>
              <w:rPr>
                <w:rFonts w:hint="eastAsia" w:ascii="宋体" w:hAnsi="宋体"/>
                <w:color w:val="000000"/>
                <w:highlight w:val="white"/>
              </w:rPr>
              <w:t>分</w:t>
            </w:r>
            <w:bookmarkEnd w:id="20"/>
            <w:r>
              <w:rPr>
                <w:rFonts w:hint="eastAsia" w:ascii="宋体" w:hAnsi="宋体"/>
                <w:color w:val="000000"/>
                <w:highlight w:val="white"/>
              </w:rPr>
              <w:t>。</w:t>
            </w:r>
          </w:p>
          <w:p>
            <w:pPr>
              <w:spacing w:line="380" w:lineRule="exact"/>
              <w:rPr>
                <w:rFonts w:ascii="宋体" w:hAnsi="宋体"/>
                <w:color w:val="000000"/>
                <w:highlight w:val="white"/>
              </w:rPr>
            </w:pPr>
            <w:r>
              <w:rPr>
                <w:rFonts w:hint="eastAsia" w:ascii="宋体" w:hAnsi="宋体"/>
                <w:color w:val="000000"/>
                <w:highlight w:val="white"/>
              </w:rPr>
              <w:t>2.供应商近三年与本科院校合作完成的类似项目业绩情况，每提供1份业绩证明材料得1分，满分10分。</w:t>
            </w:r>
          </w:p>
        </w:tc>
        <w:tc>
          <w:tcPr>
            <w:tcW w:w="1785" w:type="dxa"/>
            <w:tcBorders>
              <w:top w:val="single" w:color="auto" w:sz="4" w:space="0"/>
              <w:left w:val="single" w:color="auto" w:sz="4" w:space="0"/>
              <w:right w:val="single" w:color="auto" w:sz="4" w:space="0"/>
            </w:tcBorders>
            <w:vAlign w:val="center"/>
          </w:tcPr>
          <w:p>
            <w:pPr>
              <w:spacing w:line="380" w:lineRule="exact"/>
              <w:rPr>
                <w:rFonts w:ascii="宋体" w:hAnsi="宋体"/>
                <w:color w:val="000000"/>
                <w:highlight w:val="white"/>
              </w:rPr>
            </w:pPr>
            <w:r>
              <w:rPr>
                <w:rFonts w:hint="eastAsia" w:ascii="宋体" w:hAnsi="宋体"/>
                <w:color w:val="000000"/>
                <w:highlight w:val="white"/>
              </w:rPr>
              <w:t>提供合同复印件加盖公章，装订在磋商响应文件内。（合同复印件应能辨识买卖双方公章、合作内容等，否则不得分）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52" w:hRule="atLeast"/>
        </w:trPr>
        <w:tc>
          <w:tcPr>
            <w:tcW w:w="852" w:type="dxa"/>
            <w:tcBorders>
              <w:top w:val="single" w:color="auto" w:sz="4" w:space="0"/>
              <w:left w:val="single" w:color="auto" w:sz="4" w:space="0"/>
              <w:right w:val="single" w:color="auto" w:sz="4" w:space="0"/>
            </w:tcBorders>
            <w:vAlign w:val="center"/>
          </w:tcPr>
          <w:p>
            <w:pPr>
              <w:spacing w:line="380" w:lineRule="exact"/>
              <w:jc w:val="center"/>
              <w:rPr>
                <w:rFonts w:ascii="宋体" w:hAnsi="宋体" w:cs="宋体"/>
              </w:rPr>
            </w:pPr>
            <w:r>
              <w:rPr>
                <w:rFonts w:hint="eastAsia" w:ascii="宋体" w:hAnsi="宋体" w:cs="宋体"/>
              </w:rPr>
              <w:t>售后服务</w:t>
            </w:r>
          </w:p>
        </w:tc>
        <w:tc>
          <w:tcPr>
            <w:tcW w:w="735" w:type="dxa"/>
            <w:tcBorders>
              <w:top w:val="single" w:color="auto" w:sz="4" w:space="0"/>
              <w:left w:val="single" w:color="auto" w:sz="4" w:space="0"/>
              <w:right w:val="single" w:color="auto" w:sz="4" w:space="0"/>
            </w:tcBorders>
            <w:vAlign w:val="center"/>
          </w:tcPr>
          <w:p>
            <w:pPr>
              <w:spacing w:line="380" w:lineRule="exact"/>
              <w:jc w:val="center"/>
              <w:rPr>
                <w:rFonts w:ascii="宋体" w:hAnsi="宋体" w:cs="宋体"/>
                <w:color w:val="000000"/>
              </w:rPr>
            </w:pPr>
            <w:r>
              <w:rPr>
                <w:rFonts w:hint="eastAsia" w:ascii="宋体" w:hAnsi="宋体" w:cs="宋体"/>
              </w:rPr>
              <w:t>4分</w:t>
            </w:r>
          </w:p>
        </w:tc>
        <w:tc>
          <w:tcPr>
            <w:tcW w:w="5475" w:type="dxa"/>
            <w:tcBorders>
              <w:top w:val="single" w:color="auto" w:sz="4" w:space="0"/>
              <w:left w:val="single" w:color="auto" w:sz="4" w:space="0"/>
              <w:right w:val="single" w:color="auto" w:sz="4" w:space="0"/>
            </w:tcBorders>
            <w:vAlign w:val="center"/>
          </w:tcPr>
          <w:p>
            <w:pPr>
              <w:spacing w:line="380" w:lineRule="exact"/>
              <w:rPr>
                <w:rFonts w:ascii="宋体" w:hAnsi="宋体" w:cs="宋体"/>
              </w:rPr>
            </w:pPr>
            <w:r>
              <w:rPr>
                <w:rFonts w:hint="eastAsia" w:ascii="宋体" w:hAnsi="宋体" w:cs="宋体"/>
              </w:rPr>
              <w:t>根据供应商提供的售后服务承诺及提供的相关对应措施进行综合打分。优秀得3-4，较好得2-3，一般得0-</w:t>
            </w:r>
            <w:r>
              <w:rPr>
                <w:rFonts w:ascii="宋体" w:hAnsi="宋体" w:cs="宋体"/>
              </w:rPr>
              <w:t>2</w:t>
            </w:r>
            <w:r>
              <w:rPr>
                <w:rFonts w:hint="eastAsia" w:ascii="宋体" w:hAnsi="宋体" w:cs="宋体"/>
              </w:rPr>
              <w:t>分。</w:t>
            </w:r>
          </w:p>
        </w:tc>
        <w:tc>
          <w:tcPr>
            <w:tcW w:w="1785" w:type="dxa"/>
            <w:tcBorders>
              <w:top w:val="single" w:color="auto" w:sz="4" w:space="0"/>
              <w:left w:val="single" w:color="auto" w:sz="4" w:space="0"/>
              <w:right w:val="single" w:color="auto" w:sz="4" w:space="0"/>
            </w:tcBorders>
            <w:vAlign w:val="center"/>
          </w:tcPr>
          <w:p>
            <w:pPr>
              <w:spacing w:line="380" w:lineRule="exact"/>
              <w:rPr>
                <w:rFonts w:ascii="宋体" w:hAnsi="宋体" w:cs="宋体"/>
              </w:rPr>
            </w:pPr>
            <w:r>
              <w:rPr>
                <w:rFonts w:hint="eastAsia" w:ascii="宋体" w:hAnsi="宋体" w:cs="宋体"/>
                <w:bCs/>
                <w:color w:val="000000"/>
                <w:kern w:val="0"/>
              </w:rPr>
              <w:t>提供承诺函及其他相关证明材料加盖公章，</w:t>
            </w:r>
            <w:r>
              <w:rPr>
                <w:rFonts w:hint="eastAsia" w:ascii="宋体" w:hAnsi="宋体"/>
                <w:color w:val="000000"/>
                <w:highlight w:val="white"/>
              </w:rPr>
              <w:t>装订在磋商响应文件内</w:t>
            </w:r>
            <w:r>
              <w:rPr>
                <w:rFonts w:hint="eastAsia" w:ascii="宋体" w:hAnsi="宋体" w:cs="宋体"/>
                <w:bCs/>
                <w:color w:val="000000"/>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2" w:hRule="atLeast"/>
        </w:trPr>
        <w:tc>
          <w:tcPr>
            <w:tcW w:w="852" w:type="dxa"/>
            <w:tcBorders>
              <w:top w:val="single" w:color="auto" w:sz="4" w:space="0"/>
              <w:left w:val="single" w:color="auto" w:sz="4" w:space="0"/>
              <w:right w:val="single" w:color="auto" w:sz="4" w:space="0"/>
            </w:tcBorders>
            <w:vAlign w:val="center"/>
          </w:tcPr>
          <w:p>
            <w:pPr>
              <w:spacing w:line="380" w:lineRule="exact"/>
              <w:jc w:val="center"/>
              <w:rPr>
                <w:rFonts w:ascii="宋体" w:hAnsi="宋体"/>
                <w:bCs/>
                <w:color w:val="000000"/>
                <w:highlight w:val="white"/>
              </w:rPr>
            </w:pPr>
            <w:r>
              <w:rPr>
                <w:rFonts w:hint="eastAsia" w:ascii="宋体" w:hAnsi="宋体"/>
                <w:bCs/>
                <w:color w:val="000000"/>
                <w:highlight w:val="white"/>
              </w:rPr>
              <w:t>标书响应程度</w:t>
            </w:r>
          </w:p>
        </w:tc>
        <w:tc>
          <w:tcPr>
            <w:tcW w:w="735" w:type="dxa"/>
            <w:tcBorders>
              <w:top w:val="single" w:color="auto" w:sz="4" w:space="0"/>
              <w:left w:val="single" w:color="auto" w:sz="4" w:space="0"/>
              <w:right w:val="single" w:color="auto" w:sz="4" w:space="0"/>
            </w:tcBorders>
            <w:vAlign w:val="center"/>
          </w:tcPr>
          <w:p>
            <w:pPr>
              <w:spacing w:line="380" w:lineRule="exact"/>
              <w:jc w:val="center"/>
              <w:rPr>
                <w:rFonts w:ascii="宋体" w:hAnsi="宋体"/>
                <w:color w:val="000000"/>
              </w:rPr>
            </w:pPr>
            <w:r>
              <w:rPr>
                <w:rFonts w:hint="eastAsia" w:ascii="宋体" w:hAnsi="宋体"/>
                <w:color w:val="000000"/>
              </w:rPr>
              <w:t>4分</w:t>
            </w:r>
          </w:p>
        </w:tc>
        <w:tc>
          <w:tcPr>
            <w:tcW w:w="5475" w:type="dxa"/>
            <w:tcBorders>
              <w:top w:val="single" w:color="auto" w:sz="4" w:space="0"/>
              <w:left w:val="single" w:color="auto" w:sz="4" w:space="0"/>
              <w:right w:val="single" w:color="auto" w:sz="4" w:space="0"/>
            </w:tcBorders>
            <w:vAlign w:val="center"/>
          </w:tcPr>
          <w:p>
            <w:pPr>
              <w:widowControl/>
              <w:spacing w:line="380" w:lineRule="exact"/>
              <w:rPr>
                <w:rFonts w:ascii="宋体" w:hAnsi="宋体" w:cs="宋体"/>
                <w:bCs/>
                <w:color w:val="000000"/>
                <w:kern w:val="0"/>
              </w:rPr>
            </w:pPr>
            <w:r>
              <w:rPr>
                <w:rFonts w:hint="eastAsia" w:ascii="宋体" w:hAnsi="宋体" w:cs="宋体"/>
                <w:bCs/>
                <w:color w:val="000000"/>
                <w:kern w:val="0"/>
              </w:rPr>
              <w:t>响应文件的完整性、规范性，响应内容的齐全情况、格式的符合情况等。是否提供详细合理的技术方案、对采购人的实际现状是否有较全面、准确的了解；应对需求条款是否全面；是否满足磋商文件的技术内容要求。（评委根据技术方案、承诺函及磋商响应文件中的相关内容进行综合评分，优秀得3-4，较好得2-3，一般得0-2分。）</w:t>
            </w:r>
          </w:p>
        </w:tc>
        <w:tc>
          <w:tcPr>
            <w:tcW w:w="1785" w:type="dxa"/>
            <w:tcBorders>
              <w:top w:val="single" w:color="auto" w:sz="4" w:space="0"/>
              <w:left w:val="single" w:color="auto" w:sz="4" w:space="0"/>
              <w:right w:val="single" w:color="auto" w:sz="4" w:space="0"/>
            </w:tcBorders>
            <w:vAlign w:val="center"/>
          </w:tcPr>
          <w:p>
            <w:pPr>
              <w:widowControl/>
              <w:spacing w:line="380" w:lineRule="exact"/>
              <w:rPr>
                <w:rFonts w:ascii="宋体" w:hAnsi="宋体" w:cs="宋体"/>
                <w:bCs/>
                <w:color w:val="000000"/>
                <w:kern w:val="0"/>
              </w:rPr>
            </w:pPr>
            <w:r>
              <w:rPr>
                <w:rFonts w:ascii="宋体" w:hAnsi="宋体" w:cs="宋体"/>
                <w:bCs/>
                <w:color w:val="000000"/>
                <w:kern w:val="0"/>
              </w:rPr>
              <w:t>提供承诺函及其他相关证明材料加</w:t>
            </w:r>
            <w:r>
              <w:rPr>
                <w:rFonts w:hint="eastAsia" w:ascii="宋体" w:hAnsi="宋体" w:cs="宋体"/>
                <w:bCs/>
                <w:color w:val="000000"/>
                <w:kern w:val="0"/>
              </w:rPr>
              <w:t>盖</w:t>
            </w:r>
            <w:r>
              <w:rPr>
                <w:rFonts w:ascii="宋体" w:hAnsi="宋体" w:cs="宋体"/>
                <w:bCs/>
                <w:color w:val="000000"/>
                <w:kern w:val="0"/>
              </w:rPr>
              <w:t>公章，</w:t>
            </w:r>
            <w:r>
              <w:rPr>
                <w:rFonts w:hint="eastAsia" w:ascii="宋体" w:hAnsi="宋体"/>
                <w:color w:val="000000"/>
                <w:highlight w:val="white"/>
              </w:rPr>
              <w:t>装订在磋商响应文件内</w:t>
            </w:r>
            <w:r>
              <w:rPr>
                <w:rFonts w:hint="eastAsia" w:ascii="宋体" w:hAnsi="宋体" w:cs="宋体"/>
                <w:bCs/>
                <w:color w:val="000000"/>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2" w:hRule="atLeast"/>
        </w:trPr>
        <w:tc>
          <w:tcPr>
            <w:tcW w:w="852" w:type="dxa"/>
            <w:tcBorders>
              <w:top w:val="single" w:color="auto" w:sz="4" w:space="0"/>
              <w:left w:val="single" w:color="auto" w:sz="4" w:space="0"/>
              <w:right w:val="single" w:color="auto" w:sz="4" w:space="0"/>
            </w:tcBorders>
            <w:vAlign w:val="center"/>
          </w:tcPr>
          <w:p>
            <w:pPr>
              <w:spacing w:line="380" w:lineRule="exact"/>
              <w:jc w:val="center"/>
              <w:rPr>
                <w:rFonts w:ascii="宋体" w:hAnsi="宋体" w:cs="宋体"/>
                <w:color w:val="000000"/>
              </w:rPr>
            </w:pPr>
            <w:r>
              <w:rPr>
                <w:rFonts w:ascii="宋体" w:hAnsi="宋体"/>
                <w:color w:val="000000"/>
                <w:highlight w:val="white"/>
              </w:rPr>
              <w:t>报价</w:t>
            </w:r>
            <w:r>
              <w:rPr>
                <w:rFonts w:hint="eastAsia" w:ascii="宋体" w:hAnsi="宋体"/>
                <w:color w:val="000000"/>
              </w:rPr>
              <w:t>部分</w:t>
            </w:r>
          </w:p>
        </w:tc>
        <w:tc>
          <w:tcPr>
            <w:tcW w:w="735" w:type="dxa"/>
            <w:tcBorders>
              <w:top w:val="single" w:color="auto" w:sz="4" w:space="0"/>
              <w:left w:val="single" w:color="auto" w:sz="4" w:space="0"/>
              <w:right w:val="single" w:color="auto" w:sz="4" w:space="0"/>
            </w:tcBorders>
            <w:vAlign w:val="center"/>
          </w:tcPr>
          <w:p>
            <w:pPr>
              <w:spacing w:line="380" w:lineRule="exact"/>
              <w:jc w:val="center"/>
              <w:rPr>
                <w:rFonts w:ascii="宋体" w:hAnsi="宋体" w:cs="宋体"/>
                <w:color w:val="000000"/>
              </w:rPr>
            </w:pPr>
            <w:r>
              <w:rPr>
                <w:rFonts w:ascii="宋体" w:hAnsi="宋体" w:cs="宋体"/>
                <w:color w:val="000000"/>
              </w:rPr>
              <w:t>10</w:t>
            </w:r>
            <w:r>
              <w:rPr>
                <w:rFonts w:hint="eastAsia" w:ascii="宋体" w:hAnsi="宋体" w:cs="宋体"/>
                <w:color w:val="000000"/>
              </w:rPr>
              <w:t>分</w:t>
            </w:r>
          </w:p>
        </w:tc>
        <w:tc>
          <w:tcPr>
            <w:tcW w:w="5475" w:type="dxa"/>
            <w:tcBorders>
              <w:top w:val="single" w:color="auto" w:sz="4" w:space="0"/>
              <w:left w:val="single" w:color="auto" w:sz="4" w:space="0"/>
              <w:right w:val="single" w:color="auto" w:sz="4" w:space="0"/>
            </w:tcBorders>
            <w:vAlign w:val="center"/>
          </w:tcPr>
          <w:p>
            <w:pPr>
              <w:spacing w:line="380" w:lineRule="exact"/>
              <w:jc w:val="left"/>
              <w:rPr>
                <w:rFonts w:ascii="宋体" w:hAnsi="宋体"/>
                <w:color w:val="000000"/>
                <w:highlight w:val="white"/>
              </w:rPr>
            </w:pPr>
            <w:r>
              <w:rPr>
                <w:rFonts w:hint="eastAsia" w:ascii="宋体" w:hAnsi="宋体" w:cs="宋体"/>
                <w:bCs/>
                <w:color w:val="000000"/>
                <w:kern w:val="0"/>
              </w:rPr>
              <w:t>满足磋商文件要求且报价最低的磋商响应报价为评标基准价，其价格分为10分。其他供应商的报价得分=(评标基准价／磋商响应报价)×10（四舍五入，精确到小数点后两位）</w:t>
            </w:r>
          </w:p>
        </w:tc>
        <w:tc>
          <w:tcPr>
            <w:tcW w:w="1785" w:type="dxa"/>
            <w:tcBorders>
              <w:top w:val="single" w:color="auto" w:sz="4" w:space="0"/>
              <w:left w:val="single" w:color="auto" w:sz="4" w:space="0"/>
              <w:right w:val="single" w:color="auto" w:sz="4" w:space="0"/>
            </w:tcBorders>
            <w:vAlign w:val="center"/>
          </w:tcPr>
          <w:p>
            <w:pPr>
              <w:spacing w:line="380" w:lineRule="exact"/>
              <w:jc w:val="left"/>
              <w:rPr>
                <w:rFonts w:ascii="宋体" w:hAnsi="宋体" w:cs="宋体"/>
              </w:rPr>
            </w:pPr>
            <w:r>
              <w:rPr>
                <w:rFonts w:hint="eastAsia" w:ascii="宋体" w:hAnsi="宋体" w:cs="宋体"/>
              </w:rPr>
              <w:t>以报价表中的金额为准</w:t>
            </w:r>
          </w:p>
        </w:tc>
      </w:tr>
    </w:tbl>
    <w:p>
      <w:pPr>
        <w:pStyle w:val="19"/>
        <w:tabs>
          <w:tab w:val="left" w:pos="748"/>
          <w:tab w:val="center" w:pos="4211"/>
        </w:tabs>
        <w:spacing w:line="380" w:lineRule="exact"/>
        <w:rPr>
          <w:rFonts w:ascii="宋体" w:hAnsi="宋体" w:eastAsia="宋体"/>
          <w:b/>
          <w:bCs/>
          <w:sz w:val="24"/>
          <w:szCs w:val="24"/>
        </w:rPr>
      </w:pPr>
      <w:r>
        <w:rPr>
          <w:rFonts w:hint="eastAsia" w:ascii="宋体" w:hAnsi="宋体" w:eastAsia="宋体" w:cs="宋体"/>
          <w:b/>
          <w:bCs/>
        </w:rPr>
        <w:br w:type="page"/>
      </w:r>
      <w:r>
        <w:rPr>
          <w:rFonts w:hint="eastAsia" w:ascii="宋体" w:hAnsi="宋体" w:eastAsia="宋体" w:cs="宋体"/>
          <w:b/>
          <w:bCs/>
          <w:sz w:val="24"/>
          <w:szCs w:val="24"/>
        </w:rPr>
        <w:t>（六）合同的签订、履行及签收</w:t>
      </w:r>
      <w:bookmarkEnd w:id="13"/>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19．合同的签订、履行及签收</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19.1签订合同</w:t>
      </w:r>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19.1.1成交供应商在收到采购代理机构发出的《成交通知书》后，应在磋商文件规定的时间内与采购人签订合同。由于成交供应商的原因逾期未签订合同的，将视为放弃成交，取消其成交资格并将按相关规定进行处理。包括但不限于不予退还磋商保证金、赔偿逾期时间内采购人所花费的一切损失等</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19.1.2具体采购时，采购人不得向成交供应商提出任何不合理的要求，作为签订合同的条件，不得与成交供应商私下订立背离合同实质性内容的任何协议，所签订的合同不得对竞争性磋商文件和成交供应商磋商响应书作实质性修改。</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19.2履行合同</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19.2.1成交供应商与采购人签订合同后，合同双方应严格执行合同条款，履行合同规定的义务，保证合同的顺利完成。</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19.2.2</w:t>
      </w:r>
      <w:r>
        <w:rPr>
          <w:rFonts w:hint="eastAsia" w:ascii="宋体" w:hAnsi="宋体" w:eastAsia="宋体" w:cs="黑体"/>
          <w:sz w:val="24"/>
          <w:szCs w:val="24"/>
        </w:rPr>
        <w:t>若双方履行合同时发生纠纷，应协商处理，协商不成的，按照合同约定处理</w:t>
      </w:r>
      <w:r>
        <w:rPr>
          <w:rFonts w:hint="eastAsia" w:ascii="宋体" w:hAnsi="宋体" w:eastAsia="宋体" w:cs="宋体"/>
          <w:sz w:val="24"/>
          <w:szCs w:val="24"/>
        </w:rPr>
        <w:t>。</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19.2.3签收：成交供应商完成合同约定的内容后，由采购人依据合同进行签收。</w:t>
      </w:r>
    </w:p>
    <w:p>
      <w:pPr>
        <w:pStyle w:val="19"/>
        <w:spacing w:line="380" w:lineRule="exact"/>
        <w:rPr>
          <w:rFonts w:ascii="宋体" w:hAnsi="宋体" w:eastAsia="宋体"/>
          <w:b/>
          <w:bCs/>
          <w:sz w:val="24"/>
          <w:szCs w:val="24"/>
        </w:rPr>
      </w:pPr>
      <w:bookmarkStart w:id="21" w:name="_Toc383776349"/>
      <w:r>
        <w:rPr>
          <w:rFonts w:hint="eastAsia" w:ascii="宋体" w:hAnsi="宋体" w:eastAsia="宋体" w:cs="宋体"/>
          <w:b/>
          <w:bCs/>
          <w:sz w:val="24"/>
          <w:szCs w:val="24"/>
        </w:rPr>
        <w:t>（七）质疑</w:t>
      </w:r>
      <w:bookmarkEnd w:id="21"/>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20．质疑</w:t>
      </w:r>
    </w:p>
    <w:p>
      <w:pPr>
        <w:pStyle w:val="18"/>
        <w:tabs>
          <w:tab w:val="left" w:pos="1800"/>
          <w:tab w:val="clear" w:pos="1080"/>
        </w:tabs>
        <w:spacing w:line="380" w:lineRule="exact"/>
        <w:ind w:firstLine="470" w:firstLineChars="196"/>
        <w:jc w:val="both"/>
        <w:rPr>
          <w:rFonts w:ascii="宋体" w:hAnsi="宋体" w:eastAsia="宋体"/>
          <w:b w:val="0"/>
          <w:bCs w:val="0"/>
          <w:sz w:val="24"/>
          <w:szCs w:val="24"/>
        </w:rPr>
      </w:pPr>
      <w:bookmarkStart w:id="22" w:name="_Toc383776350"/>
      <w:r>
        <w:rPr>
          <w:rFonts w:hint="eastAsia" w:ascii="宋体" w:hAnsi="宋体" w:eastAsia="宋体"/>
          <w:b w:val="0"/>
          <w:bCs w:val="0"/>
          <w:sz w:val="24"/>
          <w:szCs w:val="24"/>
        </w:rPr>
        <w:t>供应商对成交公示有异议的，应在成交公示发布期间内以书面形式提出质疑，逾期不予受理。关于竞争性磋商文件中非通用条款部分方面及评审结果的质疑向采购人提出，采购人在七个工作日内作出答复，关于竞争性磋商文件通用条款部分以及采购程序方面的质疑向采购代理单位提出，由采购代理单位作出答复。质疑供应商对答复内容不满意的或受理单位未在规定时间内作出答复的，可在答复期满后十五个工作日内向相关行政部门提出投诉。</w:t>
      </w:r>
      <w:bookmarkEnd w:id="22"/>
    </w:p>
    <w:p>
      <w:pPr>
        <w:pStyle w:val="18"/>
        <w:tabs>
          <w:tab w:val="left" w:pos="1800"/>
          <w:tab w:val="clear" w:pos="1080"/>
        </w:tabs>
        <w:spacing w:line="380" w:lineRule="exact"/>
        <w:ind w:firstLine="470" w:firstLineChars="196"/>
        <w:jc w:val="both"/>
        <w:rPr>
          <w:rFonts w:ascii="宋体" w:hAnsi="宋体" w:eastAsia="宋体"/>
          <w:b w:val="0"/>
          <w:bCs w:val="0"/>
          <w:sz w:val="24"/>
          <w:szCs w:val="24"/>
        </w:rPr>
      </w:pPr>
    </w:p>
    <w:p>
      <w:pPr>
        <w:pStyle w:val="18"/>
        <w:tabs>
          <w:tab w:val="left" w:pos="1800"/>
          <w:tab w:val="clear" w:pos="1080"/>
        </w:tabs>
        <w:spacing w:line="380" w:lineRule="exact"/>
        <w:ind w:firstLine="470" w:firstLineChars="196"/>
        <w:jc w:val="both"/>
        <w:rPr>
          <w:rFonts w:ascii="宋体" w:hAnsi="宋体" w:eastAsia="宋体"/>
          <w:b w:val="0"/>
          <w:bCs w:val="0"/>
          <w:sz w:val="24"/>
          <w:szCs w:val="24"/>
        </w:rPr>
      </w:pPr>
    </w:p>
    <w:p>
      <w:pPr>
        <w:pStyle w:val="18"/>
        <w:tabs>
          <w:tab w:val="left" w:pos="1800"/>
          <w:tab w:val="clear" w:pos="1080"/>
        </w:tabs>
        <w:spacing w:line="380" w:lineRule="exact"/>
        <w:ind w:firstLine="470" w:firstLineChars="196"/>
        <w:jc w:val="both"/>
        <w:rPr>
          <w:rFonts w:ascii="宋体" w:hAnsi="宋体" w:eastAsia="宋体"/>
          <w:b w:val="0"/>
          <w:bCs w:val="0"/>
          <w:sz w:val="24"/>
          <w:szCs w:val="24"/>
        </w:rPr>
      </w:pPr>
    </w:p>
    <w:p>
      <w:pPr>
        <w:pStyle w:val="19"/>
        <w:numPr>
          <w:ilvl w:val="0"/>
          <w:numId w:val="3"/>
        </w:numPr>
        <w:spacing w:line="380" w:lineRule="exact"/>
        <w:rPr>
          <w:rFonts w:ascii="宋体" w:hAnsi="宋体" w:cs="宋体"/>
          <w:b/>
          <w:bCs/>
          <w:sz w:val="28"/>
          <w:szCs w:val="28"/>
        </w:rPr>
      </w:pPr>
      <w:r>
        <w:rPr>
          <w:rFonts w:hint="eastAsia" w:ascii="宋体" w:hAnsi="宋体" w:cs="宋体"/>
          <w:b/>
          <w:bCs/>
          <w:sz w:val="28"/>
          <w:szCs w:val="28"/>
        </w:rPr>
        <w:t>项目</w:t>
      </w:r>
      <w:bookmarkStart w:id="23" w:name="_Toc383776351"/>
      <w:r>
        <w:rPr>
          <w:rFonts w:hint="eastAsia" w:ascii="宋体" w:hAnsi="宋体" w:cs="宋体"/>
          <w:b/>
          <w:bCs/>
          <w:sz w:val="28"/>
          <w:szCs w:val="28"/>
        </w:rPr>
        <w:t>的</w:t>
      </w:r>
      <w:r>
        <w:rPr>
          <w:rFonts w:hint="eastAsia" w:ascii="宋体" w:hAnsi="宋体" w:cs="宋体"/>
          <w:b/>
          <w:bCs/>
          <w:kern w:val="0"/>
          <w:sz w:val="28"/>
          <w:szCs w:val="28"/>
        </w:rPr>
        <w:t>具体内容、技术要求及其方案</w:t>
      </w:r>
    </w:p>
    <w:p>
      <w:pPr>
        <w:pStyle w:val="19"/>
        <w:spacing w:line="380" w:lineRule="exact"/>
        <w:jc w:val="both"/>
        <w:rPr>
          <w:rFonts w:ascii="宋体" w:hAnsi="宋体" w:eastAsia="宋体" w:cs="宋体"/>
          <w:b/>
          <w:bCs/>
          <w:sz w:val="28"/>
          <w:szCs w:val="28"/>
        </w:rPr>
      </w:pPr>
      <w:r>
        <w:rPr>
          <w:rFonts w:hint="eastAsia" w:ascii="宋体" w:hAnsi="宋体" w:cs="宋体"/>
          <w:b/>
          <w:bCs/>
          <w:kern w:val="0"/>
          <w:sz w:val="28"/>
          <w:szCs w:val="28"/>
        </w:rPr>
        <w:t xml:space="preserve">          </w:t>
      </w:r>
      <w:r>
        <w:rPr>
          <w:rFonts w:hint="eastAsia" w:ascii="宋体" w:hAnsi="宋体" w:eastAsia="宋体" w:cs="宋体"/>
          <w:sz w:val="28"/>
          <w:szCs w:val="28"/>
        </w:rPr>
        <w:t xml:space="preserve">  （详见磋商响应报价表内容及附件一、二）</w:t>
      </w:r>
    </w:p>
    <w:p>
      <w:pPr>
        <w:spacing w:beforeLines="50" w:line="380" w:lineRule="exact"/>
        <w:rPr>
          <w:rFonts w:ascii="宋体" w:hAnsi="宋体" w:cs="宋体"/>
        </w:rPr>
      </w:pPr>
    </w:p>
    <w:p>
      <w:pPr>
        <w:spacing w:beforeLines="50" w:line="360" w:lineRule="auto"/>
        <w:rPr>
          <w:rFonts w:ascii="宋体" w:hAnsi="宋体" w:cs="宋体"/>
        </w:rPr>
      </w:pPr>
    </w:p>
    <w:p>
      <w:pPr>
        <w:pStyle w:val="18"/>
        <w:tabs>
          <w:tab w:val="left" w:pos="420"/>
        </w:tabs>
        <w:jc w:val="both"/>
        <w:rPr>
          <w:rFonts w:ascii="宋体" w:hAnsi="宋体" w:eastAsia="宋体"/>
        </w:rPr>
      </w:pPr>
    </w:p>
    <w:p>
      <w:pPr>
        <w:pStyle w:val="18"/>
        <w:tabs>
          <w:tab w:val="left" w:pos="420"/>
        </w:tabs>
        <w:rPr>
          <w:rFonts w:hint="eastAsia" w:ascii="宋体" w:hAnsi="宋体" w:eastAsia="宋体"/>
        </w:rPr>
      </w:pPr>
    </w:p>
    <w:p>
      <w:pPr>
        <w:pStyle w:val="18"/>
        <w:tabs>
          <w:tab w:val="left" w:pos="420"/>
        </w:tabs>
        <w:rPr>
          <w:rFonts w:ascii="宋体" w:hAnsi="宋体" w:eastAsia="宋体" w:cs="Times New Roman"/>
        </w:rPr>
      </w:pPr>
      <w:r>
        <w:rPr>
          <w:rFonts w:hint="eastAsia" w:ascii="宋体" w:hAnsi="宋体" w:eastAsia="宋体"/>
        </w:rPr>
        <w:t>第二章  磋商响应书</w:t>
      </w:r>
      <w:bookmarkEnd w:id="23"/>
    </w:p>
    <w:p>
      <w:pPr>
        <w:jc w:val="center"/>
        <w:rPr>
          <w:rFonts w:ascii="宋体" w:hAnsi="宋体" w:eastAsia="宋体"/>
          <w:b/>
          <w:bCs/>
          <w:sz w:val="28"/>
          <w:szCs w:val="28"/>
        </w:rPr>
      </w:pPr>
    </w:p>
    <w:p>
      <w:pPr>
        <w:pStyle w:val="19"/>
        <w:rPr>
          <w:rFonts w:ascii="宋体" w:hAnsi="宋体" w:eastAsia="宋体"/>
          <w:sz w:val="28"/>
          <w:szCs w:val="28"/>
        </w:rPr>
      </w:pPr>
      <w:bookmarkStart w:id="24" w:name="_Toc383776352"/>
      <w:r>
        <w:rPr>
          <w:rFonts w:hint="eastAsia" w:ascii="宋体" w:hAnsi="宋体" w:eastAsia="宋体" w:cs="宋体"/>
          <w:sz w:val="28"/>
          <w:szCs w:val="28"/>
        </w:rPr>
        <w:t>封面</w:t>
      </w:r>
      <w:bookmarkEnd w:id="24"/>
    </w:p>
    <w:p>
      <w:pPr>
        <w:jc w:val="center"/>
        <w:rPr>
          <w:rFonts w:ascii="宋体" w:hAnsi="宋体" w:eastAsia="宋体"/>
          <w:sz w:val="72"/>
          <w:szCs w:val="72"/>
        </w:rPr>
      </w:pPr>
      <w:r>
        <w:rPr>
          <w:rFonts w:hint="eastAsia" w:ascii="宋体" w:hAnsi="宋体" w:eastAsia="宋体" w:cs="宋体"/>
          <w:b/>
          <w:bCs/>
          <w:sz w:val="72"/>
          <w:szCs w:val="72"/>
        </w:rPr>
        <w:t>磋商响应书</w:t>
      </w:r>
    </w:p>
    <w:p>
      <w:pPr>
        <w:ind w:firstLine="1650" w:firstLineChars="550"/>
        <w:rPr>
          <w:rFonts w:ascii="宋体" w:hAnsi="宋体" w:eastAsia="宋体"/>
          <w:sz w:val="30"/>
          <w:szCs w:val="30"/>
        </w:rPr>
      </w:pPr>
    </w:p>
    <w:p>
      <w:pPr>
        <w:ind w:firstLine="1540" w:firstLineChars="550"/>
        <w:rPr>
          <w:rFonts w:ascii="宋体" w:hAnsi="宋体" w:eastAsia="宋体"/>
          <w:sz w:val="28"/>
          <w:szCs w:val="28"/>
        </w:rPr>
      </w:pPr>
      <w:r>
        <w:rPr>
          <w:rFonts w:hint="eastAsia" w:ascii="宋体" w:hAnsi="宋体" w:eastAsia="宋体" w:cs="宋体"/>
          <w:sz w:val="28"/>
          <w:szCs w:val="28"/>
        </w:rPr>
        <w:t>项目编号：</w:t>
      </w:r>
    </w:p>
    <w:p>
      <w:pPr>
        <w:jc w:val="center"/>
        <w:rPr>
          <w:rFonts w:ascii="宋体" w:hAnsi="宋体" w:eastAsia="宋体"/>
          <w:sz w:val="28"/>
          <w:szCs w:val="28"/>
        </w:rPr>
      </w:pPr>
    </w:p>
    <w:p>
      <w:pPr>
        <w:jc w:val="center"/>
        <w:rPr>
          <w:rFonts w:ascii="宋体" w:hAnsi="宋体" w:eastAsia="宋体"/>
          <w:sz w:val="28"/>
          <w:szCs w:val="28"/>
        </w:rPr>
      </w:pPr>
    </w:p>
    <w:p>
      <w:pPr>
        <w:jc w:val="center"/>
        <w:rPr>
          <w:rFonts w:ascii="宋体" w:hAnsi="宋体" w:eastAsia="宋体"/>
          <w:sz w:val="28"/>
          <w:szCs w:val="28"/>
        </w:rPr>
      </w:pPr>
    </w:p>
    <w:p>
      <w:pPr>
        <w:rPr>
          <w:rFonts w:ascii="宋体" w:hAnsi="宋体" w:eastAsia="宋体"/>
          <w:sz w:val="28"/>
          <w:szCs w:val="28"/>
        </w:rPr>
      </w:pPr>
    </w:p>
    <w:p>
      <w:pPr>
        <w:jc w:val="center"/>
        <w:rPr>
          <w:rFonts w:ascii="宋体" w:hAnsi="宋体" w:eastAsia="宋体"/>
          <w:sz w:val="28"/>
          <w:szCs w:val="28"/>
        </w:rPr>
      </w:pPr>
    </w:p>
    <w:p>
      <w:pPr>
        <w:jc w:val="center"/>
        <w:rPr>
          <w:rFonts w:ascii="宋体" w:hAnsi="宋体" w:eastAsia="宋体"/>
          <w:sz w:val="28"/>
          <w:szCs w:val="28"/>
        </w:rPr>
      </w:pPr>
    </w:p>
    <w:p>
      <w:pPr>
        <w:ind w:firstLine="1540" w:firstLineChars="550"/>
        <w:rPr>
          <w:rFonts w:ascii="宋体" w:hAnsi="宋体" w:eastAsia="宋体" w:cs="宋体"/>
          <w:sz w:val="28"/>
          <w:szCs w:val="28"/>
          <w:u w:val="single"/>
        </w:rPr>
      </w:pPr>
      <w:r>
        <w:rPr>
          <w:rFonts w:hint="eastAsia" w:ascii="宋体" w:hAnsi="宋体" w:eastAsia="宋体" w:cs="宋体"/>
          <w:sz w:val="28"/>
          <w:szCs w:val="28"/>
        </w:rPr>
        <w:t>项目名称：</w:t>
      </w:r>
    </w:p>
    <w:p>
      <w:pPr>
        <w:ind w:firstLine="1540" w:firstLineChars="550"/>
        <w:rPr>
          <w:rFonts w:ascii="宋体" w:hAnsi="宋体" w:eastAsia="宋体" w:cs="宋体"/>
          <w:b/>
          <w:bCs/>
          <w:sz w:val="28"/>
          <w:szCs w:val="28"/>
          <w:u w:val="single"/>
        </w:rPr>
      </w:pPr>
      <w:r>
        <w:rPr>
          <w:rFonts w:hint="eastAsia" w:ascii="宋体" w:hAnsi="宋体" w:eastAsia="宋体" w:cs="宋体"/>
          <w:sz w:val="28"/>
          <w:szCs w:val="28"/>
        </w:rPr>
        <w:t>供应商：</w:t>
      </w:r>
    </w:p>
    <w:p>
      <w:pPr>
        <w:ind w:firstLine="1540" w:firstLineChars="550"/>
        <w:rPr>
          <w:rFonts w:ascii="宋体" w:hAnsi="宋体" w:eastAsia="宋体" w:cs="宋体"/>
          <w:sz w:val="28"/>
          <w:szCs w:val="28"/>
        </w:rPr>
      </w:pPr>
      <w:r>
        <w:rPr>
          <w:rFonts w:hint="eastAsia" w:ascii="宋体" w:hAnsi="宋体" w:eastAsia="宋体" w:cs="宋体"/>
          <w:sz w:val="28"/>
          <w:szCs w:val="28"/>
        </w:rPr>
        <w:t>法定代表人</w:t>
      </w:r>
    </w:p>
    <w:p>
      <w:pPr>
        <w:ind w:firstLine="1540" w:firstLineChars="550"/>
        <w:rPr>
          <w:rFonts w:ascii="宋体" w:hAnsi="宋体" w:eastAsia="宋体" w:cs="宋体"/>
          <w:sz w:val="28"/>
          <w:szCs w:val="28"/>
        </w:rPr>
      </w:pPr>
      <w:r>
        <w:rPr>
          <w:rFonts w:hint="eastAsia" w:ascii="宋体" w:hAnsi="宋体" w:eastAsia="宋体" w:cs="宋体"/>
          <w:sz w:val="28"/>
          <w:szCs w:val="28"/>
        </w:rPr>
        <w:t>或其委托代理人：（签字或盖章）</w:t>
      </w:r>
    </w:p>
    <w:p>
      <w:pPr>
        <w:ind w:firstLine="1650" w:firstLineChars="550"/>
        <w:rPr>
          <w:rFonts w:ascii="宋体" w:hAnsi="宋体" w:eastAsia="宋体" w:cs="宋体"/>
          <w:sz w:val="30"/>
          <w:szCs w:val="30"/>
        </w:rPr>
      </w:pPr>
    </w:p>
    <w:p>
      <w:pPr>
        <w:ind w:firstLine="3300" w:firstLineChars="1100"/>
        <w:jc w:val="center"/>
        <w:rPr>
          <w:rFonts w:ascii="宋体" w:hAnsi="宋体" w:eastAsia="宋体"/>
          <w:sz w:val="30"/>
          <w:szCs w:val="30"/>
        </w:rPr>
      </w:pPr>
      <w:r>
        <w:rPr>
          <w:rFonts w:hint="eastAsia" w:ascii="宋体" w:hAnsi="宋体" w:eastAsia="宋体" w:cs="宋体"/>
          <w:sz w:val="30"/>
          <w:szCs w:val="30"/>
        </w:rPr>
        <w:t>年    月    日</w:t>
      </w:r>
    </w:p>
    <w:p>
      <w:pPr>
        <w:rPr>
          <w:rFonts w:ascii="宋体" w:hAnsi="宋体" w:eastAsia="宋体"/>
          <w:sz w:val="30"/>
          <w:szCs w:val="30"/>
        </w:rPr>
      </w:pPr>
    </w:p>
    <w:p>
      <w:pPr>
        <w:rPr>
          <w:rFonts w:ascii="宋体" w:hAnsi="宋体" w:eastAsia="宋体"/>
          <w:sz w:val="30"/>
          <w:szCs w:val="30"/>
        </w:rPr>
      </w:pPr>
    </w:p>
    <w:p>
      <w:pPr>
        <w:pStyle w:val="2"/>
        <w:spacing w:before="0" w:after="0" w:line="240" w:lineRule="auto"/>
        <w:jc w:val="center"/>
        <w:rPr>
          <w:rFonts w:ascii="宋体" w:hAnsi="宋体" w:eastAsia="宋体" w:cs="Times New Roman"/>
          <w:sz w:val="28"/>
          <w:szCs w:val="28"/>
        </w:rPr>
      </w:pPr>
      <w:r>
        <w:rPr>
          <w:rFonts w:hint="eastAsia" w:ascii="宋体" w:hAnsi="宋体" w:eastAsia="宋体" w:cs="宋体"/>
          <w:sz w:val="28"/>
          <w:szCs w:val="28"/>
        </w:rPr>
        <w:t>目  录</w:t>
      </w:r>
    </w:p>
    <w:p>
      <w:pPr>
        <w:pStyle w:val="2"/>
        <w:spacing w:before="0" w:after="0" w:line="240" w:lineRule="auto"/>
        <w:rPr>
          <w:rFonts w:ascii="宋体" w:hAnsi="宋体" w:eastAsia="宋体" w:cs="宋体"/>
          <w:b w:val="0"/>
          <w:bCs w:val="0"/>
          <w:sz w:val="28"/>
          <w:szCs w:val="28"/>
        </w:rPr>
      </w:pPr>
    </w:p>
    <w:p>
      <w:pPr>
        <w:pStyle w:val="2"/>
        <w:spacing w:before="0" w:after="0" w:line="240" w:lineRule="auto"/>
        <w:rPr>
          <w:rFonts w:ascii="宋体" w:hAnsi="宋体" w:eastAsia="宋体" w:cs="Times New Roman"/>
          <w:b w:val="0"/>
          <w:bCs w:val="0"/>
          <w:sz w:val="28"/>
          <w:szCs w:val="28"/>
        </w:rPr>
      </w:pPr>
      <w:r>
        <w:rPr>
          <w:rFonts w:hint="eastAsia" w:ascii="宋体" w:hAnsi="宋体" w:eastAsia="宋体" w:cs="宋体"/>
          <w:b w:val="0"/>
          <w:bCs w:val="0"/>
          <w:sz w:val="28"/>
          <w:szCs w:val="28"/>
        </w:rPr>
        <w:t>一、磋商响应函格式</w:t>
      </w:r>
    </w:p>
    <w:p>
      <w:pPr>
        <w:rPr>
          <w:rFonts w:ascii="宋体" w:hAnsi="宋体" w:eastAsia="宋体" w:cs="宋体"/>
          <w:sz w:val="28"/>
          <w:szCs w:val="28"/>
        </w:rPr>
      </w:pPr>
      <w:r>
        <w:rPr>
          <w:rFonts w:hint="eastAsia" w:ascii="宋体" w:hAnsi="宋体" w:eastAsia="宋体" w:cs="宋体"/>
          <w:sz w:val="28"/>
          <w:szCs w:val="28"/>
        </w:rPr>
        <w:t>二、技术服务方案</w:t>
      </w:r>
    </w:p>
    <w:p>
      <w:pPr>
        <w:rPr>
          <w:rFonts w:ascii="宋体" w:hAnsi="宋体" w:eastAsia="宋体"/>
          <w:sz w:val="28"/>
          <w:szCs w:val="28"/>
        </w:rPr>
      </w:pPr>
      <w:r>
        <w:rPr>
          <w:rFonts w:hint="eastAsia" w:ascii="宋体" w:hAnsi="宋体" w:eastAsia="宋体" w:cs="宋体"/>
          <w:sz w:val="28"/>
          <w:szCs w:val="28"/>
        </w:rPr>
        <w:t>三、法定代表人授权书</w:t>
      </w:r>
    </w:p>
    <w:p>
      <w:pPr>
        <w:widowControl/>
        <w:spacing w:line="360" w:lineRule="auto"/>
        <w:rPr>
          <w:rFonts w:ascii="宋体" w:hAnsi="宋体" w:eastAsia="宋体" w:cs="宋体"/>
          <w:sz w:val="28"/>
          <w:szCs w:val="28"/>
        </w:rPr>
      </w:pPr>
      <w:r>
        <w:rPr>
          <w:rFonts w:hint="eastAsia" w:ascii="宋体" w:hAnsi="宋体" w:eastAsia="宋体" w:cs="宋体"/>
          <w:sz w:val="28"/>
          <w:szCs w:val="28"/>
        </w:rPr>
        <w:t>四、资格证明文件</w:t>
      </w:r>
    </w:p>
    <w:p>
      <w:pPr>
        <w:rPr>
          <w:rFonts w:ascii="宋体" w:hAnsi="宋体" w:eastAsia="宋体" w:cs="宋体"/>
          <w:sz w:val="28"/>
          <w:szCs w:val="28"/>
        </w:rPr>
      </w:pPr>
      <w:r>
        <w:rPr>
          <w:rFonts w:hint="eastAsia" w:ascii="宋体" w:hAnsi="宋体" w:eastAsia="宋体" w:cs="宋体"/>
          <w:sz w:val="28"/>
          <w:szCs w:val="28"/>
        </w:rPr>
        <w:t>五、需要提供的其他证明材料</w:t>
      </w:r>
    </w:p>
    <w:p>
      <w:pPr>
        <w:rPr>
          <w:rFonts w:ascii="宋体" w:hAnsi="宋体" w:eastAsia="宋体" w:cs="宋体"/>
          <w:sz w:val="28"/>
          <w:szCs w:val="28"/>
        </w:rPr>
      </w:pPr>
      <w:r>
        <w:rPr>
          <w:rFonts w:hint="eastAsia" w:ascii="宋体" w:hAnsi="宋体" w:eastAsia="宋体" w:cs="宋体"/>
          <w:sz w:val="28"/>
          <w:szCs w:val="28"/>
        </w:rPr>
        <w:t>六、磋商响应报价表</w:t>
      </w:r>
    </w:p>
    <w:p>
      <w:pPr>
        <w:rPr>
          <w:rFonts w:ascii="宋体" w:hAnsi="宋体" w:eastAsia="宋体"/>
          <w:sz w:val="32"/>
          <w:szCs w:val="32"/>
        </w:rPr>
      </w:pPr>
    </w:p>
    <w:p>
      <w:pPr>
        <w:pStyle w:val="19"/>
        <w:widowControl/>
        <w:rPr>
          <w:rFonts w:ascii="宋体" w:hAnsi="宋体" w:eastAsia="宋体"/>
          <w:b/>
          <w:bCs/>
          <w:sz w:val="28"/>
          <w:szCs w:val="28"/>
        </w:rPr>
      </w:pPr>
      <w:r>
        <w:rPr>
          <w:rFonts w:ascii="宋体" w:hAnsi="宋体" w:eastAsia="宋体"/>
        </w:rPr>
        <w:br w:type="page"/>
      </w:r>
      <w:bookmarkStart w:id="25" w:name="_Toc383776353"/>
      <w:r>
        <w:rPr>
          <w:rFonts w:hint="eastAsia" w:ascii="宋体" w:hAnsi="宋体" w:eastAsia="宋体" w:cs="宋体"/>
          <w:b/>
          <w:bCs/>
          <w:sz w:val="28"/>
          <w:szCs w:val="28"/>
        </w:rPr>
        <w:t>一、磋商响应函格式</w:t>
      </w:r>
      <w:bookmarkEnd w:id="25"/>
    </w:p>
    <w:p>
      <w:pPr>
        <w:pStyle w:val="7"/>
        <w:widowControl/>
        <w:tabs>
          <w:tab w:val="left" w:pos="900"/>
        </w:tabs>
        <w:rPr>
          <w:rFonts w:ascii="宋体" w:hAnsi="宋体" w:eastAsia="宋体" w:cs="Times New Roman"/>
          <w:sz w:val="24"/>
          <w:szCs w:val="24"/>
        </w:rPr>
      </w:pPr>
      <w:r>
        <w:rPr>
          <w:rFonts w:hint="eastAsia" w:ascii="宋体" w:hAnsi="宋体" w:eastAsia="宋体" w:cs="宋体"/>
          <w:sz w:val="24"/>
          <w:szCs w:val="24"/>
        </w:rPr>
        <w:t xml:space="preserve">致： </w:t>
      </w:r>
    </w:p>
    <w:p>
      <w:pPr>
        <w:spacing w:line="480" w:lineRule="exact"/>
        <w:ind w:firstLine="480" w:firstLineChars="200"/>
        <w:rPr>
          <w:rFonts w:ascii="宋体" w:hAnsi="宋体" w:eastAsia="宋体"/>
          <w:sz w:val="24"/>
          <w:szCs w:val="24"/>
        </w:rPr>
      </w:pPr>
      <w:r>
        <w:rPr>
          <w:rFonts w:hint="eastAsia" w:ascii="宋体" w:hAnsi="宋体" w:eastAsia="宋体" w:cs="宋体"/>
          <w:sz w:val="24"/>
          <w:szCs w:val="24"/>
        </w:rPr>
        <w:t>1．我们决定参加贵方组织的</w:t>
      </w:r>
      <w:r>
        <w:rPr>
          <w:rFonts w:hint="eastAsia" w:ascii="宋体" w:hAnsi="宋体" w:eastAsia="宋体" w:cs="宋体"/>
          <w:sz w:val="24"/>
          <w:szCs w:val="24"/>
          <w:u w:val="single"/>
        </w:rPr>
        <w:t xml:space="preserve">             </w:t>
      </w:r>
      <w:r>
        <w:rPr>
          <w:rFonts w:hint="eastAsia" w:ascii="宋体" w:hAnsi="宋体" w:eastAsia="宋体" w:cs="宋体"/>
          <w:sz w:val="24"/>
          <w:szCs w:val="24"/>
        </w:rPr>
        <w:t>（编号：</w:t>
      </w:r>
      <w:r>
        <w:rPr>
          <w:rFonts w:hint="eastAsia" w:ascii="宋体" w:hAnsi="宋体" w:eastAsia="宋体" w:cs="宋体"/>
          <w:sz w:val="24"/>
          <w:szCs w:val="24"/>
          <w:u w:val="single"/>
        </w:rPr>
        <w:t xml:space="preserve">              </w:t>
      </w:r>
      <w:r>
        <w:rPr>
          <w:rFonts w:hint="eastAsia" w:ascii="宋体" w:hAnsi="宋体" w:eastAsia="宋体" w:cs="宋体"/>
          <w:sz w:val="24"/>
          <w:szCs w:val="24"/>
        </w:rPr>
        <w:t>）竞争性磋商活动。我方授权(姓名和职务)代表我方（磋商响应单位的名称）全权处理本项目磋商的有关事宜。</w:t>
      </w:r>
    </w:p>
    <w:p>
      <w:pPr>
        <w:spacing w:line="480" w:lineRule="exact"/>
        <w:ind w:firstLine="480" w:firstLineChars="200"/>
        <w:rPr>
          <w:rFonts w:ascii="宋体" w:hAnsi="宋体" w:eastAsia="宋体"/>
          <w:sz w:val="24"/>
          <w:szCs w:val="24"/>
        </w:rPr>
      </w:pPr>
      <w:r>
        <w:rPr>
          <w:rFonts w:hint="eastAsia" w:ascii="宋体" w:hAnsi="宋体" w:eastAsia="宋体" w:cs="宋体"/>
          <w:sz w:val="24"/>
          <w:szCs w:val="24"/>
        </w:rPr>
        <w:t>2．我方愿意按照竞争性磋商文件规定的各项要求，向采购人提供所需的服务。</w:t>
      </w:r>
    </w:p>
    <w:p>
      <w:pPr>
        <w:spacing w:line="480" w:lineRule="exact"/>
        <w:ind w:firstLine="480" w:firstLineChars="200"/>
        <w:rPr>
          <w:rFonts w:ascii="宋体" w:hAnsi="宋体" w:eastAsia="宋体"/>
          <w:sz w:val="24"/>
          <w:szCs w:val="24"/>
        </w:rPr>
      </w:pPr>
      <w:r>
        <w:rPr>
          <w:rFonts w:hint="eastAsia" w:ascii="宋体" w:hAnsi="宋体" w:eastAsia="宋体" w:cs="宋体"/>
          <w:sz w:val="24"/>
          <w:szCs w:val="24"/>
        </w:rPr>
        <w:t>3．我方愿意按照竞争性磋商文件规定的要求，缴纳磋商响应保证金</w:t>
      </w:r>
      <w:r>
        <w:rPr>
          <w:rFonts w:hint="eastAsia" w:ascii="宋体" w:hAnsi="宋体" w:eastAsia="宋体" w:cs="宋体"/>
          <w:sz w:val="24"/>
          <w:szCs w:val="24"/>
          <w:u w:val="single"/>
        </w:rPr>
        <w:t xml:space="preserve">      </w:t>
      </w:r>
      <w:r>
        <w:rPr>
          <w:rFonts w:hint="eastAsia" w:ascii="宋体" w:hAnsi="宋体" w:eastAsia="宋体" w:cs="宋体"/>
          <w:sz w:val="24"/>
          <w:szCs w:val="24"/>
        </w:rPr>
        <w:t>元整。</w:t>
      </w:r>
    </w:p>
    <w:p>
      <w:pPr>
        <w:spacing w:line="480" w:lineRule="exact"/>
        <w:ind w:firstLine="480" w:firstLineChars="200"/>
        <w:rPr>
          <w:rFonts w:ascii="宋体" w:hAnsi="宋体" w:eastAsia="宋体"/>
          <w:sz w:val="24"/>
          <w:szCs w:val="24"/>
        </w:rPr>
      </w:pPr>
      <w:r>
        <w:rPr>
          <w:rFonts w:hint="eastAsia" w:ascii="宋体" w:hAnsi="宋体" w:eastAsia="宋体" w:cs="宋体"/>
          <w:sz w:val="24"/>
          <w:szCs w:val="24"/>
        </w:rPr>
        <w:t>4．一旦我方被推荐为成交供应商，我方将严格履行合同规定的责任和义务。</w:t>
      </w:r>
    </w:p>
    <w:p>
      <w:pPr>
        <w:spacing w:line="480" w:lineRule="exact"/>
        <w:ind w:firstLine="480" w:firstLineChars="200"/>
        <w:rPr>
          <w:rFonts w:ascii="宋体" w:hAnsi="宋体" w:eastAsia="宋体"/>
          <w:sz w:val="24"/>
          <w:szCs w:val="24"/>
        </w:rPr>
      </w:pPr>
      <w:r>
        <w:rPr>
          <w:rFonts w:hint="eastAsia" w:ascii="宋体" w:hAnsi="宋体" w:eastAsia="宋体" w:cs="宋体"/>
          <w:sz w:val="24"/>
          <w:szCs w:val="24"/>
        </w:rPr>
        <w:t>5．我方为本项目提交的磋商响应书一式三份，其中正本一份、副本二份。</w:t>
      </w:r>
    </w:p>
    <w:p>
      <w:pPr>
        <w:tabs>
          <w:tab w:val="left" w:pos="840"/>
        </w:tabs>
        <w:spacing w:line="480" w:lineRule="exact"/>
        <w:ind w:firstLine="480" w:firstLineChars="200"/>
        <w:rPr>
          <w:rFonts w:ascii="宋体" w:hAnsi="宋体" w:eastAsia="宋体"/>
          <w:sz w:val="24"/>
          <w:szCs w:val="24"/>
        </w:rPr>
      </w:pPr>
      <w:r>
        <w:rPr>
          <w:rFonts w:hint="eastAsia" w:ascii="宋体" w:hAnsi="宋体" w:eastAsia="宋体" w:cs="宋体"/>
          <w:sz w:val="24"/>
          <w:szCs w:val="24"/>
        </w:rPr>
        <w:t>6．我方愿意提供贵方可能另外要求的、与磋商有关的文件资料，并保证我方已提供和将要提供的文件是真实的、准确的。</w:t>
      </w:r>
    </w:p>
    <w:p>
      <w:pPr>
        <w:tabs>
          <w:tab w:val="left" w:pos="0"/>
          <w:tab w:val="left" w:pos="840"/>
        </w:tabs>
        <w:spacing w:line="480" w:lineRule="exact"/>
        <w:ind w:firstLine="480" w:firstLineChars="200"/>
        <w:rPr>
          <w:rFonts w:ascii="宋体" w:hAnsi="宋体" w:eastAsia="宋体"/>
          <w:sz w:val="24"/>
          <w:szCs w:val="24"/>
        </w:rPr>
      </w:pPr>
      <w:r>
        <w:rPr>
          <w:rFonts w:hint="eastAsia" w:ascii="宋体" w:hAnsi="宋体" w:eastAsia="宋体" w:cs="宋体"/>
          <w:sz w:val="24"/>
          <w:szCs w:val="24"/>
        </w:rPr>
        <w:t>7．我方完全理解贵方不一定将合同授予最低报价（折扣）的供应商。</w:t>
      </w:r>
    </w:p>
    <w:p>
      <w:pPr>
        <w:spacing w:line="480" w:lineRule="exact"/>
        <w:ind w:firstLine="480" w:firstLineChars="200"/>
        <w:rPr>
          <w:rFonts w:ascii="宋体" w:hAnsi="宋体" w:eastAsia="宋体"/>
          <w:sz w:val="24"/>
          <w:szCs w:val="24"/>
        </w:rPr>
      </w:pPr>
      <w:r>
        <w:rPr>
          <w:rFonts w:hint="eastAsia" w:ascii="宋体" w:hAnsi="宋体" w:eastAsia="宋体" w:cs="宋体"/>
          <w:sz w:val="24"/>
          <w:szCs w:val="24"/>
        </w:rPr>
        <w:t>磋商响应单位名称：（公    章）</w:t>
      </w:r>
    </w:p>
    <w:p>
      <w:pPr>
        <w:spacing w:line="480" w:lineRule="exact"/>
        <w:ind w:firstLine="480" w:firstLineChars="200"/>
        <w:rPr>
          <w:rFonts w:ascii="宋体" w:hAnsi="宋体" w:eastAsia="宋体"/>
          <w:sz w:val="24"/>
          <w:szCs w:val="24"/>
          <w:u w:val="single"/>
        </w:rPr>
      </w:pPr>
      <w:r>
        <w:rPr>
          <w:rFonts w:hint="eastAsia" w:ascii="宋体" w:hAnsi="宋体" w:eastAsia="宋体" w:cs="宋体"/>
          <w:sz w:val="24"/>
          <w:szCs w:val="24"/>
        </w:rPr>
        <w:t>磋商响应单位授权代表姓名（签字）：</w:t>
      </w:r>
    </w:p>
    <w:p>
      <w:pPr>
        <w:spacing w:line="480" w:lineRule="exact"/>
        <w:ind w:firstLine="480" w:firstLineChars="200"/>
        <w:rPr>
          <w:rFonts w:ascii="宋体" w:hAnsi="宋体" w:eastAsia="宋体"/>
          <w:sz w:val="24"/>
          <w:szCs w:val="24"/>
        </w:rPr>
      </w:pPr>
      <w:r>
        <w:rPr>
          <w:rFonts w:hint="eastAsia" w:ascii="宋体" w:hAnsi="宋体" w:eastAsia="宋体" w:cs="宋体"/>
          <w:sz w:val="24"/>
          <w:szCs w:val="24"/>
        </w:rPr>
        <w:t>日    期：</w:t>
      </w:r>
    </w:p>
    <w:p>
      <w:pPr>
        <w:spacing w:line="480" w:lineRule="exact"/>
        <w:ind w:firstLine="480" w:firstLineChars="200"/>
        <w:rPr>
          <w:rFonts w:ascii="宋体" w:hAnsi="宋体" w:eastAsia="宋体"/>
          <w:sz w:val="24"/>
          <w:szCs w:val="24"/>
          <w:u w:val="single"/>
        </w:rPr>
      </w:pPr>
      <w:r>
        <w:rPr>
          <w:rFonts w:hint="eastAsia" w:ascii="宋体" w:hAnsi="宋体" w:eastAsia="宋体" w:cs="宋体"/>
          <w:sz w:val="24"/>
          <w:szCs w:val="24"/>
        </w:rPr>
        <w:t>通讯地址：</w:t>
      </w:r>
    </w:p>
    <w:p>
      <w:pPr>
        <w:spacing w:line="480" w:lineRule="exact"/>
        <w:ind w:firstLine="480" w:firstLineChars="200"/>
        <w:rPr>
          <w:rFonts w:ascii="宋体" w:hAnsi="宋体" w:eastAsia="宋体"/>
          <w:sz w:val="24"/>
          <w:szCs w:val="24"/>
          <w:u w:val="single"/>
        </w:rPr>
      </w:pPr>
      <w:r>
        <w:rPr>
          <w:rFonts w:hint="eastAsia" w:ascii="宋体" w:hAnsi="宋体" w:eastAsia="宋体" w:cs="宋体"/>
          <w:sz w:val="24"/>
          <w:szCs w:val="24"/>
        </w:rPr>
        <w:t>邮政编码：           电   话：          传    真：</w:t>
      </w:r>
    </w:p>
    <w:p>
      <w:pPr>
        <w:spacing w:line="480" w:lineRule="exact"/>
        <w:ind w:firstLine="480" w:firstLineChars="200"/>
        <w:rPr>
          <w:rFonts w:ascii="宋体" w:hAnsi="宋体" w:eastAsia="宋体"/>
          <w:sz w:val="24"/>
          <w:szCs w:val="24"/>
        </w:rPr>
      </w:pPr>
      <w:r>
        <w:rPr>
          <w:rFonts w:hint="eastAsia" w:ascii="宋体" w:hAnsi="宋体" w:eastAsia="宋体" w:cs="宋体"/>
          <w:sz w:val="24"/>
          <w:szCs w:val="24"/>
        </w:rPr>
        <w:t xml:space="preserve">磋商响应单位开户行: </w:t>
      </w:r>
    </w:p>
    <w:p>
      <w:pPr>
        <w:spacing w:line="480" w:lineRule="exact"/>
        <w:ind w:firstLine="480" w:firstLineChars="200"/>
        <w:rPr>
          <w:rFonts w:ascii="宋体" w:hAnsi="宋体" w:eastAsia="宋体"/>
          <w:sz w:val="24"/>
          <w:szCs w:val="24"/>
          <w:u w:val="single"/>
        </w:rPr>
      </w:pPr>
      <w:r>
        <w:rPr>
          <w:rFonts w:hint="eastAsia" w:ascii="宋体" w:hAnsi="宋体" w:eastAsia="宋体" w:cs="宋体"/>
          <w:sz w:val="24"/>
          <w:szCs w:val="24"/>
        </w:rPr>
        <w:t xml:space="preserve">账          号: </w:t>
      </w:r>
    </w:p>
    <w:p>
      <w:pPr>
        <w:pStyle w:val="19"/>
        <w:widowControl/>
        <w:rPr>
          <w:rFonts w:ascii="宋体" w:hAnsi="宋体" w:eastAsia="宋体" w:cs="宋体"/>
          <w:b/>
          <w:bCs/>
          <w:sz w:val="28"/>
          <w:szCs w:val="28"/>
        </w:rPr>
      </w:pPr>
      <w:bookmarkStart w:id="26" w:name="_Toc383776354"/>
    </w:p>
    <w:p>
      <w:pPr>
        <w:pStyle w:val="19"/>
        <w:widowControl/>
        <w:rPr>
          <w:rFonts w:ascii="宋体" w:hAnsi="宋体" w:eastAsia="宋体" w:cs="宋体"/>
          <w:b/>
          <w:bCs/>
          <w:sz w:val="28"/>
          <w:szCs w:val="28"/>
        </w:rPr>
      </w:pPr>
    </w:p>
    <w:p>
      <w:pPr>
        <w:pStyle w:val="19"/>
        <w:widowControl/>
        <w:rPr>
          <w:rFonts w:ascii="宋体" w:hAnsi="宋体" w:eastAsia="宋体"/>
          <w:b/>
          <w:bCs/>
          <w:sz w:val="28"/>
          <w:szCs w:val="28"/>
        </w:rPr>
      </w:pPr>
      <w:r>
        <w:rPr>
          <w:rFonts w:hint="eastAsia" w:ascii="宋体" w:hAnsi="宋体" w:eastAsia="宋体" w:cs="宋体"/>
          <w:b/>
          <w:bCs/>
          <w:sz w:val="28"/>
          <w:szCs w:val="28"/>
        </w:rPr>
        <w:t>二、</w:t>
      </w:r>
      <w:bookmarkEnd w:id="26"/>
      <w:r>
        <w:rPr>
          <w:rFonts w:hint="eastAsia" w:ascii="宋体" w:hAnsi="宋体" w:eastAsia="宋体" w:cs="宋体"/>
          <w:b/>
          <w:bCs/>
          <w:sz w:val="28"/>
          <w:szCs w:val="28"/>
        </w:rPr>
        <w:t>技术服务方案</w:t>
      </w:r>
    </w:p>
    <w:p>
      <w:pPr>
        <w:wordWrap w:val="0"/>
        <w:adjustRightInd w:val="0"/>
        <w:snapToGrid w:val="0"/>
        <w:rPr>
          <w:rFonts w:ascii="宋体" w:hAnsi="宋体" w:eastAsia="宋体" w:cs="宋体"/>
          <w:b/>
          <w:sz w:val="28"/>
          <w:szCs w:val="28"/>
        </w:rPr>
      </w:pPr>
    </w:p>
    <w:p>
      <w:pPr>
        <w:wordWrap w:val="0"/>
        <w:adjustRightInd w:val="0"/>
        <w:snapToGrid w:val="0"/>
        <w:rPr>
          <w:rFonts w:ascii="宋体" w:hAnsi="宋体" w:eastAsia="宋体" w:cs="宋体"/>
          <w:b/>
          <w:sz w:val="24"/>
          <w:szCs w:val="24"/>
        </w:rPr>
      </w:pPr>
      <w:r>
        <w:rPr>
          <w:rFonts w:hint="eastAsia" w:ascii="宋体" w:hAnsi="宋体" w:eastAsia="宋体" w:cs="宋体"/>
          <w:b/>
          <w:sz w:val="24"/>
          <w:szCs w:val="24"/>
        </w:rPr>
        <w:t>（一）供应商简介</w:t>
      </w:r>
    </w:p>
    <w:p>
      <w:pPr>
        <w:wordWrap w:val="0"/>
        <w:adjustRightInd w:val="0"/>
        <w:snapToGrid w:val="0"/>
        <w:rPr>
          <w:rFonts w:ascii="宋体" w:hAnsi="宋体" w:eastAsia="宋体" w:cs="宋体"/>
          <w:sz w:val="24"/>
          <w:szCs w:val="24"/>
        </w:rPr>
      </w:pPr>
      <w:r>
        <w:rPr>
          <w:rFonts w:hint="eastAsia" w:ascii="宋体" w:hAnsi="宋体" w:eastAsia="宋体" w:cs="宋体"/>
          <w:sz w:val="24"/>
          <w:szCs w:val="24"/>
        </w:rPr>
        <w:t>（不超过1000字）</w:t>
      </w:r>
    </w:p>
    <w:p>
      <w:pPr>
        <w:wordWrap w:val="0"/>
        <w:adjustRightInd w:val="0"/>
        <w:snapToGrid w:val="0"/>
        <w:rPr>
          <w:rFonts w:ascii="宋体" w:hAnsi="宋体" w:eastAsia="宋体" w:cs="宋体"/>
          <w:b/>
          <w:sz w:val="24"/>
          <w:szCs w:val="24"/>
        </w:rPr>
      </w:pPr>
    </w:p>
    <w:p>
      <w:pPr>
        <w:wordWrap w:val="0"/>
        <w:adjustRightInd w:val="0"/>
        <w:snapToGrid w:val="0"/>
        <w:rPr>
          <w:rFonts w:ascii="宋体" w:hAnsi="宋体" w:eastAsia="宋体" w:cs="宋体"/>
          <w:b/>
          <w:sz w:val="24"/>
          <w:szCs w:val="24"/>
        </w:rPr>
      </w:pPr>
      <w:r>
        <w:rPr>
          <w:rFonts w:hint="eastAsia" w:ascii="宋体" w:hAnsi="宋体" w:eastAsia="宋体" w:cs="宋体"/>
          <w:b/>
          <w:sz w:val="24"/>
          <w:szCs w:val="24"/>
        </w:rPr>
        <w:t>（二）技术服务方案</w:t>
      </w:r>
    </w:p>
    <w:p>
      <w:pPr>
        <w:wordWrap w:val="0"/>
        <w:adjustRightInd w:val="0"/>
        <w:snapToGrid w:val="0"/>
        <w:rPr>
          <w:rFonts w:ascii="宋体" w:hAnsi="宋体" w:eastAsia="宋体" w:cs="宋体"/>
          <w:sz w:val="24"/>
          <w:szCs w:val="24"/>
        </w:rPr>
      </w:pPr>
      <w:r>
        <w:rPr>
          <w:rFonts w:hint="eastAsia" w:ascii="宋体" w:hAnsi="宋体" w:eastAsia="宋体" w:cs="宋体"/>
          <w:sz w:val="24"/>
          <w:szCs w:val="24"/>
        </w:rPr>
        <w:t>（详细说明）</w:t>
      </w:r>
    </w:p>
    <w:p>
      <w:pPr>
        <w:rPr>
          <w:rFonts w:ascii="宋体" w:hAnsi="宋体" w:eastAsia="宋体"/>
          <w:color w:val="FF0000"/>
          <w:sz w:val="28"/>
          <w:szCs w:val="28"/>
        </w:rPr>
      </w:pPr>
    </w:p>
    <w:p>
      <w:pPr>
        <w:pStyle w:val="19"/>
        <w:widowControl/>
        <w:rPr>
          <w:rFonts w:ascii="宋体" w:hAnsi="宋体" w:eastAsia="宋体"/>
          <w:b/>
          <w:bCs/>
          <w:sz w:val="28"/>
          <w:szCs w:val="28"/>
        </w:rPr>
      </w:pPr>
      <w:bookmarkStart w:id="27" w:name="_Toc383776356"/>
      <w:r>
        <w:rPr>
          <w:rFonts w:hint="eastAsia" w:ascii="宋体" w:hAnsi="宋体" w:eastAsia="宋体" w:cs="宋体"/>
          <w:b/>
          <w:bCs/>
          <w:sz w:val="28"/>
          <w:szCs w:val="28"/>
        </w:rPr>
        <w:t>三、法定代表人授权书</w:t>
      </w:r>
      <w:bookmarkEnd w:id="27"/>
    </w:p>
    <w:p>
      <w:pPr>
        <w:rPr>
          <w:rFonts w:ascii="宋体" w:hAnsi="宋体" w:eastAsia="宋体"/>
          <w:b/>
          <w:bCs/>
          <w:sz w:val="28"/>
          <w:szCs w:val="28"/>
        </w:rPr>
      </w:pPr>
    </w:p>
    <w:p>
      <w:pPr>
        <w:pStyle w:val="7"/>
        <w:widowControl/>
        <w:tabs>
          <w:tab w:val="left" w:pos="900"/>
        </w:tabs>
        <w:spacing w:line="360" w:lineRule="auto"/>
        <w:rPr>
          <w:rFonts w:ascii="宋体" w:hAnsi="宋体" w:eastAsia="宋体" w:cs="Times New Roman"/>
          <w:sz w:val="24"/>
          <w:szCs w:val="24"/>
        </w:rPr>
      </w:pPr>
      <w:r>
        <w:rPr>
          <w:rFonts w:hint="eastAsia" w:ascii="宋体" w:hAnsi="宋体" w:eastAsia="宋体" w:cs="宋体"/>
          <w:sz w:val="24"/>
          <w:szCs w:val="24"/>
        </w:rPr>
        <w:t>致：</w:t>
      </w:r>
    </w:p>
    <w:p>
      <w:pPr>
        <w:spacing w:line="360" w:lineRule="auto"/>
        <w:ind w:firstLine="480" w:firstLineChars="200"/>
        <w:rPr>
          <w:rFonts w:ascii="宋体" w:hAnsi="宋体" w:eastAsia="宋体"/>
          <w:sz w:val="24"/>
          <w:szCs w:val="24"/>
        </w:rPr>
      </w:pPr>
      <w:r>
        <w:rPr>
          <w:rFonts w:hint="eastAsia" w:ascii="宋体" w:hAnsi="宋体" w:eastAsia="宋体" w:cs="宋体"/>
          <w:sz w:val="24"/>
          <w:szCs w:val="24"/>
        </w:rPr>
        <w:t>本授权书声明：</w:t>
      </w:r>
      <w:r>
        <w:rPr>
          <w:rFonts w:hint="eastAsia" w:ascii="宋体" w:hAnsi="宋体" w:eastAsia="宋体" w:cs="宋体"/>
          <w:sz w:val="24"/>
          <w:szCs w:val="24"/>
          <w:u w:val="single"/>
        </w:rPr>
        <w:t xml:space="preserve">    </w:t>
      </w:r>
      <w:r>
        <w:rPr>
          <w:rFonts w:hint="eastAsia" w:ascii="宋体" w:hAnsi="宋体" w:eastAsia="宋体" w:cs="宋体"/>
          <w:sz w:val="24"/>
          <w:szCs w:val="24"/>
        </w:rPr>
        <w:t>（供应商名称）的</w:t>
      </w:r>
      <w:r>
        <w:rPr>
          <w:rFonts w:hint="eastAsia" w:ascii="宋体" w:hAnsi="宋体" w:eastAsia="宋体" w:cs="宋体"/>
          <w:sz w:val="24"/>
          <w:szCs w:val="24"/>
          <w:u w:val="single"/>
        </w:rPr>
        <w:t xml:space="preserve">     </w:t>
      </w:r>
      <w:r>
        <w:rPr>
          <w:rFonts w:hint="eastAsia" w:ascii="宋体" w:hAnsi="宋体" w:eastAsia="宋体" w:cs="宋体"/>
          <w:sz w:val="24"/>
          <w:szCs w:val="24"/>
        </w:rPr>
        <w:t>（法人代表姓名、职务）授权</w:t>
      </w:r>
      <w:r>
        <w:rPr>
          <w:rFonts w:hint="eastAsia" w:ascii="宋体" w:hAnsi="宋体" w:eastAsia="宋体" w:cs="宋体"/>
          <w:sz w:val="24"/>
          <w:szCs w:val="24"/>
          <w:u w:val="single"/>
        </w:rPr>
        <w:t xml:space="preserve">   </w:t>
      </w:r>
      <w:r>
        <w:rPr>
          <w:rFonts w:hint="eastAsia" w:ascii="宋体" w:hAnsi="宋体" w:eastAsia="宋体" w:cs="宋体"/>
          <w:sz w:val="24"/>
          <w:szCs w:val="24"/>
        </w:rPr>
        <w:t>（被授权人的姓名、职务）为我方就＂</w:t>
      </w:r>
      <w:r>
        <w:rPr>
          <w:rFonts w:hint="eastAsia" w:ascii="宋体" w:hAnsi="宋体" w:eastAsia="宋体" w:cs="宋体"/>
          <w:sz w:val="24"/>
          <w:szCs w:val="24"/>
          <w:u w:val="single"/>
        </w:rPr>
        <w:t>（项目全称）</w:t>
      </w:r>
      <w:r>
        <w:rPr>
          <w:rFonts w:hint="eastAsia" w:ascii="宋体" w:hAnsi="宋体" w:eastAsia="宋体" w:cs="宋体"/>
          <w:sz w:val="24"/>
          <w:szCs w:val="24"/>
        </w:rPr>
        <w:t>＂竞争性磋商活动的合法代理人，以我方名义全权处理与该项目响应、磋商、签订合同以及合同执行有关的一切事务。</w:t>
      </w:r>
    </w:p>
    <w:p>
      <w:pPr>
        <w:spacing w:line="360" w:lineRule="auto"/>
        <w:ind w:firstLine="480" w:firstLineChars="200"/>
        <w:rPr>
          <w:rFonts w:ascii="宋体" w:hAnsi="宋体" w:eastAsia="宋体"/>
          <w:sz w:val="24"/>
          <w:szCs w:val="24"/>
        </w:rPr>
      </w:pPr>
      <w:r>
        <w:rPr>
          <w:rFonts w:hint="eastAsia" w:ascii="宋体" w:hAnsi="宋体" w:eastAsia="宋体" w:cs="宋体"/>
          <w:sz w:val="24"/>
          <w:szCs w:val="24"/>
        </w:rPr>
        <w:t>特此声明。</w:t>
      </w:r>
    </w:p>
    <w:p>
      <w:pPr>
        <w:spacing w:line="360" w:lineRule="auto"/>
        <w:ind w:firstLine="480" w:firstLineChars="200"/>
        <w:rPr>
          <w:rFonts w:ascii="宋体" w:hAnsi="宋体" w:eastAsia="宋体"/>
          <w:sz w:val="24"/>
          <w:szCs w:val="24"/>
        </w:rPr>
      </w:pPr>
    </w:p>
    <w:p>
      <w:pPr>
        <w:spacing w:line="360" w:lineRule="auto"/>
        <w:ind w:firstLine="480" w:firstLineChars="200"/>
        <w:rPr>
          <w:rFonts w:ascii="宋体" w:hAnsi="宋体" w:eastAsia="宋体"/>
          <w:sz w:val="24"/>
          <w:szCs w:val="24"/>
        </w:rPr>
      </w:pPr>
    </w:p>
    <w:p>
      <w:pPr>
        <w:spacing w:line="360" w:lineRule="auto"/>
        <w:ind w:firstLine="480" w:firstLineChars="200"/>
        <w:rPr>
          <w:rFonts w:ascii="宋体" w:hAnsi="宋体" w:eastAsia="宋体"/>
          <w:sz w:val="24"/>
          <w:szCs w:val="24"/>
          <w:u w:val="single"/>
        </w:rPr>
      </w:pPr>
      <w:r>
        <w:rPr>
          <w:rFonts w:hint="eastAsia" w:ascii="宋体" w:hAnsi="宋体" w:eastAsia="宋体" w:cs="宋体"/>
          <w:sz w:val="24"/>
          <w:szCs w:val="24"/>
        </w:rPr>
        <w:t>法定代表人（签字并盖章）：</w:t>
      </w:r>
    </w:p>
    <w:p>
      <w:pPr>
        <w:spacing w:line="360" w:lineRule="auto"/>
        <w:ind w:firstLine="480" w:firstLineChars="200"/>
        <w:rPr>
          <w:rFonts w:ascii="宋体" w:hAnsi="宋体" w:eastAsia="宋体"/>
          <w:sz w:val="24"/>
          <w:szCs w:val="24"/>
          <w:u w:val="single"/>
        </w:rPr>
      </w:pPr>
      <w:r>
        <w:rPr>
          <w:rFonts w:hint="eastAsia" w:ascii="宋体" w:hAnsi="宋体" w:eastAsia="宋体" w:cs="宋体"/>
          <w:sz w:val="24"/>
          <w:szCs w:val="24"/>
        </w:rPr>
        <w:t>职    务：</w:t>
      </w:r>
    </w:p>
    <w:p>
      <w:pPr>
        <w:spacing w:line="360" w:lineRule="auto"/>
        <w:ind w:firstLine="480" w:firstLineChars="200"/>
        <w:rPr>
          <w:rFonts w:ascii="宋体" w:hAnsi="宋体" w:eastAsia="宋体"/>
          <w:sz w:val="24"/>
          <w:szCs w:val="24"/>
        </w:rPr>
      </w:pPr>
      <w:r>
        <w:rPr>
          <w:rFonts w:hint="eastAsia" w:ascii="宋体" w:hAnsi="宋体" w:eastAsia="宋体" w:cs="宋体"/>
          <w:sz w:val="24"/>
          <w:szCs w:val="24"/>
        </w:rPr>
        <w:t>代理人（被授权人）签字或盖章：</w:t>
      </w:r>
    </w:p>
    <w:p>
      <w:pPr>
        <w:spacing w:line="360" w:lineRule="auto"/>
        <w:ind w:firstLine="480" w:firstLineChars="200"/>
        <w:rPr>
          <w:rFonts w:ascii="宋体" w:hAnsi="宋体" w:eastAsia="宋体"/>
          <w:sz w:val="24"/>
          <w:szCs w:val="24"/>
        </w:rPr>
      </w:pPr>
      <w:r>
        <w:rPr>
          <w:rFonts w:hint="eastAsia" w:ascii="宋体" w:hAnsi="宋体" w:eastAsia="宋体" w:cs="宋体"/>
          <w:sz w:val="24"/>
          <w:szCs w:val="24"/>
        </w:rPr>
        <w:t>职    务：</w:t>
      </w:r>
    </w:p>
    <w:p>
      <w:pPr>
        <w:spacing w:line="360" w:lineRule="auto"/>
        <w:ind w:firstLine="480" w:firstLineChars="200"/>
        <w:rPr>
          <w:rFonts w:ascii="宋体" w:hAnsi="宋体" w:eastAsia="宋体"/>
          <w:sz w:val="24"/>
          <w:szCs w:val="24"/>
        </w:rPr>
      </w:pPr>
      <w:r>
        <w:rPr>
          <w:rFonts w:hint="eastAsia" w:ascii="宋体" w:hAnsi="宋体" w:eastAsia="宋体" w:cs="宋体"/>
          <w:sz w:val="24"/>
          <w:szCs w:val="24"/>
        </w:rPr>
        <w:t>供应商名称：（公章）</w:t>
      </w:r>
    </w:p>
    <w:p>
      <w:pPr>
        <w:spacing w:line="360" w:lineRule="auto"/>
        <w:ind w:firstLine="480" w:firstLineChars="200"/>
        <w:rPr>
          <w:rFonts w:ascii="宋体" w:hAnsi="宋体" w:eastAsia="宋体"/>
          <w:sz w:val="24"/>
          <w:szCs w:val="24"/>
          <w:u w:val="single"/>
        </w:rPr>
      </w:pPr>
      <w:r>
        <w:rPr>
          <w:rFonts w:hint="eastAsia" w:ascii="宋体" w:hAnsi="宋体" w:eastAsia="宋体" w:cs="宋体"/>
          <w:sz w:val="24"/>
          <w:szCs w:val="24"/>
        </w:rPr>
        <w:t>日      期：</w:t>
      </w:r>
    </w:p>
    <w:p>
      <w:pPr>
        <w:pStyle w:val="2"/>
        <w:widowControl/>
        <w:spacing w:before="0" w:after="0" w:line="360" w:lineRule="auto"/>
        <w:ind w:firstLine="480" w:firstLineChars="200"/>
        <w:rPr>
          <w:rFonts w:ascii="宋体" w:hAnsi="宋体" w:eastAsia="宋体" w:cs="Times New Roman"/>
          <w:b w:val="0"/>
          <w:bCs w:val="0"/>
          <w:sz w:val="24"/>
          <w:szCs w:val="24"/>
        </w:rPr>
      </w:pPr>
      <w:r>
        <w:rPr>
          <w:rFonts w:hint="eastAsia" w:ascii="宋体" w:hAnsi="宋体" w:eastAsia="宋体" w:cs="宋体"/>
          <w:b w:val="0"/>
          <w:bCs w:val="0"/>
          <w:sz w:val="24"/>
          <w:szCs w:val="24"/>
        </w:rPr>
        <w:t>（提供供应商法定代表人、被授权代表人身份证复印件）</w:t>
      </w:r>
    </w:p>
    <w:p>
      <w:pPr>
        <w:ind w:firstLine="560" w:firstLineChars="200"/>
        <w:rPr>
          <w:rFonts w:ascii="宋体" w:hAnsi="宋体" w:eastAsia="宋体"/>
          <w:sz w:val="28"/>
          <w:szCs w:val="28"/>
          <w:u w:val="single"/>
        </w:rPr>
      </w:pPr>
    </w:p>
    <w:p>
      <w:pPr>
        <w:pStyle w:val="19"/>
        <w:widowControl/>
        <w:rPr>
          <w:rFonts w:ascii="宋体" w:hAnsi="宋体" w:eastAsia="宋体"/>
          <w:b/>
          <w:bCs/>
          <w:sz w:val="28"/>
          <w:szCs w:val="28"/>
        </w:rPr>
      </w:pPr>
      <w:r>
        <w:rPr>
          <w:rFonts w:hint="eastAsia" w:ascii="宋体" w:hAnsi="宋体" w:eastAsia="宋体"/>
          <w:sz w:val="28"/>
          <w:szCs w:val="28"/>
        </w:rPr>
        <w:br w:type="page"/>
      </w:r>
      <w:bookmarkStart w:id="28" w:name="_Toc383776357"/>
      <w:r>
        <w:rPr>
          <w:rFonts w:hint="eastAsia" w:ascii="宋体" w:hAnsi="宋体" w:eastAsia="宋体" w:cs="宋体"/>
          <w:b/>
          <w:bCs/>
          <w:sz w:val="28"/>
          <w:szCs w:val="28"/>
        </w:rPr>
        <w:t>四、资格证明文件</w:t>
      </w:r>
      <w:bookmarkEnd w:id="28"/>
    </w:p>
    <w:p>
      <w:pPr>
        <w:spacing w:line="360" w:lineRule="auto"/>
        <w:ind w:firstLine="480" w:firstLineChars="200"/>
        <w:rPr>
          <w:rFonts w:ascii="宋体" w:hAnsi="宋体" w:eastAsia="宋体" w:cs="宋体"/>
          <w:sz w:val="24"/>
          <w:szCs w:val="24"/>
        </w:rPr>
      </w:pPr>
      <w:bookmarkStart w:id="29" w:name="_Toc380389245"/>
      <w:bookmarkStart w:id="30" w:name="_Toc383776358"/>
      <w:r>
        <w:rPr>
          <w:rFonts w:hint="eastAsia" w:ascii="宋体" w:hAnsi="宋体" w:eastAsia="宋体" w:cs="宋体"/>
          <w:sz w:val="24"/>
          <w:szCs w:val="24"/>
        </w:rPr>
        <w:t>（一）营业执照</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（二）磋商保证金转账单据</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（三）承诺函</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（四）供应商认为需要提交的其它资料</w:t>
      </w:r>
    </w:p>
    <w:bookmarkEnd w:id="29"/>
    <w:bookmarkEnd w:id="30"/>
    <w:p>
      <w:pPr>
        <w:pStyle w:val="19"/>
        <w:widowControl/>
        <w:spacing w:line="360" w:lineRule="auto"/>
        <w:jc w:val="left"/>
        <w:rPr>
          <w:rFonts w:ascii="宋体" w:hAnsi="宋体" w:eastAsia="宋体" w:cs="宋体"/>
          <w:b/>
          <w:bCs/>
          <w:sz w:val="24"/>
          <w:szCs w:val="24"/>
        </w:rPr>
      </w:pPr>
      <w:bookmarkStart w:id="31" w:name="_Toc383776359"/>
    </w:p>
    <w:p>
      <w:pPr>
        <w:pStyle w:val="19"/>
        <w:widowControl/>
        <w:spacing w:line="360" w:lineRule="auto"/>
        <w:jc w:val="left"/>
        <w:rPr>
          <w:rFonts w:ascii="宋体" w:hAnsi="宋体" w:eastAsia="宋体" w:cs="宋体"/>
          <w:b/>
          <w:bCs/>
          <w:sz w:val="24"/>
          <w:szCs w:val="24"/>
        </w:rPr>
      </w:pPr>
    </w:p>
    <w:p>
      <w:pPr>
        <w:pStyle w:val="19"/>
        <w:widowControl/>
        <w:spacing w:line="360" w:lineRule="auto"/>
        <w:jc w:val="left"/>
        <w:rPr>
          <w:rFonts w:ascii="宋体" w:hAnsi="宋体" w:eastAsia="宋体" w:cs="宋体"/>
          <w:b/>
          <w:bCs/>
          <w:sz w:val="24"/>
          <w:szCs w:val="24"/>
        </w:rPr>
      </w:pPr>
    </w:p>
    <w:p>
      <w:pPr>
        <w:pStyle w:val="19"/>
        <w:widowControl/>
        <w:spacing w:line="360" w:lineRule="auto"/>
        <w:rPr>
          <w:rFonts w:ascii="宋体" w:hAnsi="宋体" w:eastAsia="宋体"/>
          <w:b/>
          <w:bCs/>
          <w:sz w:val="28"/>
          <w:szCs w:val="28"/>
        </w:rPr>
      </w:pPr>
      <w:r>
        <w:rPr>
          <w:rFonts w:hint="eastAsia" w:ascii="宋体" w:hAnsi="宋体" w:eastAsia="宋体" w:cs="宋体"/>
          <w:b/>
          <w:bCs/>
          <w:sz w:val="28"/>
          <w:szCs w:val="28"/>
        </w:rPr>
        <w:t>五、本磋商文件需要提供的其他证明材料</w:t>
      </w:r>
      <w:bookmarkEnd w:id="31"/>
    </w:p>
    <w:p>
      <w:pPr>
        <w:jc w:val="center"/>
        <w:rPr>
          <w:rFonts w:ascii="宋体" w:hAnsi="宋体" w:eastAsia="宋体"/>
        </w:rPr>
      </w:pPr>
      <w:r>
        <w:rPr>
          <w:rFonts w:hint="eastAsia" w:ascii="宋体" w:hAnsi="宋体" w:eastAsia="宋体"/>
        </w:rPr>
        <w:br w:type="page"/>
      </w:r>
    </w:p>
    <w:p>
      <w:pPr>
        <w:jc w:val="center"/>
        <w:rPr>
          <w:rFonts w:ascii="宋体" w:hAnsi="宋体" w:eastAsia="宋体" w:cs="宋体"/>
          <w:b/>
          <w:bCs/>
          <w:sz w:val="28"/>
          <w:szCs w:val="28"/>
        </w:rPr>
      </w:pPr>
      <w:r>
        <w:rPr>
          <w:rFonts w:hint="eastAsia" w:ascii="宋体" w:hAnsi="宋体" w:eastAsia="宋体" w:cs="宋体"/>
          <w:b/>
          <w:bCs/>
          <w:sz w:val="28"/>
          <w:szCs w:val="28"/>
        </w:rPr>
        <w:t>六、磋商响应报价表</w:t>
      </w:r>
    </w:p>
    <w:p>
      <w:pPr>
        <w:rPr>
          <w:sz w:val="24"/>
        </w:rPr>
      </w:pPr>
      <w:r>
        <w:rPr>
          <w:rFonts w:hint="eastAsia" w:ascii="宋体" w:hAnsi="宋体" w:cs="宋体"/>
          <w:bCs/>
          <w:kern w:val="0"/>
        </w:rPr>
        <w:t>项</w:t>
      </w:r>
      <w:r>
        <w:rPr>
          <w:rFonts w:hint="eastAsia" w:ascii="宋体" w:hAnsi="宋体" w:cs="宋体"/>
        </w:rPr>
        <w:t>目名称</w:t>
      </w:r>
      <w:r>
        <w:rPr>
          <w:rFonts w:hint="eastAsia"/>
        </w:rPr>
        <w:t>：</w:t>
      </w:r>
      <w:r>
        <w:rPr>
          <w:rFonts w:hint="eastAsia"/>
          <w:u w:val="single"/>
        </w:rPr>
        <w:t xml:space="preserve"> 铜陵学院毕业生就业第三方评价项目 </w:t>
      </w:r>
      <w:r>
        <w:rPr>
          <w:rFonts w:hint="eastAsia"/>
        </w:rPr>
        <w:t xml:space="preserve"> </w:t>
      </w:r>
      <w:r>
        <w:rPr>
          <w:rFonts w:hint="eastAsia" w:ascii="仿宋_GB2312" w:hAnsi="宋体" w:eastAsia="仿宋_GB2312" w:cs="宋体"/>
          <w:bCs/>
          <w:kern w:val="0"/>
          <w:sz w:val="24"/>
        </w:rPr>
        <w:t xml:space="preserve">                           </w:t>
      </w:r>
    </w:p>
    <w:tbl>
      <w:tblPr>
        <w:tblStyle w:val="16"/>
        <w:tblW w:w="9019" w:type="dxa"/>
        <w:tblInd w:w="-7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92"/>
        <w:gridCol w:w="3428"/>
        <w:gridCol w:w="964"/>
        <w:gridCol w:w="795"/>
        <w:gridCol w:w="1050"/>
        <w:gridCol w:w="9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75" w:hRule="atLeast"/>
        </w:trPr>
        <w:tc>
          <w:tcPr>
            <w:tcW w:w="17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s="宋体"/>
                <w:bCs/>
                <w:kern w:val="0"/>
              </w:rPr>
            </w:pPr>
            <w:r>
              <w:rPr>
                <w:rFonts w:hint="eastAsia" w:ascii="宋体" w:hAnsi="宋体" w:cs="宋体"/>
                <w:bCs/>
                <w:kern w:val="0"/>
              </w:rPr>
              <w:t>项目(设备)名称</w:t>
            </w:r>
          </w:p>
        </w:tc>
        <w:tc>
          <w:tcPr>
            <w:tcW w:w="342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s="宋体"/>
                <w:bCs/>
                <w:kern w:val="0"/>
              </w:rPr>
            </w:pPr>
            <w:r>
              <w:rPr>
                <w:rFonts w:hint="eastAsia" w:ascii="宋体" w:hAnsi="宋体" w:cs="宋体"/>
                <w:bCs/>
                <w:kern w:val="0"/>
              </w:rPr>
              <w:t>详细技术参数或规格型号要求</w:t>
            </w: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s="宋体"/>
                <w:bCs/>
                <w:kern w:val="0"/>
              </w:rPr>
            </w:pPr>
            <w:r>
              <w:rPr>
                <w:rFonts w:hint="eastAsia" w:ascii="宋体" w:hAnsi="宋体" w:cs="宋体"/>
                <w:bCs/>
                <w:kern w:val="0"/>
              </w:rPr>
              <w:t>计量单位</w:t>
            </w:r>
          </w:p>
        </w:tc>
        <w:tc>
          <w:tcPr>
            <w:tcW w:w="79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s="宋体"/>
                <w:bCs/>
                <w:kern w:val="0"/>
              </w:rPr>
            </w:pPr>
            <w:r>
              <w:rPr>
                <w:rFonts w:hint="eastAsia" w:ascii="宋体" w:hAnsi="宋体" w:cs="宋体"/>
                <w:bCs/>
                <w:kern w:val="0"/>
              </w:rPr>
              <w:t>数量</w:t>
            </w:r>
          </w:p>
        </w:tc>
        <w:tc>
          <w:tcPr>
            <w:tcW w:w="105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s="宋体"/>
                <w:bCs/>
                <w:kern w:val="0"/>
              </w:rPr>
            </w:pPr>
            <w:r>
              <w:rPr>
                <w:rFonts w:hint="eastAsia" w:ascii="宋体" w:hAnsi="宋体" w:cs="宋体"/>
                <w:bCs/>
                <w:kern w:val="0"/>
              </w:rPr>
              <w:t>单价</w:t>
            </w:r>
          </w:p>
          <w:p>
            <w:pPr>
              <w:adjustRightInd w:val="0"/>
              <w:snapToGrid w:val="0"/>
              <w:jc w:val="center"/>
              <w:rPr>
                <w:rFonts w:ascii="宋体" w:hAnsi="宋体" w:cs="宋体"/>
                <w:bCs/>
                <w:kern w:val="0"/>
              </w:rPr>
            </w:pPr>
            <w:r>
              <w:rPr>
                <w:rFonts w:hint="eastAsia" w:ascii="宋体" w:hAnsi="宋体" w:cs="宋体"/>
                <w:bCs/>
                <w:kern w:val="0"/>
              </w:rPr>
              <w:t>（每年）</w:t>
            </w:r>
          </w:p>
        </w:tc>
        <w:tc>
          <w:tcPr>
            <w:tcW w:w="99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s="宋体"/>
                <w:bCs/>
                <w:kern w:val="0"/>
              </w:rPr>
            </w:pPr>
            <w:r>
              <w:rPr>
                <w:rFonts w:hint="eastAsia" w:ascii="宋体" w:hAnsi="宋体" w:cs="宋体"/>
                <w:bCs/>
                <w:kern w:val="0"/>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180" w:hRule="atLeast"/>
        </w:trPr>
        <w:tc>
          <w:tcPr>
            <w:tcW w:w="17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s="宋体"/>
                <w:bCs/>
                <w:kern w:val="0"/>
              </w:rPr>
            </w:pPr>
            <w:r>
              <w:rPr>
                <w:rFonts w:hint="eastAsia" w:ascii="宋体" w:hAnsi="宋体" w:cs="宋体"/>
                <w:bCs/>
                <w:kern w:val="0"/>
              </w:rPr>
              <w:t>铜陵学院毕业生就业质量年度报告项目</w:t>
            </w:r>
          </w:p>
        </w:tc>
        <w:tc>
          <w:tcPr>
            <w:tcW w:w="3428" w:type="dxa"/>
            <w:tcBorders>
              <w:top w:val="single" w:color="auto" w:sz="4" w:space="0"/>
              <w:left w:val="single" w:color="auto" w:sz="4" w:space="0"/>
              <w:bottom w:val="single" w:color="auto" w:sz="4" w:space="0"/>
              <w:right w:val="single" w:color="auto" w:sz="4" w:space="0"/>
            </w:tcBorders>
            <w:vAlign w:val="top"/>
          </w:tcPr>
          <w:p>
            <w:r>
              <w:rPr>
                <w:rFonts w:hint="eastAsia"/>
              </w:rPr>
              <w:t>1、服务交付成果</w:t>
            </w:r>
          </w:p>
          <w:p>
            <w:r>
              <w:rPr>
                <w:rFonts w:hint="eastAsia"/>
              </w:rPr>
              <w:t>（1）铜陵学院2020届毕业生就业质量年度报告，铜陵学院2021届毕业生就业质量年度报告；</w:t>
            </w:r>
          </w:p>
          <w:p>
            <w:r>
              <w:rPr>
                <w:rFonts w:hint="eastAsia"/>
              </w:rPr>
              <w:t>（2）供学校网页端监控调查过程及调查结果数据的系统平台；（提供一年的系统使用权限）；</w:t>
            </w:r>
          </w:p>
          <w:p>
            <w:r>
              <w:rPr>
                <w:rFonts w:hint="eastAsia"/>
              </w:rPr>
              <w:t>（3）学生全部答题原始数据；</w:t>
            </w:r>
          </w:p>
          <w:p>
            <w:r>
              <w:rPr>
                <w:rFonts w:hint="eastAsia"/>
              </w:rPr>
              <w:t>（4）单位调查表与调查数据。</w:t>
            </w:r>
          </w:p>
          <w:p>
            <w:r>
              <w:rPr>
                <w:rFonts w:hint="eastAsia"/>
              </w:rPr>
              <w:t>2、系统平台功能要求</w:t>
            </w:r>
          </w:p>
          <w:p>
            <w:r>
              <w:rPr>
                <w:rFonts w:hint="eastAsia"/>
              </w:rPr>
              <w:t>（1）可监控调查实施进度：</w:t>
            </w:r>
          </w:p>
          <w:p>
            <w:r>
              <w:rPr>
                <w:rFonts w:hint="eastAsia"/>
              </w:rPr>
              <w:t>包括答卷查询、回收统计监测，答卷查看等功能，查看问卷回收情况，并验证问卷答题真实性；</w:t>
            </w:r>
          </w:p>
          <w:p>
            <w:r>
              <w:rPr>
                <w:rFonts w:hint="eastAsia"/>
              </w:rPr>
              <w:t>（2）可查询关键数据指标</w:t>
            </w:r>
          </w:p>
          <w:p>
            <w:r>
              <w:rPr>
                <w:rFonts w:hint="eastAsia"/>
              </w:rPr>
              <w:t>以快速、简洁的方式查询毕业生就业状况的关键数据指标，利用平台全校毕业生的各维度的分析数据，了解各院系/各专业的状况。</w:t>
            </w:r>
          </w:p>
          <w:p>
            <w:r>
              <w:rPr>
                <w:rFonts w:hint="eastAsia"/>
              </w:rPr>
              <w:t>3、报告撰写要求</w:t>
            </w:r>
          </w:p>
          <w:p>
            <w:r>
              <w:rPr>
                <w:rFonts w:hint="eastAsia"/>
              </w:rPr>
              <w:t>按照教育部的大纲，结合我校情况，配置专业的咨询团队，提供报告撰写服务。主动为学校做好项目咨询服务，指定至少一名项目责任人与学校定向沟通联系。参照大纲见附件一。</w:t>
            </w:r>
          </w:p>
          <w:p>
            <w:r>
              <w:rPr>
                <w:rFonts w:hint="eastAsia"/>
              </w:rPr>
              <w:t>4、2020年12月底交付2020届毕业生就业质量年度报告。2021年12月底交付2021届毕业生就业质量年度报告</w:t>
            </w:r>
          </w:p>
          <w:p>
            <w:pPr>
              <w:adjustRightInd w:val="0"/>
              <w:snapToGrid w:val="0"/>
              <w:spacing w:line="560" w:lineRule="exact"/>
              <w:jc w:val="center"/>
              <w:rPr>
                <w:rFonts w:ascii="仿宋_GB2312" w:hAnsi="宋体" w:eastAsia="仿宋_GB2312" w:cs="宋体"/>
                <w:bCs/>
                <w:kern w:val="0"/>
              </w:rPr>
            </w:pPr>
          </w:p>
          <w:p>
            <w:pPr>
              <w:adjustRightInd w:val="0"/>
              <w:snapToGrid w:val="0"/>
              <w:spacing w:line="560" w:lineRule="exact"/>
              <w:jc w:val="center"/>
              <w:rPr>
                <w:rFonts w:ascii="仿宋_GB2312" w:hAnsi="宋体" w:eastAsia="仿宋_GB2312" w:cs="宋体"/>
                <w:bCs/>
                <w:kern w:val="0"/>
              </w:rPr>
            </w:pP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宋体" w:hAnsi="宋体" w:cs="宋体"/>
                <w:bCs/>
                <w:kern w:val="0"/>
              </w:rPr>
            </w:pPr>
            <w:r>
              <w:rPr>
                <w:rFonts w:hint="eastAsia" w:ascii="宋体" w:hAnsi="宋体" w:cs="宋体"/>
                <w:bCs/>
                <w:kern w:val="0"/>
              </w:rPr>
              <w:t>年</w:t>
            </w:r>
          </w:p>
        </w:tc>
        <w:tc>
          <w:tcPr>
            <w:tcW w:w="79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宋体" w:hAnsi="宋体" w:cs="宋体"/>
                <w:bCs/>
                <w:kern w:val="0"/>
              </w:rPr>
            </w:pPr>
            <w:r>
              <w:rPr>
                <w:rFonts w:hint="eastAsia" w:ascii="宋体" w:hAnsi="宋体" w:cs="宋体"/>
                <w:bCs/>
                <w:kern w:val="0"/>
              </w:rPr>
              <w:t>1</w:t>
            </w:r>
          </w:p>
        </w:tc>
        <w:tc>
          <w:tcPr>
            <w:tcW w:w="10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宋体" w:eastAsia="仿宋_GB2312" w:cs="宋体"/>
                <w:bCs/>
                <w:kern w:val="0"/>
              </w:rPr>
            </w:pPr>
          </w:p>
        </w:tc>
        <w:tc>
          <w:tcPr>
            <w:tcW w:w="99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宋体" w:eastAsia="仿宋_GB2312" w:cs="宋体"/>
                <w:bCs/>
                <w:kern w:val="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180" w:hRule="atLeast"/>
        </w:trPr>
        <w:tc>
          <w:tcPr>
            <w:tcW w:w="17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s="宋体"/>
                <w:bCs/>
                <w:kern w:val="0"/>
              </w:rPr>
            </w:pPr>
            <w:r>
              <w:rPr>
                <w:rFonts w:hint="eastAsia" w:ascii="宋体" w:hAnsi="宋体" w:cs="宋体"/>
                <w:bCs/>
                <w:kern w:val="0"/>
              </w:rPr>
              <w:t>铜陵学院毕业生培养质量中期评价项目</w:t>
            </w:r>
          </w:p>
        </w:tc>
        <w:tc>
          <w:tcPr>
            <w:tcW w:w="3428" w:type="dxa"/>
            <w:tcBorders>
              <w:top w:val="single" w:color="auto" w:sz="4" w:space="0"/>
              <w:left w:val="single" w:color="auto" w:sz="4" w:space="0"/>
              <w:bottom w:val="single" w:color="auto" w:sz="4" w:space="0"/>
              <w:right w:val="single" w:color="auto" w:sz="4" w:space="0"/>
            </w:tcBorders>
            <w:vAlign w:val="top"/>
          </w:tcPr>
          <w:p>
            <w:r>
              <w:rPr>
                <w:rFonts w:hint="eastAsia"/>
              </w:rPr>
              <w:t>1、服务交付成果</w:t>
            </w:r>
          </w:p>
          <w:p>
            <w:r>
              <w:rPr>
                <w:rFonts w:hint="eastAsia"/>
              </w:rPr>
              <w:t>（1）铜陵学院2017届毕业生培养质量中期评价报告，铜陵学院2018届毕业生培养质量中期评价报告</w:t>
            </w:r>
          </w:p>
          <w:p>
            <w:r>
              <w:rPr>
                <w:rFonts w:hint="eastAsia"/>
              </w:rPr>
              <w:t>（2）供学校网页端监控调查过程及调查结果数据的系统平台；（提供一年的系统使用权限）</w:t>
            </w:r>
          </w:p>
          <w:p>
            <w:r>
              <w:rPr>
                <w:rFonts w:hint="eastAsia"/>
              </w:rPr>
              <w:t>（3）学生全部答题原始数据；</w:t>
            </w:r>
          </w:p>
          <w:p>
            <w:r>
              <w:rPr>
                <w:rFonts w:hint="eastAsia"/>
              </w:rPr>
              <w:t>2、系统平台功能要求</w:t>
            </w:r>
          </w:p>
          <w:p>
            <w:r>
              <w:rPr>
                <w:rFonts w:hint="eastAsia"/>
              </w:rPr>
              <w:t>（1）可监控调查实施进度：</w:t>
            </w:r>
          </w:p>
          <w:p>
            <w:r>
              <w:rPr>
                <w:rFonts w:hint="eastAsia"/>
              </w:rPr>
              <w:t>包括答卷查询、回收统计监测，答卷查看等功能，查看问卷回收情况，并验证问卷答题真实性</w:t>
            </w:r>
          </w:p>
          <w:p>
            <w:r>
              <w:rPr>
                <w:rFonts w:hint="eastAsia"/>
              </w:rPr>
              <w:t>（2）可查询关键数据指标</w:t>
            </w:r>
          </w:p>
          <w:p>
            <w:r>
              <w:rPr>
                <w:rFonts w:hint="eastAsia"/>
              </w:rPr>
              <w:t>以快速、简洁的方式查询毕业生就业状况的关键数据指标，利用平台全校毕业生的各维度的分析数据，了解各院系/各专业的状况</w:t>
            </w:r>
          </w:p>
          <w:p>
            <w:r>
              <w:rPr>
                <w:rFonts w:hint="eastAsia"/>
              </w:rPr>
              <w:t>3、报告撰写要求</w:t>
            </w:r>
          </w:p>
          <w:p>
            <w:r>
              <w:rPr>
                <w:rFonts w:hint="eastAsia"/>
              </w:rPr>
              <w:t>参照大纲（附件二），结合我校情况，配置专业的咨询团队，提供报告撰写服务。主动为学校做好项目咨询服务，指定至少一名项目责任人与学校定向沟通联系。</w:t>
            </w:r>
          </w:p>
          <w:p>
            <w:pPr>
              <w:rPr>
                <w:rFonts w:ascii="仿宋_GB2312" w:hAnsi="宋体" w:eastAsia="仿宋_GB2312" w:cs="宋体"/>
                <w:bCs/>
                <w:kern w:val="0"/>
              </w:rPr>
            </w:pPr>
            <w:r>
              <w:rPr>
                <w:rFonts w:hint="eastAsia"/>
              </w:rPr>
              <w:t>4、自项目开始之日起三个月内完成交付。</w:t>
            </w: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宋体" w:hAnsi="宋体" w:cs="宋体"/>
                <w:bCs/>
                <w:kern w:val="0"/>
              </w:rPr>
            </w:pPr>
            <w:r>
              <w:rPr>
                <w:rFonts w:hint="eastAsia" w:ascii="宋体" w:hAnsi="宋体" w:cs="宋体"/>
                <w:bCs/>
                <w:kern w:val="0"/>
              </w:rPr>
              <w:t>年</w:t>
            </w:r>
          </w:p>
        </w:tc>
        <w:tc>
          <w:tcPr>
            <w:tcW w:w="79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宋体" w:hAnsi="宋体" w:cs="宋体"/>
                <w:bCs/>
                <w:kern w:val="0"/>
              </w:rPr>
            </w:pPr>
            <w:r>
              <w:rPr>
                <w:rFonts w:hint="eastAsia" w:ascii="宋体" w:hAnsi="宋体" w:cs="宋体"/>
                <w:bCs/>
                <w:kern w:val="0"/>
              </w:rPr>
              <w:t>1</w:t>
            </w:r>
          </w:p>
        </w:tc>
        <w:tc>
          <w:tcPr>
            <w:tcW w:w="10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宋体" w:eastAsia="仿宋_GB2312" w:cs="宋体"/>
                <w:bCs/>
                <w:kern w:val="0"/>
              </w:rPr>
            </w:pPr>
          </w:p>
        </w:tc>
        <w:tc>
          <w:tcPr>
            <w:tcW w:w="99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560" w:lineRule="exact"/>
              <w:jc w:val="center"/>
              <w:rPr>
                <w:rFonts w:ascii="仿宋_GB2312" w:hAnsi="宋体" w:eastAsia="仿宋_GB2312" w:cs="宋体"/>
                <w:bCs/>
                <w:kern w:val="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00" w:hRule="atLeast"/>
        </w:trPr>
        <w:tc>
          <w:tcPr>
            <w:tcW w:w="9019"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rPr>
                <w:rFonts w:ascii="宋体" w:hAnsi="宋体" w:cs="宋体"/>
                <w:bCs/>
                <w:kern w:val="0"/>
              </w:rPr>
            </w:pPr>
            <w:r>
              <w:rPr>
                <w:rFonts w:hint="eastAsia" w:ascii="宋体" w:hAnsi="宋体" w:cs="宋体"/>
                <w:bCs/>
                <w:kern w:val="0"/>
              </w:rPr>
              <w:t>合计（人民币大写）：</w:t>
            </w:r>
          </w:p>
          <w:p>
            <w:pPr>
              <w:adjustRightInd w:val="0"/>
              <w:snapToGrid w:val="0"/>
              <w:spacing w:line="560" w:lineRule="exact"/>
              <w:rPr>
                <w:rFonts w:ascii="宋体" w:hAnsi="宋体" w:cs="宋体"/>
                <w:bCs/>
                <w:kern w:val="0"/>
              </w:rPr>
            </w:pPr>
            <w:r>
              <w:rPr>
                <w:rFonts w:hint="eastAsia" w:ascii="宋体" w:hAnsi="宋体" w:cs="宋体"/>
                <w:bCs/>
                <w:kern w:val="0"/>
              </w:rPr>
              <w:t xml:space="preserve">    （人民币小写）：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1521" w:hRule="atLeast"/>
        </w:trPr>
        <w:tc>
          <w:tcPr>
            <w:tcW w:w="9019"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s="宋体"/>
                <w:bCs/>
                <w:kern w:val="0"/>
              </w:rPr>
            </w:pPr>
            <w:r>
              <w:rPr>
                <w:rFonts w:hint="eastAsia" w:ascii="宋体" w:hAnsi="宋体" w:cs="宋体"/>
                <w:bCs/>
                <w:kern w:val="0"/>
              </w:rPr>
              <w:t>其他说明：</w:t>
            </w:r>
          </w:p>
          <w:p>
            <w:pPr>
              <w:adjustRightInd w:val="0"/>
              <w:snapToGrid w:val="0"/>
              <w:ind w:firstLine="420" w:firstLineChars="200"/>
              <w:rPr>
                <w:rFonts w:ascii="宋体" w:hAnsi="宋体" w:cs="宋体"/>
                <w:bCs/>
                <w:kern w:val="0"/>
              </w:rPr>
            </w:pPr>
            <w:r>
              <w:rPr>
                <w:rFonts w:hint="eastAsia" w:ascii="宋体" w:hAnsi="宋体" w:cs="宋体"/>
                <w:bCs/>
                <w:kern w:val="0"/>
              </w:rPr>
              <w:t>2020年9-12月实施2020届毕业生就业质量报告项目、</w:t>
            </w:r>
            <w:r>
              <w:rPr>
                <w:rFonts w:ascii="宋体" w:hAnsi="宋体" w:cs="宋体"/>
                <w:bCs/>
                <w:kern w:val="0"/>
              </w:rPr>
              <w:t>201</w:t>
            </w:r>
            <w:r>
              <w:rPr>
                <w:rFonts w:hint="eastAsia" w:ascii="宋体" w:hAnsi="宋体" w:cs="宋体"/>
                <w:bCs/>
                <w:kern w:val="0"/>
              </w:rPr>
              <w:t>7届毕业生培养质量中期评价项目。2021年9-12月实施2021届毕业生就业质量报告项目、</w:t>
            </w:r>
            <w:r>
              <w:rPr>
                <w:rFonts w:ascii="宋体" w:hAnsi="宋体" w:cs="宋体"/>
                <w:bCs/>
                <w:kern w:val="0"/>
              </w:rPr>
              <w:t>201</w:t>
            </w:r>
            <w:r>
              <w:rPr>
                <w:rFonts w:hint="eastAsia" w:ascii="宋体" w:hAnsi="宋体" w:cs="宋体"/>
                <w:bCs/>
                <w:kern w:val="0"/>
              </w:rPr>
              <w:t>8届毕业生培养质量中期评价项目。根据项目实施情况及采购人的满意程度，拟采用1+1+1方式签订服务合同。</w:t>
            </w:r>
          </w:p>
          <w:p>
            <w:pPr>
              <w:adjustRightInd w:val="0"/>
              <w:snapToGrid w:val="0"/>
              <w:rPr>
                <w:rFonts w:ascii="宋体" w:hAnsi="宋体" w:cs="宋体"/>
                <w:bCs/>
                <w:kern w:val="0"/>
              </w:rPr>
            </w:pPr>
          </w:p>
        </w:tc>
      </w:tr>
    </w:tbl>
    <w:p>
      <w:pPr>
        <w:spacing w:line="480" w:lineRule="exact"/>
        <w:jc w:val="right"/>
        <w:rPr>
          <w:rFonts w:ascii="宋体" w:hAnsi="宋体" w:eastAsia="宋体" w:cs="宋体"/>
          <w:sz w:val="24"/>
          <w:szCs w:val="24"/>
        </w:rPr>
      </w:pPr>
    </w:p>
    <w:p>
      <w:pPr>
        <w:spacing w:line="480" w:lineRule="exact"/>
        <w:jc w:val="right"/>
        <w:rPr>
          <w:rFonts w:ascii="宋体" w:hAnsi="宋体" w:eastAsia="宋体"/>
          <w:sz w:val="24"/>
          <w:szCs w:val="24"/>
        </w:rPr>
      </w:pPr>
      <w:r>
        <w:rPr>
          <w:rFonts w:hint="eastAsia" w:ascii="宋体" w:hAnsi="宋体" w:eastAsia="宋体" w:cs="宋体"/>
          <w:sz w:val="24"/>
          <w:szCs w:val="24"/>
        </w:rPr>
        <w:t>磋商响应单位名称（公章）：</w:t>
      </w:r>
    </w:p>
    <w:p>
      <w:pPr>
        <w:spacing w:line="480" w:lineRule="exact"/>
        <w:ind w:firstLine="480" w:firstLineChars="200"/>
        <w:jc w:val="right"/>
        <w:rPr>
          <w:rFonts w:ascii="宋体" w:hAnsi="宋体" w:eastAsia="宋体" w:cs="宋体"/>
          <w:sz w:val="24"/>
          <w:szCs w:val="24"/>
        </w:rPr>
      </w:pPr>
    </w:p>
    <w:p>
      <w:pPr>
        <w:spacing w:line="480" w:lineRule="exact"/>
        <w:ind w:firstLine="480" w:firstLineChars="200"/>
        <w:jc w:val="right"/>
        <w:rPr>
          <w:rFonts w:ascii="宋体" w:hAnsi="宋体" w:cs="宋体"/>
        </w:rPr>
      </w:pPr>
      <w:r>
        <w:rPr>
          <w:rFonts w:hint="eastAsia" w:ascii="宋体" w:hAnsi="宋体" w:eastAsia="宋体" w:cs="宋体"/>
          <w:sz w:val="24"/>
          <w:szCs w:val="24"/>
        </w:rPr>
        <w:t>法定代表人或被授权人（签字或盖章）：</w:t>
      </w:r>
    </w:p>
    <w:p>
      <w:pPr>
        <w:spacing w:beforeLines="50" w:line="360" w:lineRule="auto"/>
        <w:rPr>
          <w:rFonts w:ascii="宋体" w:hAnsi="宋体" w:cs="宋体"/>
        </w:rPr>
      </w:pPr>
    </w:p>
    <w:p>
      <w:pPr>
        <w:spacing w:beforeLines="50" w:line="360" w:lineRule="auto"/>
        <w:rPr>
          <w:rFonts w:ascii="宋体" w:hAnsi="宋体" w:cs="宋体"/>
        </w:rPr>
      </w:pPr>
      <w:r>
        <w:rPr>
          <w:rFonts w:hint="eastAsia" w:ascii="宋体" w:hAnsi="宋体" w:cs="宋体"/>
        </w:rPr>
        <w:t>附件一：</w:t>
      </w:r>
    </w:p>
    <w:p>
      <w:pPr>
        <w:spacing w:beforeLines="50" w:line="360" w:lineRule="auto"/>
        <w:jc w:val="center"/>
        <w:rPr>
          <w:rFonts w:ascii="宋体" w:hAnsi="宋体"/>
          <w:b/>
          <w:sz w:val="32"/>
          <w:szCs w:val="32"/>
        </w:rPr>
      </w:pPr>
      <w:r>
        <w:rPr>
          <w:rFonts w:hint="eastAsia" w:ascii="宋体" w:hAnsi="宋体"/>
          <w:b/>
          <w:sz w:val="32"/>
          <w:szCs w:val="32"/>
        </w:rPr>
        <w:t>铜陵学院毕业生就业质量年度报告大纲（参考格式）</w:t>
      </w:r>
    </w:p>
    <w:p>
      <w:pPr>
        <w:outlineLvl w:val="0"/>
        <w:rPr>
          <w:rFonts w:ascii="宋体" w:hAnsi="宋体"/>
          <w:b/>
          <w:bCs/>
        </w:rPr>
      </w:pPr>
      <w:r>
        <w:rPr>
          <w:rFonts w:hint="eastAsia" w:ascii="宋体" w:hAnsi="宋体"/>
          <w:b/>
          <w:bCs/>
        </w:rPr>
        <w:t>学校概况</w:t>
      </w:r>
    </w:p>
    <w:p>
      <w:pPr>
        <w:outlineLvl w:val="0"/>
        <w:rPr>
          <w:rFonts w:ascii="宋体" w:hAnsi="宋体"/>
          <w:b/>
          <w:bCs/>
        </w:rPr>
      </w:pPr>
      <w:r>
        <w:rPr>
          <w:rFonts w:hint="eastAsia" w:ascii="宋体" w:hAnsi="宋体"/>
          <w:b/>
          <w:bCs/>
        </w:rPr>
        <w:t>报告说明</w:t>
      </w:r>
    </w:p>
    <w:p>
      <w:pPr>
        <w:outlineLvl w:val="0"/>
        <w:rPr>
          <w:rFonts w:ascii="宋体" w:hAnsi="宋体"/>
          <w:b/>
          <w:bCs/>
        </w:rPr>
      </w:pPr>
      <w:r>
        <w:rPr>
          <w:rFonts w:hint="eastAsia" w:ascii="宋体" w:hAnsi="宋体"/>
          <w:b/>
          <w:bCs/>
        </w:rPr>
        <w:t>总体</w:t>
      </w:r>
      <w:r>
        <w:rPr>
          <w:rFonts w:ascii="宋体" w:hAnsi="宋体"/>
          <w:b/>
          <w:bCs/>
        </w:rPr>
        <w:t>结论</w:t>
      </w:r>
    </w:p>
    <w:p>
      <w:pPr>
        <w:outlineLvl w:val="0"/>
        <w:rPr>
          <w:rFonts w:ascii="宋体" w:hAnsi="宋体"/>
          <w:b/>
        </w:rPr>
      </w:pPr>
      <w:r>
        <w:fldChar w:fldCharType="begin"/>
      </w:r>
      <w:r>
        <w:instrText xml:space="preserve"> HYPERLINK \l "_Toc397169494" </w:instrText>
      </w:r>
      <w:r>
        <w:fldChar w:fldCharType="separate"/>
      </w:r>
      <w:r>
        <w:rPr>
          <w:rFonts w:hint="eastAsia" w:ascii="宋体" w:hAnsi="宋体"/>
          <w:b/>
          <w:bCs/>
        </w:rPr>
        <w:t>第一篇：毕业生就业基本情况</w:t>
      </w:r>
      <w:r>
        <w:rPr>
          <w:rFonts w:hint="eastAsia" w:ascii="宋体" w:hAnsi="宋体"/>
          <w:b/>
          <w:bCs/>
        </w:rPr>
        <w:fldChar w:fldCharType="end"/>
      </w:r>
    </w:p>
    <w:p>
      <w:pPr>
        <w:ind w:left="420" w:leftChars="200"/>
        <w:rPr>
          <w:rFonts w:ascii="Calibri" w:hAnsi="Calibri"/>
        </w:rPr>
      </w:pPr>
      <w:r>
        <w:fldChar w:fldCharType="begin"/>
      </w:r>
      <w:r>
        <w:instrText xml:space="preserve"> HYPERLINK \l "_Toc397169495" </w:instrText>
      </w:r>
      <w:r>
        <w:fldChar w:fldCharType="separate"/>
      </w:r>
      <w:r>
        <w:rPr>
          <w:rFonts w:hint="eastAsia" w:ascii="宋体" w:hAnsi="宋体"/>
          <w:b/>
        </w:rPr>
        <w:t>一、毕业生的规模</w:t>
      </w:r>
      <w:r>
        <w:rPr>
          <w:rFonts w:hint="eastAsia" w:ascii="宋体" w:hAnsi="宋体"/>
          <w:b/>
        </w:rPr>
        <w:fldChar w:fldCharType="end"/>
      </w:r>
      <w:r>
        <w:rPr>
          <w:rFonts w:hint="eastAsia" w:ascii="宋体" w:hAnsi="宋体"/>
          <w:b/>
        </w:rPr>
        <w:t>和</w:t>
      </w:r>
      <w:r>
        <w:rPr>
          <w:rFonts w:ascii="宋体" w:hAnsi="宋体"/>
          <w:b/>
        </w:rPr>
        <w:t>结构</w:t>
      </w:r>
    </w:p>
    <w:p>
      <w:pPr>
        <w:ind w:left="420" w:leftChars="200" w:firstLine="480"/>
        <w:rPr>
          <w:rFonts w:ascii="宋体" w:hAnsi="宋体"/>
        </w:rPr>
      </w:pPr>
      <w:r>
        <w:rPr>
          <w:rFonts w:hint="eastAsia" w:ascii="宋体" w:hAnsi="宋体"/>
        </w:rPr>
        <w:t>（一）总体规模（柱形图）</w:t>
      </w:r>
    </w:p>
    <w:p>
      <w:pPr>
        <w:tabs>
          <w:tab w:val="left" w:pos="6825"/>
        </w:tabs>
        <w:ind w:left="420" w:leftChars="200" w:firstLine="480"/>
        <w:rPr>
          <w:rFonts w:ascii="宋体" w:hAnsi="宋体"/>
        </w:rPr>
      </w:pPr>
      <w:r>
        <w:fldChar w:fldCharType="begin"/>
      </w:r>
      <w:r>
        <w:instrText xml:space="preserve"> HYPERLINK \l "_Toc397169497" </w:instrText>
      </w:r>
      <w:r>
        <w:fldChar w:fldCharType="separate"/>
      </w:r>
      <w:r>
        <w:rPr>
          <w:rFonts w:hint="eastAsia" w:ascii="宋体" w:hAnsi="宋体"/>
        </w:rPr>
        <w:t>（二）结构</w:t>
      </w:r>
      <w:r>
        <w:rPr>
          <w:rFonts w:hint="eastAsia" w:ascii="宋体" w:hAnsi="宋体"/>
        </w:rPr>
        <w:fldChar w:fldCharType="end"/>
      </w:r>
      <w:r>
        <w:rPr>
          <w:rFonts w:ascii="宋体" w:hAnsi="宋体"/>
        </w:rPr>
        <w:t>分布</w:t>
      </w:r>
    </w:p>
    <w:p>
      <w:pPr>
        <w:ind w:left="420" w:leftChars="200" w:firstLine="840" w:firstLineChars="400"/>
        <w:rPr>
          <w:rFonts w:ascii="Calibri" w:hAnsi="Calibri"/>
        </w:rPr>
      </w:pPr>
      <w:r>
        <w:fldChar w:fldCharType="begin"/>
      </w:r>
      <w:r>
        <w:instrText xml:space="preserve"> HYPERLINK \l "_Toc397169499" </w:instrText>
      </w:r>
      <w:r>
        <w:fldChar w:fldCharType="separate"/>
      </w:r>
      <w:r>
        <w:rPr>
          <w:rFonts w:ascii="Calibri" w:hAnsi="Calibri"/>
        </w:rPr>
        <w:t>1</w:t>
      </w:r>
      <w:r>
        <w:rPr>
          <w:rFonts w:hint="eastAsia" w:ascii="Calibri" w:hAnsi="Calibri"/>
        </w:rPr>
        <w:t>.</w:t>
      </w:r>
      <w:r>
        <w:rPr>
          <w:rFonts w:hint="eastAsia" w:ascii="Calibri" w:hAnsi="Calibri"/>
        </w:rPr>
        <w:fldChar w:fldCharType="end"/>
      </w:r>
      <w:r>
        <w:rPr>
          <w:rFonts w:hint="eastAsia" w:ascii="Calibri" w:hAnsi="Calibri"/>
        </w:rPr>
        <w:t>院系结构（表格）</w:t>
      </w:r>
    </w:p>
    <w:p>
      <w:pPr>
        <w:ind w:left="420" w:leftChars="200" w:firstLine="840" w:firstLineChars="400"/>
        <w:rPr>
          <w:rFonts w:ascii="Calibri" w:hAnsi="Calibri"/>
        </w:rPr>
      </w:pPr>
      <w:r>
        <w:rPr>
          <w:rFonts w:ascii="Calibri" w:hAnsi="Calibri"/>
        </w:rPr>
        <w:t>2</w:t>
      </w:r>
      <w:r>
        <w:rPr>
          <w:rFonts w:hint="eastAsia" w:ascii="Calibri" w:hAnsi="Calibri"/>
        </w:rPr>
        <w:t>.性别结构（表格）</w:t>
      </w:r>
    </w:p>
    <w:p>
      <w:pPr>
        <w:ind w:left="420" w:leftChars="200" w:firstLine="840" w:firstLineChars="400"/>
        <w:rPr>
          <w:rFonts w:ascii="Calibri" w:hAnsi="Calibri"/>
        </w:rPr>
      </w:pPr>
      <w:r>
        <w:rPr>
          <w:rFonts w:hint="eastAsia" w:ascii="Calibri" w:hAnsi="Calibri"/>
        </w:rPr>
        <w:t>3.生源结构（表格）</w:t>
      </w:r>
    </w:p>
    <w:p>
      <w:pPr>
        <w:ind w:left="420" w:leftChars="200"/>
        <w:rPr>
          <w:rFonts w:ascii="Calibri" w:hAnsi="Calibri"/>
        </w:rPr>
      </w:pPr>
      <w:r>
        <w:fldChar w:fldCharType="begin"/>
      </w:r>
      <w:r>
        <w:instrText xml:space="preserve"> HYPERLINK \l "_Toc397169502" </w:instrText>
      </w:r>
      <w:r>
        <w:fldChar w:fldCharType="separate"/>
      </w:r>
      <w:r>
        <w:rPr>
          <w:rFonts w:hint="eastAsia" w:ascii="宋体" w:hAnsi="宋体"/>
          <w:b/>
        </w:rPr>
        <w:t>二、就业率</w:t>
      </w:r>
      <w:r>
        <w:rPr>
          <w:rFonts w:hint="eastAsia" w:ascii="宋体" w:hAnsi="宋体"/>
          <w:b/>
        </w:rPr>
        <w:fldChar w:fldCharType="end"/>
      </w:r>
      <w:r>
        <w:rPr>
          <w:rFonts w:hint="eastAsia" w:ascii="宋体" w:hAnsi="宋体"/>
          <w:b/>
        </w:rPr>
        <w:t>及</w:t>
      </w:r>
      <w:r>
        <w:rPr>
          <w:rFonts w:ascii="宋体" w:hAnsi="宋体"/>
          <w:b/>
        </w:rPr>
        <w:t>毕业去向</w:t>
      </w:r>
    </w:p>
    <w:p>
      <w:pPr>
        <w:ind w:left="480" w:firstLine="480"/>
        <w:rPr>
          <w:rFonts w:ascii="宋体" w:hAnsi="宋体"/>
        </w:rPr>
      </w:pPr>
      <w:r>
        <w:rPr>
          <w:rFonts w:hint="eastAsia" w:ascii="宋体" w:hAnsi="宋体"/>
        </w:rPr>
        <w:t>（一</w:t>
      </w:r>
      <w:r>
        <w:rPr>
          <w:rFonts w:ascii="Calibri" w:hAnsi="Calibri"/>
        </w:rPr>
        <w:t>）总体</w:t>
      </w:r>
      <w:r>
        <w:rPr>
          <w:rFonts w:hint="eastAsia" w:ascii="Calibri" w:hAnsi="Calibri"/>
        </w:rPr>
        <w:t>就业率及</w:t>
      </w:r>
      <w:r>
        <w:rPr>
          <w:rFonts w:ascii="Calibri" w:hAnsi="Calibri"/>
        </w:rPr>
        <w:t>毕业去向</w:t>
      </w:r>
      <w:r>
        <w:rPr>
          <w:rFonts w:hint="eastAsia" w:ascii="宋体" w:hAnsi="宋体"/>
        </w:rPr>
        <w:t>（客观数据</w:t>
      </w:r>
      <w:r>
        <w:rPr>
          <w:rFonts w:ascii="宋体" w:hAnsi="宋体"/>
        </w:rPr>
        <w:t>）</w:t>
      </w:r>
    </w:p>
    <w:p>
      <w:pPr>
        <w:ind w:left="480" w:firstLine="840" w:firstLineChars="400"/>
        <w:rPr>
          <w:rFonts w:ascii="Calibri" w:hAnsi="Calibri"/>
        </w:rPr>
      </w:pPr>
      <w:r>
        <w:rPr>
          <w:rFonts w:hint="eastAsia" w:ascii="Calibri" w:hAnsi="Calibri"/>
        </w:rPr>
        <w:t>1.就业率</w:t>
      </w:r>
      <w:r>
        <w:rPr>
          <w:rFonts w:hint="eastAsia" w:ascii="宋体" w:hAnsi="宋体"/>
        </w:rPr>
        <w:t>（柱形图）</w:t>
      </w:r>
    </w:p>
    <w:p>
      <w:pPr>
        <w:ind w:left="480" w:firstLine="840" w:firstLineChars="400"/>
        <w:rPr>
          <w:rFonts w:ascii="Calibri" w:hAnsi="Calibri"/>
        </w:rPr>
      </w:pPr>
      <w:r>
        <w:rPr>
          <w:rFonts w:hint="eastAsia" w:ascii="Calibri" w:hAnsi="Calibri"/>
        </w:rPr>
        <w:t>2.毕业去向（表格）</w:t>
      </w:r>
    </w:p>
    <w:p>
      <w:pPr>
        <w:ind w:left="480" w:firstLine="480"/>
        <w:rPr>
          <w:rFonts w:ascii="宋体" w:hAnsi="宋体"/>
        </w:rPr>
      </w:pPr>
      <w:r>
        <w:rPr>
          <w:rFonts w:hint="eastAsia" w:ascii="宋体" w:hAnsi="宋体"/>
        </w:rPr>
        <w:t>（二</w:t>
      </w:r>
      <w:r>
        <w:rPr>
          <w:rFonts w:ascii="Calibri" w:hAnsi="Calibri"/>
        </w:rPr>
        <w:t>）</w:t>
      </w:r>
      <w:r>
        <w:rPr>
          <w:rFonts w:hint="eastAsia" w:ascii="Calibri" w:hAnsi="Calibri"/>
        </w:rPr>
        <w:t>各院系/专业的就业率</w:t>
      </w:r>
      <w:r>
        <w:rPr>
          <w:rFonts w:hint="eastAsia" w:ascii="宋体" w:hAnsi="宋体"/>
        </w:rPr>
        <w:t>（客观数据</w:t>
      </w:r>
      <w:r>
        <w:rPr>
          <w:rFonts w:ascii="宋体" w:hAnsi="宋体"/>
        </w:rPr>
        <w:t>）</w:t>
      </w:r>
    </w:p>
    <w:p>
      <w:pPr>
        <w:ind w:left="480" w:firstLine="840" w:firstLineChars="400"/>
        <w:rPr>
          <w:rFonts w:ascii="Calibri" w:hAnsi="Calibri"/>
        </w:rPr>
      </w:pPr>
      <w:r>
        <w:rPr>
          <w:rFonts w:hint="eastAsia" w:ascii="Calibri" w:hAnsi="Calibri"/>
        </w:rPr>
        <w:t>1.各院系就业率（条形图）</w:t>
      </w:r>
    </w:p>
    <w:p>
      <w:pPr>
        <w:ind w:left="480" w:firstLine="840" w:firstLineChars="400"/>
        <w:rPr>
          <w:rFonts w:ascii="Calibri" w:hAnsi="Calibri"/>
        </w:rPr>
      </w:pPr>
      <w:r>
        <w:rPr>
          <w:rFonts w:hint="eastAsia" w:ascii="Calibri" w:hAnsi="Calibri"/>
        </w:rPr>
        <w:t>2.各专业就业率</w:t>
      </w:r>
      <w:r>
        <w:rPr>
          <w:rFonts w:ascii="Calibri" w:hAnsi="Calibri"/>
        </w:rPr>
        <w:t>（表格</w:t>
      </w:r>
      <w:r>
        <w:rPr>
          <w:rFonts w:hint="eastAsia" w:ascii="Calibri" w:hAnsi="Calibri"/>
        </w:rPr>
        <w:t>）</w:t>
      </w:r>
    </w:p>
    <w:p>
      <w:pPr>
        <w:ind w:left="420" w:leftChars="200" w:firstLine="480"/>
        <w:rPr>
          <w:rFonts w:ascii="宋体" w:hAnsi="宋体"/>
        </w:rPr>
      </w:pPr>
      <w:r>
        <w:rPr>
          <w:rFonts w:hint="eastAsia" w:ascii="宋体" w:hAnsi="宋体"/>
        </w:rPr>
        <w:t>（三</w:t>
      </w:r>
      <w:r>
        <w:rPr>
          <w:rFonts w:ascii="宋体" w:hAnsi="宋体"/>
        </w:rPr>
        <w:t>）</w:t>
      </w:r>
      <w:r>
        <w:rPr>
          <w:rFonts w:hint="eastAsia" w:ascii="宋体" w:hAnsi="宋体"/>
        </w:rPr>
        <w:t>未就业分析（条形图</w:t>
      </w:r>
      <w:r>
        <w:rPr>
          <w:rFonts w:ascii="宋体" w:hAnsi="宋体"/>
        </w:rPr>
        <w:t>）</w:t>
      </w:r>
      <w:r>
        <w:rPr>
          <w:rFonts w:hint="eastAsia" w:ascii="宋体" w:hAnsi="宋体"/>
        </w:rPr>
        <w:t>（调研数据）</w:t>
      </w:r>
    </w:p>
    <w:p>
      <w:pPr>
        <w:ind w:left="420" w:leftChars="200"/>
        <w:rPr>
          <w:rFonts w:ascii="宋体" w:hAnsi="宋体"/>
          <w:b/>
        </w:rPr>
      </w:pPr>
      <w:r>
        <w:fldChar w:fldCharType="begin"/>
      </w:r>
      <w:r>
        <w:instrText xml:space="preserve"> HYPERLINK \l "_Toc397169510" </w:instrText>
      </w:r>
      <w:r>
        <w:fldChar w:fldCharType="separate"/>
      </w:r>
      <w:r>
        <w:rPr>
          <w:rFonts w:hint="eastAsia" w:ascii="宋体" w:hAnsi="宋体"/>
          <w:b/>
        </w:rPr>
        <w:t>三、就业流向</w:t>
      </w:r>
      <w:r>
        <w:rPr>
          <w:rFonts w:hint="eastAsia" w:ascii="宋体" w:hAnsi="宋体"/>
          <w:b/>
        </w:rPr>
        <w:fldChar w:fldCharType="end"/>
      </w:r>
    </w:p>
    <w:p>
      <w:pPr>
        <w:tabs>
          <w:tab w:val="left" w:pos="7140"/>
        </w:tabs>
        <w:ind w:left="840" w:leftChars="400"/>
        <w:rPr>
          <w:rFonts w:ascii="Calibri" w:hAnsi="Calibri"/>
        </w:rPr>
      </w:pPr>
      <w:r>
        <w:rPr>
          <w:rFonts w:hint="eastAsia" w:ascii="Calibri" w:hAnsi="Calibri"/>
        </w:rPr>
        <w:t>（一）就业</w:t>
      </w:r>
      <w:r>
        <w:fldChar w:fldCharType="begin"/>
      </w:r>
      <w:r>
        <w:instrText xml:space="preserve"> HYPERLINK \l "_Toc397169511" </w:instrText>
      </w:r>
      <w:r>
        <w:fldChar w:fldCharType="separate"/>
      </w:r>
      <w:r>
        <w:rPr>
          <w:rFonts w:hint="eastAsia" w:ascii="Calibri" w:hAnsi="Calibri"/>
        </w:rPr>
        <w:t>地区分布</w:t>
      </w:r>
      <w:r>
        <w:rPr>
          <w:rFonts w:hint="eastAsia" w:ascii="Calibri" w:hAnsi="Calibri"/>
        </w:rPr>
        <w:fldChar w:fldCharType="end"/>
      </w:r>
      <w:r>
        <w:rPr>
          <w:rFonts w:hint="eastAsia" w:ascii="Calibri" w:hAnsi="Calibri"/>
        </w:rPr>
        <w:t>（客观数据）</w:t>
      </w:r>
    </w:p>
    <w:p>
      <w:pPr>
        <w:ind w:firstLine="1119" w:firstLineChars="533"/>
        <w:rPr>
          <w:rFonts w:ascii="Calibri" w:hAnsi="Calibri"/>
        </w:rPr>
      </w:pPr>
      <w:r>
        <w:rPr>
          <w:rFonts w:hint="eastAsia" w:ascii="Calibri" w:hAnsi="Calibri"/>
        </w:rPr>
        <w:t>1</w:t>
      </w:r>
      <w:r>
        <w:rPr>
          <w:rFonts w:ascii="Calibri" w:hAnsi="Calibri"/>
        </w:rPr>
        <w:t>.</w:t>
      </w:r>
      <w:r>
        <w:rPr>
          <w:rFonts w:hint="eastAsia" w:ascii="Calibri" w:hAnsi="Calibri"/>
        </w:rPr>
        <w:t>就业</w:t>
      </w:r>
      <w:r>
        <w:rPr>
          <w:rFonts w:ascii="Calibri" w:hAnsi="Calibri"/>
        </w:rPr>
        <w:t>区域分布</w:t>
      </w:r>
      <w:r>
        <w:rPr>
          <w:rFonts w:hint="eastAsia" w:ascii="Calibri" w:hAnsi="Calibri"/>
        </w:rPr>
        <w:t>（表格</w:t>
      </w:r>
      <w:r>
        <w:rPr>
          <w:rFonts w:ascii="Calibri" w:hAnsi="Calibri"/>
        </w:rPr>
        <w:t>）</w:t>
      </w:r>
    </w:p>
    <w:p>
      <w:pPr>
        <w:ind w:firstLine="1119" w:firstLineChars="533"/>
        <w:rPr>
          <w:rFonts w:ascii="Calibri" w:hAnsi="Calibri"/>
        </w:rPr>
      </w:pPr>
      <w:r>
        <w:rPr>
          <w:rFonts w:hint="eastAsia" w:ascii="Calibri" w:hAnsi="Calibri"/>
        </w:rPr>
        <w:t>2</w:t>
      </w:r>
      <w:r>
        <w:rPr>
          <w:rFonts w:ascii="Calibri" w:hAnsi="Calibri"/>
        </w:rPr>
        <w:t>.</w:t>
      </w:r>
      <w:r>
        <w:rPr>
          <w:rFonts w:hint="eastAsia" w:ascii="Calibri" w:hAnsi="Calibri"/>
        </w:rPr>
        <w:t>省内</w:t>
      </w:r>
      <w:r>
        <w:rPr>
          <w:rFonts w:ascii="Calibri" w:hAnsi="Calibri"/>
        </w:rPr>
        <w:t>就业城市</w:t>
      </w:r>
      <w:r>
        <w:rPr>
          <w:rFonts w:hint="eastAsia" w:ascii="Calibri" w:hAnsi="Calibri"/>
        </w:rPr>
        <w:t>（表格</w:t>
      </w:r>
      <w:r>
        <w:rPr>
          <w:rFonts w:ascii="Calibri" w:hAnsi="Calibri"/>
        </w:rPr>
        <w:t>）</w:t>
      </w:r>
    </w:p>
    <w:p>
      <w:pPr>
        <w:ind w:firstLine="1119" w:firstLineChars="533"/>
        <w:rPr>
          <w:rFonts w:ascii="Calibri" w:hAnsi="Calibri"/>
        </w:rPr>
      </w:pPr>
      <w:r>
        <w:rPr>
          <w:rFonts w:hint="eastAsia" w:ascii="Calibri" w:hAnsi="Calibri"/>
        </w:rPr>
        <w:t>3</w:t>
      </w:r>
      <w:r>
        <w:rPr>
          <w:rFonts w:ascii="Calibri" w:hAnsi="Calibri"/>
        </w:rPr>
        <w:t>.</w:t>
      </w:r>
      <w:r>
        <w:rPr>
          <w:rFonts w:hint="eastAsia" w:ascii="Calibri" w:hAnsi="Calibri"/>
        </w:rPr>
        <w:t>生源地</w:t>
      </w:r>
      <w:r>
        <w:rPr>
          <w:rFonts w:ascii="Calibri" w:hAnsi="Calibri"/>
        </w:rPr>
        <w:t>与就业地域</w:t>
      </w:r>
      <w:r>
        <w:rPr>
          <w:rFonts w:hint="eastAsia" w:ascii="Calibri" w:hAnsi="Calibri"/>
        </w:rPr>
        <w:t>交叉</w:t>
      </w:r>
      <w:r>
        <w:rPr>
          <w:rFonts w:ascii="Calibri" w:hAnsi="Calibri"/>
        </w:rPr>
        <w:t>分析</w:t>
      </w:r>
      <w:r>
        <w:rPr>
          <w:rFonts w:hint="eastAsia" w:ascii="Calibri" w:hAnsi="Calibri"/>
        </w:rPr>
        <w:t>（圆环图</w:t>
      </w:r>
      <w:r>
        <w:rPr>
          <w:rFonts w:ascii="Calibri" w:hAnsi="Calibri"/>
        </w:rPr>
        <w:t>）</w:t>
      </w:r>
    </w:p>
    <w:p>
      <w:pPr>
        <w:tabs>
          <w:tab w:val="left" w:pos="7140"/>
        </w:tabs>
        <w:ind w:left="840" w:leftChars="400"/>
        <w:rPr>
          <w:rFonts w:ascii="Calibri" w:hAnsi="Calibri"/>
        </w:rPr>
      </w:pPr>
      <w:r>
        <w:rPr>
          <w:rFonts w:hint="eastAsia" w:ascii="Calibri" w:hAnsi="Calibri"/>
        </w:rPr>
        <w:t>（二</w:t>
      </w:r>
      <w:r>
        <w:rPr>
          <w:rFonts w:ascii="Calibri" w:hAnsi="Calibri"/>
        </w:rPr>
        <w:t>）就业</w:t>
      </w:r>
      <w:r>
        <w:rPr>
          <w:rFonts w:hint="eastAsia" w:ascii="Calibri" w:hAnsi="Calibri"/>
        </w:rPr>
        <w:t>行业</w:t>
      </w:r>
      <w:r>
        <w:rPr>
          <w:rFonts w:ascii="Calibri" w:hAnsi="Calibri"/>
        </w:rPr>
        <w:t>分布</w:t>
      </w:r>
      <w:r>
        <w:rPr>
          <w:rFonts w:hint="eastAsia" w:ascii="Calibri" w:hAnsi="Calibri"/>
        </w:rPr>
        <w:t>（客观数据）</w:t>
      </w:r>
    </w:p>
    <w:p>
      <w:pPr>
        <w:tabs>
          <w:tab w:val="left" w:pos="7140"/>
        </w:tabs>
        <w:ind w:left="840" w:leftChars="400"/>
        <w:rPr>
          <w:rFonts w:ascii="Calibri" w:hAnsi="Calibri"/>
        </w:rPr>
      </w:pPr>
      <w:r>
        <w:fldChar w:fldCharType="begin"/>
      </w:r>
      <w:r>
        <w:instrText xml:space="preserve"> HYPERLINK \l "_Toc397169538" </w:instrText>
      </w:r>
      <w:r>
        <w:fldChar w:fldCharType="separate"/>
      </w:r>
      <w:r>
        <w:rPr>
          <w:rFonts w:hint="eastAsia" w:ascii="Calibri" w:hAnsi="Calibri"/>
        </w:rPr>
        <w:t>（三）就业职业分布</w:t>
      </w:r>
      <w:r>
        <w:rPr>
          <w:rFonts w:hint="eastAsia" w:ascii="Calibri" w:hAnsi="Calibri"/>
        </w:rPr>
        <w:fldChar w:fldCharType="end"/>
      </w:r>
      <w:r>
        <w:rPr>
          <w:rFonts w:hint="eastAsia" w:ascii="Calibri" w:hAnsi="Calibri"/>
        </w:rPr>
        <w:t>（客观数据/</w:t>
      </w:r>
      <w:r>
        <w:rPr>
          <w:rFonts w:hint="eastAsia" w:ascii="宋体" w:hAnsi="宋体"/>
        </w:rPr>
        <w:t>调研数据</w:t>
      </w:r>
      <w:r>
        <w:rPr>
          <w:rFonts w:hint="eastAsia" w:ascii="Calibri" w:hAnsi="Calibri"/>
        </w:rPr>
        <w:t>）</w:t>
      </w:r>
    </w:p>
    <w:p>
      <w:pPr>
        <w:tabs>
          <w:tab w:val="left" w:pos="7140"/>
        </w:tabs>
        <w:ind w:left="840" w:leftChars="400"/>
        <w:rPr>
          <w:rFonts w:ascii="Calibri" w:hAnsi="Calibri"/>
        </w:rPr>
      </w:pPr>
      <w:r>
        <w:rPr>
          <w:rFonts w:hint="eastAsia" w:ascii="Calibri" w:hAnsi="Calibri"/>
        </w:rPr>
        <w:t>（四</w:t>
      </w:r>
      <w:r>
        <w:rPr>
          <w:rFonts w:ascii="Calibri" w:hAnsi="Calibri"/>
        </w:rPr>
        <w:t>）就业</w:t>
      </w:r>
      <w:r>
        <w:rPr>
          <w:rFonts w:hint="eastAsia" w:ascii="Calibri" w:hAnsi="Calibri"/>
        </w:rPr>
        <w:t>单位</w:t>
      </w:r>
      <w:r>
        <w:rPr>
          <w:rFonts w:ascii="Calibri" w:hAnsi="Calibri"/>
        </w:rPr>
        <w:t>分布</w:t>
      </w:r>
      <w:r>
        <w:rPr>
          <w:rFonts w:hint="eastAsia" w:ascii="Calibri" w:hAnsi="Calibri"/>
        </w:rPr>
        <w:t>（客观数据）</w:t>
      </w:r>
    </w:p>
    <w:p>
      <w:pPr>
        <w:ind w:left="420" w:leftChars="200"/>
        <w:rPr>
          <w:rFonts w:ascii="宋体" w:hAnsi="宋体"/>
          <w:b/>
        </w:rPr>
      </w:pPr>
      <w:r>
        <w:rPr>
          <w:rFonts w:hint="eastAsia" w:ascii="宋体" w:hAnsi="宋体"/>
          <w:b/>
        </w:rPr>
        <w:t>四、深造及</w:t>
      </w:r>
      <w:r>
        <w:rPr>
          <w:rFonts w:ascii="宋体" w:hAnsi="宋体"/>
          <w:b/>
        </w:rPr>
        <w:t>创业情况</w:t>
      </w:r>
    </w:p>
    <w:p>
      <w:pPr>
        <w:ind w:left="420" w:leftChars="200" w:firstLine="480"/>
        <w:rPr>
          <w:rFonts w:ascii="宋体" w:hAnsi="宋体"/>
        </w:rPr>
      </w:pPr>
      <w:r>
        <w:rPr>
          <w:rFonts w:hint="eastAsia" w:ascii="宋体" w:hAnsi="宋体"/>
        </w:rPr>
        <w:t>（一）国内升学及</w:t>
      </w:r>
      <w:r>
        <w:rPr>
          <w:rFonts w:ascii="宋体" w:hAnsi="宋体"/>
        </w:rPr>
        <w:t>出国留学</w:t>
      </w:r>
    </w:p>
    <w:p>
      <w:pPr>
        <w:ind w:left="420" w:leftChars="200" w:firstLine="840" w:firstLineChars="400"/>
        <w:rPr>
          <w:rFonts w:ascii="Calibri" w:hAnsi="Calibri"/>
        </w:rPr>
      </w:pPr>
      <w:r>
        <w:fldChar w:fldCharType="begin"/>
      </w:r>
      <w:r>
        <w:instrText xml:space="preserve"> HYPERLINK \l "_Toc397169499" </w:instrText>
      </w:r>
      <w:r>
        <w:fldChar w:fldCharType="separate"/>
      </w:r>
      <w:r>
        <w:rPr>
          <w:rFonts w:hint="eastAsia" w:ascii="Calibri" w:hAnsi="Calibri"/>
        </w:rPr>
        <w:t>1.</w:t>
      </w:r>
      <w:r>
        <w:rPr>
          <w:rFonts w:hint="eastAsia" w:ascii="Calibri" w:hAnsi="Calibri"/>
        </w:rPr>
        <w:fldChar w:fldCharType="end"/>
      </w:r>
      <w:r>
        <w:rPr>
          <w:rFonts w:hint="eastAsia" w:ascii="Calibri" w:hAnsi="Calibri"/>
        </w:rPr>
        <w:t>升学人数及比例</w:t>
      </w:r>
      <w:r>
        <w:rPr>
          <w:rFonts w:hint="eastAsia" w:ascii="宋体" w:hAnsi="宋体"/>
        </w:rPr>
        <w:t>（</w:t>
      </w:r>
      <w:r>
        <w:rPr>
          <w:rFonts w:ascii="宋体" w:hAnsi="宋体"/>
        </w:rPr>
        <w:t>客观数据</w:t>
      </w:r>
      <w:r>
        <w:rPr>
          <w:rFonts w:hint="eastAsia" w:ascii="宋体" w:hAnsi="宋体"/>
        </w:rPr>
        <w:t>）</w:t>
      </w:r>
    </w:p>
    <w:p>
      <w:pPr>
        <w:ind w:left="420" w:leftChars="200" w:firstLine="840" w:firstLineChars="400"/>
        <w:rPr>
          <w:rFonts w:ascii="Calibri" w:hAnsi="Calibri"/>
        </w:rPr>
      </w:pPr>
      <w:r>
        <w:rPr>
          <w:rFonts w:ascii="Calibri" w:hAnsi="Calibri"/>
        </w:rPr>
        <w:t>2</w:t>
      </w:r>
      <w:r>
        <w:rPr>
          <w:rFonts w:hint="eastAsia" w:ascii="Calibri" w:hAnsi="Calibri"/>
        </w:rPr>
        <w:t>.</w:t>
      </w:r>
      <w:r>
        <w:rPr>
          <w:rFonts w:hint="eastAsia" w:ascii="宋体" w:hAnsi="宋体"/>
        </w:rPr>
        <w:t>出国（境）留学</w:t>
      </w:r>
      <w:r>
        <w:rPr>
          <w:rFonts w:hint="eastAsia" w:ascii="Calibri" w:hAnsi="Calibri"/>
        </w:rPr>
        <w:t>人数及比例</w:t>
      </w:r>
      <w:r>
        <w:rPr>
          <w:rFonts w:hint="eastAsia" w:ascii="宋体" w:hAnsi="宋体"/>
        </w:rPr>
        <w:t>（</w:t>
      </w:r>
      <w:r>
        <w:rPr>
          <w:rFonts w:ascii="宋体" w:hAnsi="宋体"/>
        </w:rPr>
        <w:t>客观数据</w:t>
      </w:r>
      <w:r>
        <w:rPr>
          <w:rFonts w:hint="eastAsia" w:ascii="宋体" w:hAnsi="宋体"/>
        </w:rPr>
        <w:t>）</w:t>
      </w:r>
    </w:p>
    <w:p>
      <w:pPr>
        <w:ind w:left="420" w:leftChars="200" w:firstLine="480"/>
        <w:rPr>
          <w:rFonts w:ascii="宋体" w:hAnsi="宋体"/>
        </w:rPr>
      </w:pPr>
      <w:r>
        <w:rPr>
          <w:rFonts w:hint="eastAsia" w:ascii="宋体" w:hAnsi="宋体"/>
        </w:rPr>
        <w:t>（二）</w:t>
      </w:r>
      <w:r>
        <w:rPr>
          <w:rFonts w:hint="eastAsia" w:ascii="Calibri" w:hAnsi="Calibri"/>
        </w:rPr>
        <w:t>自主创业</w:t>
      </w:r>
    </w:p>
    <w:p>
      <w:pPr>
        <w:ind w:left="420" w:leftChars="200" w:firstLine="840" w:firstLineChars="400"/>
        <w:rPr>
          <w:rFonts w:ascii="Calibri" w:hAnsi="Calibri"/>
        </w:rPr>
      </w:pPr>
      <w:r>
        <w:fldChar w:fldCharType="begin"/>
      </w:r>
      <w:r>
        <w:instrText xml:space="preserve"> HYPERLINK \l "_Toc397169499" </w:instrText>
      </w:r>
      <w:r>
        <w:fldChar w:fldCharType="separate"/>
      </w:r>
      <w:r>
        <w:rPr>
          <w:rFonts w:hint="eastAsia" w:ascii="Calibri" w:hAnsi="Calibri"/>
        </w:rPr>
        <w:t>1.</w:t>
      </w:r>
      <w:r>
        <w:rPr>
          <w:rFonts w:hint="eastAsia" w:ascii="Calibri" w:hAnsi="Calibri"/>
        </w:rPr>
        <w:fldChar w:fldCharType="end"/>
      </w:r>
      <w:r>
        <w:rPr>
          <w:rFonts w:hint="eastAsia" w:ascii="Calibri" w:hAnsi="Calibri"/>
        </w:rPr>
        <w:t>创业</w:t>
      </w:r>
      <w:r>
        <w:rPr>
          <w:rFonts w:ascii="Calibri" w:hAnsi="Calibri"/>
        </w:rPr>
        <w:t>人数及</w:t>
      </w:r>
      <w:r>
        <w:rPr>
          <w:rFonts w:hint="eastAsia" w:ascii="Calibri" w:hAnsi="Calibri"/>
        </w:rPr>
        <w:t>比例（</w:t>
      </w:r>
      <w:r>
        <w:rPr>
          <w:rFonts w:ascii="Calibri" w:hAnsi="Calibri"/>
        </w:rPr>
        <w:t>客观数据</w:t>
      </w:r>
      <w:r>
        <w:rPr>
          <w:rFonts w:hint="eastAsia" w:ascii="Calibri" w:hAnsi="Calibri"/>
        </w:rPr>
        <w:t>）</w:t>
      </w:r>
    </w:p>
    <w:p>
      <w:pPr>
        <w:ind w:left="420" w:leftChars="200" w:firstLine="840" w:firstLineChars="400"/>
        <w:rPr>
          <w:rFonts w:ascii="Calibri" w:hAnsi="Calibri"/>
        </w:rPr>
      </w:pPr>
      <w:r>
        <w:fldChar w:fldCharType="begin"/>
      </w:r>
      <w:r>
        <w:instrText xml:space="preserve"> HYPERLINK \l "_Toc397169499" </w:instrText>
      </w:r>
      <w:r>
        <w:fldChar w:fldCharType="separate"/>
      </w:r>
      <w:r>
        <w:rPr>
          <w:rFonts w:ascii="Calibri" w:hAnsi="Calibri"/>
        </w:rPr>
        <w:t>2</w:t>
      </w:r>
      <w:r>
        <w:rPr>
          <w:rFonts w:hint="eastAsia" w:ascii="Calibri" w:hAnsi="Calibri"/>
        </w:rPr>
        <w:t>.</w:t>
      </w:r>
      <w:r>
        <w:rPr>
          <w:rFonts w:hint="eastAsia" w:ascii="Calibri" w:hAnsi="Calibri"/>
        </w:rPr>
        <w:fldChar w:fldCharType="end"/>
      </w:r>
      <w:r>
        <w:rPr>
          <w:rFonts w:hint="eastAsia" w:ascii="Calibri" w:hAnsi="Calibri"/>
        </w:rPr>
        <w:t>创业行业（条形图</w:t>
      </w:r>
      <w:r>
        <w:rPr>
          <w:rFonts w:ascii="Calibri" w:hAnsi="Calibri"/>
        </w:rPr>
        <w:t>）</w:t>
      </w:r>
      <w:r>
        <w:rPr>
          <w:rFonts w:hint="eastAsia" w:ascii="Calibri" w:hAnsi="Calibri"/>
        </w:rPr>
        <w:t>（调研数据）</w:t>
      </w:r>
    </w:p>
    <w:p>
      <w:pPr>
        <w:outlineLvl w:val="0"/>
        <w:rPr>
          <w:rFonts w:ascii="宋体" w:hAnsi="宋体"/>
          <w:b/>
          <w:bCs/>
        </w:rPr>
      </w:pPr>
      <w:r>
        <w:fldChar w:fldCharType="begin"/>
      </w:r>
      <w:r>
        <w:instrText xml:space="preserve"> HYPERLINK \l "_Toc397169539" </w:instrText>
      </w:r>
      <w:r>
        <w:fldChar w:fldCharType="separate"/>
      </w:r>
      <w:r>
        <w:rPr>
          <w:rFonts w:hint="eastAsia" w:ascii="宋体" w:hAnsi="宋体"/>
          <w:b/>
          <w:bCs/>
        </w:rPr>
        <w:t>第二篇：学校就创业工作举措</w:t>
      </w:r>
      <w:r>
        <w:rPr>
          <w:rFonts w:hint="eastAsia" w:ascii="宋体" w:hAnsi="宋体"/>
          <w:b/>
          <w:bCs/>
        </w:rPr>
        <w:fldChar w:fldCharType="end"/>
      </w:r>
    </w:p>
    <w:p>
      <w:pPr>
        <w:ind w:left="420" w:leftChars="200"/>
        <w:rPr>
          <w:rFonts w:ascii="宋体" w:hAnsi="宋体"/>
        </w:rPr>
      </w:pPr>
      <w:r>
        <w:rPr>
          <w:rFonts w:hint="eastAsia" w:ascii="宋体" w:hAnsi="宋体"/>
        </w:rPr>
        <w:t>一、</w:t>
      </w:r>
      <w:r>
        <w:fldChar w:fldCharType="begin"/>
      </w:r>
      <w:r>
        <w:instrText xml:space="preserve"> HYPERLINK \l "_Toc397169541" </w:instrText>
      </w:r>
      <w:r>
        <w:fldChar w:fldCharType="separate"/>
      </w:r>
      <w:r>
        <w:rPr>
          <w:rFonts w:hint="eastAsia" w:ascii="宋体" w:hAnsi="宋体"/>
        </w:rPr>
        <w:t>就业工作机制</w:t>
      </w:r>
      <w:r>
        <w:rPr>
          <w:rFonts w:hint="eastAsia" w:ascii="宋体" w:hAnsi="宋体"/>
        </w:rPr>
        <w:fldChar w:fldCharType="end"/>
      </w:r>
    </w:p>
    <w:p>
      <w:pPr>
        <w:ind w:left="420" w:leftChars="200"/>
        <w:rPr>
          <w:rFonts w:ascii="宋体" w:hAnsi="宋体"/>
        </w:rPr>
      </w:pPr>
      <w:r>
        <w:rPr>
          <w:rFonts w:hint="eastAsia" w:ascii="宋体" w:hAnsi="宋体"/>
        </w:rPr>
        <w:t>二、职业规划</w:t>
      </w:r>
      <w:r>
        <w:rPr>
          <w:rFonts w:ascii="宋体" w:hAnsi="宋体"/>
        </w:rPr>
        <w:t>与</w:t>
      </w:r>
      <w:r>
        <w:rPr>
          <w:rFonts w:hint="eastAsia" w:ascii="宋体" w:hAnsi="宋体"/>
        </w:rPr>
        <w:t>就业</w:t>
      </w:r>
      <w:r>
        <w:rPr>
          <w:rFonts w:ascii="宋体" w:hAnsi="宋体"/>
        </w:rPr>
        <w:t>指导</w:t>
      </w:r>
    </w:p>
    <w:p>
      <w:pPr>
        <w:ind w:left="420" w:leftChars="200"/>
        <w:rPr>
          <w:rFonts w:ascii="宋体" w:hAnsi="宋体"/>
        </w:rPr>
      </w:pPr>
      <w:r>
        <w:rPr>
          <w:rFonts w:hint="eastAsia" w:ascii="宋体" w:hAnsi="宋体"/>
        </w:rPr>
        <w:t>三、创业</w:t>
      </w:r>
      <w:r>
        <w:rPr>
          <w:rFonts w:ascii="宋体" w:hAnsi="宋体"/>
        </w:rPr>
        <w:t>教育与创业</w:t>
      </w:r>
      <w:r>
        <w:rPr>
          <w:rFonts w:hint="eastAsia" w:ascii="宋体" w:hAnsi="宋体"/>
        </w:rPr>
        <w:t>指导</w:t>
      </w:r>
    </w:p>
    <w:p>
      <w:pPr>
        <w:ind w:left="420" w:leftChars="200"/>
        <w:rPr>
          <w:rFonts w:ascii="宋体" w:hAnsi="宋体"/>
        </w:rPr>
      </w:pPr>
      <w:r>
        <w:rPr>
          <w:rFonts w:hint="eastAsia" w:ascii="宋体" w:hAnsi="宋体"/>
        </w:rPr>
        <w:t>四、校企合作与实习</w:t>
      </w:r>
      <w:r>
        <w:rPr>
          <w:rFonts w:ascii="宋体" w:hAnsi="宋体"/>
        </w:rPr>
        <w:t>实训</w:t>
      </w:r>
    </w:p>
    <w:p>
      <w:pPr>
        <w:ind w:left="420" w:leftChars="200"/>
        <w:rPr>
          <w:rFonts w:ascii="宋体" w:hAnsi="宋体"/>
        </w:rPr>
      </w:pPr>
      <w:r>
        <w:rPr>
          <w:rFonts w:hint="eastAsia" w:ascii="宋体" w:hAnsi="宋体"/>
        </w:rPr>
        <w:t>五、招聘</w:t>
      </w:r>
      <w:r>
        <w:rPr>
          <w:rFonts w:ascii="宋体" w:hAnsi="宋体"/>
        </w:rPr>
        <w:t>服务</w:t>
      </w:r>
      <w:r>
        <w:rPr>
          <w:rFonts w:hint="eastAsia" w:ascii="宋体" w:hAnsi="宋体"/>
        </w:rPr>
        <w:t>与</w:t>
      </w:r>
      <w:r>
        <w:rPr>
          <w:rFonts w:ascii="宋体" w:hAnsi="宋体"/>
        </w:rPr>
        <w:t>就业市场建设</w:t>
      </w:r>
    </w:p>
    <w:p>
      <w:pPr>
        <w:ind w:left="420" w:leftChars="200"/>
        <w:rPr>
          <w:rFonts w:ascii="宋体" w:hAnsi="宋体"/>
        </w:rPr>
      </w:pPr>
      <w:r>
        <w:rPr>
          <w:rFonts w:hint="eastAsia" w:ascii="宋体" w:hAnsi="宋体"/>
        </w:rPr>
        <w:t>六、就业</w:t>
      </w:r>
      <w:r>
        <w:rPr>
          <w:rFonts w:ascii="宋体" w:hAnsi="宋体"/>
        </w:rPr>
        <w:t>帮扶与推介</w:t>
      </w:r>
    </w:p>
    <w:p>
      <w:pPr>
        <w:outlineLvl w:val="0"/>
        <w:rPr>
          <w:rFonts w:ascii="宋体" w:hAnsi="宋体"/>
        </w:rPr>
      </w:pPr>
      <w:r>
        <w:fldChar w:fldCharType="begin"/>
      </w:r>
      <w:r>
        <w:instrText xml:space="preserve"> HYPERLINK \l "_Toc397169553" </w:instrText>
      </w:r>
      <w:r>
        <w:fldChar w:fldCharType="separate"/>
      </w:r>
      <w:r>
        <w:rPr>
          <w:rFonts w:hint="eastAsia" w:ascii="宋体" w:hAnsi="宋体"/>
          <w:b/>
          <w:bCs/>
        </w:rPr>
        <w:t>第三篇：就业质量</w:t>
      </w:r>
      <w:r>
        <w:rPr>
          <w:rFonts w:ascii="宋体" w:hAnsi="宋体"/>
          <w:b/>
          <w:bCs/>
        </w:rPr>
        <w:t>相关</w:t>
      </w:r>
      <w:r>
        <w:rPr>
          <w:rFonts w:hint="eastAsia" w:ascii="宋体" w:hAnsi="宋体"/>
          <w:b/>
          <w:bCs/>
        </w:rPr>
        <w:t>分析</w:t>
      </w:r>
      <w:r>
        <w:rPr>
          <w:rFonts w:hint="eastAsia" w:ascii="宋体" w:hAnsi="宋体"/>
          <w:b/>
          <w:bCs/>
        </w:rPr>
        <w:fldChar w:fldCharType="end"/>
      </w:r>
    </w:p>
    <w:p>
      <w:pPr>
        <w:ind w:left="420" w:leftChars="200"/>
        <w:rPr>
          <w:rFonts w:ascii="宋体" w:hAnsi="宋体"/>
          <w:b/>
        </w:rPr>
      </w:pPr>
      <w:r>
        <w:rPr>
          <w:rFonts w:hint="eastAsia" w:ascii="宋体" w:hAnsi="宋体"/>
          <w:b/>
        </w:rPr>
        <w:t>一</w:t>
      </w:r>
      <w:r>
        <w:rPr>
          <w:rFonts w:ascii="宋体" w:hAnsi="宋体"/>
          <w:b/>
        </w:rPr>
        <w:t>、</w:t>
      </w:r>
      <w:r>
        <w:rPr>
          <w:rFonts w:hint="eastAsia" w:ascii="宋体" w:hAnsi="宋体"/>
          <w:b/>
        </w:rPr>
        <w:t>毕业生就业质量相关分析</w:t>
      </w:r>
    </w:p>
    <w:p>
      <w:pPr>
        <w:ind w:left="420" w:leftChars="200" w:firstLine="480"/>
        <w:rPr>
          <w:rFonts w:ascii="宋体" w:hAnsi="宋体"/>
        </w:rPr>
      </w:pPr>
      <w:r>
        <w:rPr>
          <w:rFonts w:hint="eastAsia" w:ascii="宋体" w:hAnsi="宋体"/>
        </w:rPr>
        <w:t>（一</w:t>
      </w:r>
      <w:r>
        <w:rPr>
          <w:rFonts w:ascii="宋体" w:hAnsi="宋体"/>
        </w:rPr>
        <w:t>）薪酬水平</w:t>
      </w:r>
    </w:p>
    <w:p>
      <w:pPr>
        <w:ind w:left="420" w:leftChars="200" w:firstLine="840" w:firstLineChars="400"/>
        <w:rPr>
          <w:rFonts w:ascii="Calibri" w:hAnsi="Calibri"/>
        </w:rPr>
      </w:pPr>
      <w:r>
        <w:rPr>
          <w:rFonts w:hint="eastAsia" w:ascii="Calibri" w:hAnsi="Calibri"/>
        </w:rPr>
        <w:t>1</w:t>
      </w:r>
      <w:r>
        <w:rPr>
          <w:rFonts w:ascii="Calibri" w:hAnsi="Calibri"/>
        </w:rPr>
        <w:t>.</w:t>
      </w:r>
      <w:r>
        <w:rPr>
          <w:rFonts w:hint="eastAsia" w:ascii="Calibri" w:hAnsi="Calibri"/>
        </w:rPr>
        <w:t>总体</w:t>
      </w:r>
      <w:r>
        <w:rPr>
          <w:rFonts w:ascii="Calibri" w:hAnsi="Calibri"/>
        </w:rPr>
        <w:t>薪酬水平</w:t>
      </w:r>
      <w:r>
        <w:rPr>
          <w:rFonts w:hint="eastAsia" w:ascii="Calibri" w:hAnsi="Calibri"/>
        </w:rPr>
        <w:t>（均值和各薪酬段所占比例）（曲线图）</w:t>
      </w:r>
    </w:p>
    <w:p>
      <w:pPr>
        <w:ind w:left="420" w:leftChars="200" w:firstLine="840" w:firstLineChars="400"/>
        <w:rPr>
          <w:rFonts w:ascii="Calibri" w:hAnsi="Calibri"/>
        </w:rPr>
      </w:pPr>
      <w:r>
        <w:rPr>
          <w:rFonts w:hint="eastAsia" w:ascii="Calibri" w:hAnsi="Calibri"/>
        </w:rPr>
        <w:t>2</w:t>
      </w:r>
      <w:r>
        <w:rPr>
          <w:rFonts w:ascii="Calibri" w:hAnsi="Calibri"/>
        </w:rPr>
        <w:t>.</w:t>
      </w:r>
      <w:r>
        <w:rPr>
          <w:rFonts w:hint="eastAsia" w:ascii="Calibri" w:hAnsi="Calibri"/>
        </w:rPr>
        <w:t>主要就业地区的薪酬水平（条形图</w:t>
      </w:r>
      <w:r>
        <w:rPr>
          <w:rFonts w:ascii="Calibri" w:hAnsi="Calibri"/>
        </w:rPr>
        <w:t>）</w:t>
      </w:r>
    </w:p>
    <w:p>
      <w:pPr>
        <w:ind w:left="420" w:leftChars="200" w:firstLine="840" w:firstLineChars="400"/>
        <w:rPr>
          <w:rFonts w:ascii="Calibri" w:hAnsi="Calibri"/>
        </w:rPr>
      </w:pPr>
      <w:r>
        <w:rPr>
          <w:rFonts w:hint="eastAsia" w:ascii="Calibri" w:hAnsi="Calibri"/>
        </w:rPr>
        <w:t>3</w:t>
      </w:r>
      <w:r>
        <w:rPr>
          <w:rFonts w:ascii="Calibri" w:hAnsi="Calibri"/>
        </w:rPr>
        <w:t>.</w:t>
      </w:r>
      <w:r>
        <w:rPr>
          <w:rFonts w:hint="eastAsia" w:ascii="Calibri" w:hAnsi="Calibri"/>
        </w:rPr>
        <w:t>主要就业单位的薪酬水平（条形图</w:t>
      </w:r>
      <w:r>
        <w:rPr>
          <w:rFonts w:ascii="Calibri" w:hAnsi="Calibri"/>
        </w:rPr>
        <w:t>）</w:t>
      </w:r>
    </w:p>
    <w:p>
      <w:pPr>
        <w:ind w:left="420" w:leftChars="200" w:firstLine="840" w:firstLineChars="400"/>
        <w:rPr>
          <w:rFonts w:ascii="Calibri" w:hAnsi="Calibri"/>
        </w:rPr>
      </w:pPr>
      <w:r>
        <w:rPr>
          <w:rFonts w:hint="eastAsia" w:ascii="Calibri" w:hAnsi="Calibri"/>
        </w:rPr>
        <w:t>4</w:t>
      </w:r>
      <w:r>
        <w:rPr>
          <w:rFonts w:ascii="Calibri" w:hAnsi="Calibri"/>
        </w:rPr>
        <w:t>.</w:t>
      </w:r>
      <w:r>
        <w:rPr>
          <w:rFonts w:hint="eastAsia" w:ascii="Calibri" w:hAnsi="Calibri"/>
        </w:rPr>
        <w:t>主要就业行业的薪酬水平（条形图</w:t>
      </w:r>
      <w:r>
        <w:rPr>
          <w:rFonts w:ascii="Calibri" w:hAnsi="Calibri"/>
        </w:rPr>
        <w:t>）</w:t>
      </w:r>
    </w:p>
    <w:p>
      <w:pPr>
        <w:ind w:left="840" w:leftChars="400"/>
        <w:rPr>
          <w:rFonts w:ascii="宋体" w:hAnsi="宋体"/>
        </w:rPr>
      </w:pPr>
      <w:r>
        <w:rPr>
          <w:rFonts w:hint="eastAsia" w:ascii="宋体" w:hAnsi="宋体"/>
        </w:rPr>
        <w:t>（二</w:t>
      </w:r>
      <w:r>
        <w:rPr>
          <w:rFonts w:ascii="宋体" w:hAnsi="宋体"/>
        </w:rPr>
        <w:t>）</w:t>
      </w:r>
      <w:r>
        <w:rPr>
          <w:rFonts w:hint="eastAsia" w:ascii="宋体" w:hAnsi="宋体"/>
        </w:rPr>
        <w:t>专业相关度</w:t>
      </w:r>
    </w:p>
    <w:p>
      <w:pPr>
        <w:ind w:left="420" w:leftChars="200" w:firstLine="840" w:firstLineChars="400"/>
        <w:rPr>
          <w:rFonts w:ascii="Calibri" w:hAnsi="Calibri"/>
        </w:rPr>
      </w:pPr>
      <w:r>
        <w:fldChar w:fldCharType="begin"/>
      </w:r>
      <w:r>
        <w:instrText xml:space="preserve"> HYPERLINK \l "_Toc397169499" </w:instrText>
      </w:r>
      <w:r>
        <w:fldChar w:fldCharType="separate"/>
      </w:r>
      <w:r>
        <w:rPr>
          <w:rFonts w:ascii="Calibri" w:hAnsi="Calibri"/>
        </w:rPr>
        <w:t>1</w:t>
      </w:r>
      <w:r>
        <w:rPr>
          <w:rFonts w:hint="eastAsia" w:ascii="Calibri" w:hAnsi="Calibri"/>
        </w:rPr>
        <w:t>.</w:t>
      </w:r>
      <w:r>
        <w:rPr>
          <w:rFonts w:hint="eastAsia" w:ascii="Calibri" w:hAnsi="Calibri"/>
        </w:rPr>
        <w:fldChar w:fldCharType="end"/>
      </w:r>
      <w:r>
        <w:rPr>
          <w:rFonts w:hint="eastAsia" w:ascii="Calibri" w:hAnsi="Calibri"/>
        </w:rPr>
        <w:t>总体/各专业的专业相关度（饼图）</w:t>
      </w:r>
    </w:p>
    <w:p>
      <w:pPr>
        <w:ind w:left="420" w:leftChars="200" w:firstLine="840" w:firstLineChars="400"/>
        <w:rPr>
          <w:rFonts w:ascii="Calibri" w:hAnsi="Calibri"/>
        </w:rPr>
      </w:pPr>
      <w:r>
        <w:rPr>
          <w:rFonts w:ascii="Calibri" w:hAnsi="Calibri"/>
        </w:rPr>
        <w:t>2</w:t>
      </w:r>
      <w:r>
        <w:rPr>
          <w:rFonts w:hint="eastAsia" w:ascii="Calibri" w:hAnsi="Calibri"/>
        </w:rPr>
        <w:t>.从事低专业相关度工作的原因（条形图）</w:t>
      </w:r>
    </w:p>
    <w:p>
      <w:pPr>
        <w:ind w:left="840" w:leftChars="400"/>
        <w:rPr>
          <w:rFonts w:ascii="Calibri" w:hAnsi="Calibri"/>
        </w:rPr>
      </w:pPr>
      <w:r>
        <w:rPr>
          <w:rFonts w:hint="eastAsia" w:ascii="Calibri" w:hAnsi="Calibri"/>
        </w:rPr>
        <w:t>（三</w:t>
      </w:r>
      <w:r>
        <w:rPr>
          <w:rFonts w:ascii="Calibri" w:hAnsi="Calibri"/>
        </w:rPr>
        <w:t>）</w:t>
      </w:r>
      <w:r>
        <w:rPr>
          <w:rFonts w:hint="eastAsia" w:ascii="Calibri" w:hAnsi="Calibri"/>
        </w:rPr>
        <w:t>工作满意度（工作内容、工作薪酬、职业发展前景）</w:t>
      </w:r>
    </w:p>
    <w:p>
      <w:pPr>
        <w:ind w:left="420" w:leftChars="200" w:firstLine="840" w:firstLineChars="400"/>
        <w:rPr>
          <w:rFonts w:ascii="Calibri" w:hAnsi="Calibri"/>
        </w:rPr>
      </w:pPr>
      <w:r>
        <w:rPr>
          <w:rFonts w:hint="eastAsia" w:ascii="Calibri" w:hAnsi="Calibri"/>
        </w:rPr>
        <w:t>1.总体的</w:t>
      </w:r>
      <w:r>
        <w:rPr>
          <w:rFonts w:ascii="Calibri" w:hAnsi="Calibri"/>
        </w:rPr>
        <w:t>工作满意度</w:t>
      </w:r>
      <w:r>
        <w:rPr>
          <w:rFonts w:hint="eastAsia" w:ascii="Calibri" w:hAnsi="Calibri"/>
        </w:rPr>
        <w:t>（柱形图）</w:t>
      </w:r>
    </w:p>
    <w:p>
      <w:pPr>
        <w:ind w:left="420" w:leftChars="200" w:firstLine="840" w:firstLineChars="400"/>
        <w:rPr>
          <w:rFonts w:ascii="Calibri" w:hAnsi="Calibri"/>
          <w:color w:val="0070C0"/>
        </w:rPr>
      </w:pPr>
      <w:r>
        <w:rPr>
          <w:rFonts w:ascii="Calibri" w:hAnsi="Calibri"/>
        </w:rPr>
        <w:t>2.</w:t>
      </w:r>
      <w:r>
        <w:rPr>
          <w:rFonts w:hint="eastAsia" w:ascii="Calibri" w:hAnsi="Calibri"/>
        </w:rPr>
        <w:t>主要就业行业的</w:t>
      </w:r>
      <w:r>
        <w:rPr>
          <w:rFonts w:ascii="Calibri" w:hAnsi="Calibri"/>
        </w:rPr>
        <w:t>工作满意度</w:t>
      </w:r>
      <w:r>
        <w:rPr>
          <w:rFonts w:hint="eastAsia" w:ascii="Calibri" w:hAnsi="Calibri"/>
        </w:rPr>
        <w:t>（条形图</w:t>
      </w:r>
      <w:r>
        <w:rPr>
          <w:rFonts w:ascii="Calibri" w:hAnsi="Calibri"/>
        </w:rPr>
        <w:t>）</w:t>
      </w:r>
    </w:p>
    <w:p>
      <w:pPr>
        <w:ind w:firstLine="804" w:firstLineChars="383"/>
        <w:rPr>
          <w:rFonts w:ascii="宋体" w:hAnsi="宋体"/>
        </w:rPr>
      </w:pPr>
      <w:r>
        <w:rPr>
          <w:rFonts w:hint="eastAsia" w:ascii="宋体" w:hAnsi="宋体"/>
        </w:rPr>
        <w:t>（四</w:t>
      </w:r>
      <w:r>
        <w:rPr>
          <w:rFonts w:ascii="宋体" w:hAnsi="宋体"/>
        </w:rPr>
        <w:t>）</w:t>
      </w:r>
      <w:r>
        <w:rPr>
          <w:rFonts w:hint="eastAsia" w:ascii="宋体" w:hAnsi="宋体"/>
        </w:rPr>
        <w:t>职业期待吻合度（饼图）</w:t>
      </w:r>
    </w:p>
    <w:p>
      <w:pPr>
        <w:ind w:left="420" w:leftChars="200"/>
        <w:rPr>
          <w:rFonts w:ascii="Calibri" w:hAnsi="Calibri"/>
          <w:b/>
        </w:rPr>
      </w:pPr>
      <w:r>
        <w:rPr>
          <w:rFonts w:hint="eastAsia" w:ascii="Calibri" w:hAnsi="Calibri"/>
          <w:b/>
        </w:rPr>
        <w:t>二</w:t>
      </w:r>
      <w:r>
        <w:rPr>
          <w:rFonts w:ascii="Calibri" w:hAnsi="Calibri"/>
          <w:b/>
        </w:rPr>
        <w:t>、</w:t>
      </w:r>
      <w:r>
        <w:rPr>
          <w:rFonts w:hint="eastAsia" w:ascii="Calibri" w:hAnsi="Calibri"/>
          <w:b/>
        </w:rPr>
        <w:t>用人</w:t>
      </w:r>
      <w:r>
        <w:rPr>
          <w:rFonts w:ascii="Calibri" w:hAnsi="Calibri"/>
          <w:b/>
        </w:rPr>
        <w:t>单位对毕业生</w:t>
      </w:r>
      <w:r>
        <w:rPr>
          <w:rFonts w:hint="eastAsia" w:ascii="Calibri" w:hAnsi="Calibri"/>
          <w:b/>
        </w:rPr>
        <w:t>的评价</w:t>
      </w:r>
    </w:p>
    <w:p>
      <w:pPr>
        <w:ind w:left="420" w:leftChars="200" w:firstLine="480"/>
        <w:rPr>
          <w:rFonts w:ascii="Calibri" w:hAnsi="Calibri"/>
        </w:rPr>
      </w:pPr>
      <w:r>
        <w:rPr>
          <w:rFonts w:hint="eastAsia" w:ascii="Calibri" w:hAnsi="Calibri"/>
        </w:rPr>
        <w:t>（一</w:t>
      </w:r>
      <w:r>
        <w:rPr>
          <w:rFonts w:ascii="Calibri" w:hAnsi="Calibri"/>
        </w:rPr>
        <w:t>）</w:t>
      </w:r>
      <w:r>
        <w:rPr>
          <w:rFonts w:hint="eastAsia" w:ascii="Calibri" w:hAnsi="Calibri"/>
        </w:rPr>
        <w:t>用人</w:t>
      </w:r>
      <w:r>
        <w:rPr>
          <w:rFonts w:ascii="Calibri" w:hAnsi="Calibri"/>
        </w:rPr>
        <w:t>单位对毕业生的满意度</w:t>
      </w:r>
      <w:r>
        <w:rPr>
          <w:rFonts w:hint="eastAsia" w:ascii="Calibri" w:hAnsi="Calibri"/>
        </w:rPr>
        <w:t>（饼图）</w:t>
      </w:r>
    </w:p>
    <w:p>
      <w:pPr>
        <w:ind w:left="420" w:leftChars="200" w:firstLine="480"/>
        <w:rPr>
          <w:rFonts w:ascii="Calibri" w:hAnsi="Calibri"/>
        </w:rPr>
      </w:pPr>
      <w:r>
        <w:rPr>
          <w:rFonts w:hint="eastAsia" w:ascii="Calibri" w:hAnsi="Calibri"/>
        </w:rPr>
        <w:t>（二</w:t>
      </w:r>
      <w:r>
        <w:rPr>
          <w:rFonts w:ascii="Calibri" w:hAnsi="Calibri"/>
        </w:rPr>
        <w:t>）</w:t>
      </w:r>
      <w:r>
        <w:rPr>
          <w:rFonts w:hint="eastAsia" w:ascii="Calibri" w:hAnsi="Calibri"/>
        </w:rPr>
        <w:t>用人单位对毕业生就业能力的评价（条形图）</w:t>
      </w:r>
    </w:p>
    <w:p>
      <w:pPr>
        <w:rPr>
          <w:rFonts w:ascii="宋体" w:hAnsi="宋体"/>
          <w:shd w:val="pct10" w:color="auto" w:fill="FFFFFF"/>
        </w:rPr>
      </w:pPr>
      <w:r>
        <w:fldChar w:fldCharType="begin"/>
      </w:r>
      <w:r>
        <w:instrText xml:space="preserve"> HYPERLINK \l "_Toc397169573" </w:instrText>
      </w:r>
      <w:r>
        <w:fldChar w:fldCharType="separate"/>
      </w:r>
      <w:r>
        <w:rPr>
          <w:rFonts w:hint="eastAsia" w:ascii="宋体" w:hAnsi="宋体"/>
          <w:b/>
          <w:bCs/>
        </w:rPr>
        <w:t>第四篇：就业发展趋势分析</w:t>
      </w:r>
      <w:r>
        <w:rPr>
          <w:rFonts w:hint="eastAsia" w:ascii="宋体" w:hAnsi="宋体"/>
          <w:b/>
          <w:bCs/>
        </w:rPr>
        <w:fldChar w:fldCharType="end"/>
      </w:r>
    </w:p>
    <w:p>
      <w:pPr>
        <w:ind w:left="420" w:leftChars="200"/>
        <w:rPr>
          <w:rFonts w:ascii="Calibri" w:hAnsi="Calibri"/>
        </w:rPr>
      </w:pPr>
      <w:r>
        <w:rPr>
          <w:rFonts w:hint="eastAsia" w:ascii="Calibri" w:hAnsi="Calibri"/>
        </w:rPr>
        <w:t>一、近三年规模</w:t>
      </w:r>
      <w:r>
        <w:rPr>
          <w:rFonts w:ascii="Calibri" w:hAnsi="Calibri"/>
        </w:rPr>
        <w:t>和</w:t>
      </w:r>
      <w:r>
        <w:rPr>
          <w:rFonts w:hint="eastAsia" w:ascii="Calibri" w:hAnsi="Calibri"/>
        </w:rPr>
        <w:t>就业率的变化</w:t>
      </w:r>
      <w:r>
        <w:rPr>
          <w:rFonts w:ascii="Calibri" w:hAnsi="Calibri"/>
        </w:rPr>
        <w:t>趋势</w:t>
      </w:r>
      <w:r>
        <w:rPr>
          <w:rFonts w:hint="eastAsia" w:ascii="Calibri" w:hAnsi="Calibri"/>
        </w:rPr>
        <w:t>（复合图</w:t>
      </w:r>
      <w:r>
        <w:rPr>
          <w:rFonts w:ascii="Calibri" w:hAnsi="Calibri"/>
        </w:rPr>
        <w:t>）</w:t>
      </w:r>
    </w:p>
    <w:p>
      <w:pPr>
        <w:ind w:left="420" w:leftChars="200"/>
        <w:rPr>
          <w:rFonts w:ascii="Calibri" w:hAnsi="Calibri"/>
        </w:rPr>
      </w:pPr>
      <w:r>
        <w:rPr>
          <w:rFonts w:hint="eastAsia" w:ascii="Calibri" w:hAnsi="Calibri"/>
        </w:rPr>
        <w:t>二、近三年毕业去向的变化</w:t>
      </w:r>
      <w:r>
        <w:rPr>
          <w:rFonts w:ascii="Calibri" w:hAnsi="Calibri"/>
        </w:rPr>
        <w:t>趋势</w:t>
      </w:r>
      <w:r>
        <w:rPr>
          <w:rFonts w:hint="eastAsia" w:ascii="Calibri" w:hAnsi="Calibri"/>
        </w:rPr>
        <w:t>（折线图</w:t>
      </w:r>
      <w:r>
        <w:rPr>
          <w:rFonts w:ascii="Calibri" w:hAnsi="Calibri"/>
        </w:rPr>
        <w:t>）</w:t>
      </w:r>
    </w:p>
    <w:p>
      <w:pPr>
        <w:ind w:left="420" w:leftChars="200"/>
        <w:rPr>
          <w:rFonts w:ascii="Calibri" w:hAnsi="Calibri"/>
        </w:rPr>
      </w:pPr>
      <w:r>
        <w:rPr>
          <w:rFonts w:hint="eastAsia" w:ascii="Calibri" w:hAnsi="Calibri"/>
        </w:rPr>
        <w:t>三、近三年薪酬的变化</w:t>
      </w:r>
      <w:r>
        <w:rPr>
          <w:rFonts w:ascii="Calibri" w:hAnsi="Calibri"/>
        </w:rPr>
        <w:t>趋势</w:t>
      </w:r>
      <w:r>
        <w:rPr>
          <w:rFonts w:hint="eastAsia" w:ascii="Calibri" w:hAnsi="Calibri"/>
        </w:rPr>
        <w:t>（柱形图</w:t>
      </w:r>
      <w:r>
        <w:rPr>
          <w:rFonts w:ascii="Calibri" w:hAnsi="Calibri"/>
        </w:rPr>
        <w:t>）</w:t>
      </w:r>
    </w:p>
    <w:p>
      <w:pPr>
        <w:ind w:left="420" w:leftChars="200"/>
        <w:rPr>
          <w:rFonts w:ascii="Calibri" w:hAnsi="Calibri"/>
        </w:rPr>
      </w:pPr>
      <w:r>
        <w:rPr>
          <w:rFonts w:hint="eastAsia" w:ascii="Calibri" w:hAnsi="Calibri"/>
        </w:rPr>
        <w:t>四、近三年就业</w:t>
      </w:r>
      <w:r>
        <w:rPr>
          <w:rFonts w:ascii="Calibri" w:hAnsi="Calibri"/>
        </w:rPr>
        <w:t>地区</w:t>
      </w:r>
      <w:r>
        <w:rPr>
          <w:rFonts w:hint="eastAsia" w:ascii="Calibri" w:hAnsi="Calibri"/>
        </w:rPr>
        <w:t>的变化</w:t>
      </w:r>
      <w:r>
        <w:rPr>
          <w:rFonts w:ascii="Calibri" w:hAnsi="Calibri"/>
        </w:rPr>
        <w:t>趋势</w:t>
      </w:r>
      <w:r>
        <w:rPr>
          <w:rFonts w:hint="eastAsia" w:ascii="Calibri" w:hAnsi="Calibri"/>
        </w:rPr>
        <w:t>（柱形图</w:t>
      </w:r>
      <w:r>
        <w:rPr>
          <w:rFonts w:ascii="Calibri" w:hAnsi="Calibri"/>
        </w:rPr>
        <w:t>）</w:t>
      </w:r>
    </w:p>
    <w:p>
      <w:pPr>
        <w:ind w:left="420" w:leftChars="200"/>
        <w:rPr>
          <w:rFonts w:ascii="Calibri" w:hAnsi="Calibri"/>
        </w:rPr>
      </w:pPr>
      <w:r>
        <w:rPr>
          <w:rFonts w:hint="eastAsia" w:ascii="Calibri" w:hAnsi="Calibri"/>
        </w:rPr>
        <w:t>五、近三年就业</w:t>
      </w:r>
      <w:r>
        <w:rPr>
          <w:rFonts w:ascii="Calibri" w:hAnsi="Calibri"/>
        </w:rPr>
        <w:t>行业</w:t>
      </w:r>
      <w:r>
        <w:rPr>
          <w:rFonts w:hint="eastAsia" w:ascii="Calibri" w:hAnsi="Calibri"/>
        </w:rPr>
        <w:t>的变化</w:t>
      </w:r>
      <w:r>
        <w:rPr>
          <w:rFonts w:ascii="Calibri" w:hAnsi="Calibri"/>
        </w:rPr>
        <w:t>趋势</w:t>
      </w:r>
      <w:r>
        <w:rPr>
          <w:rFonts w:hint="eastAsia" w:ascii="Calibri" w:hAnsi="Calibri"/>
        </w:rPr>
        <w:t>（柱形图</w:t>
      </w:r>
      <w:r>
        <w:rPr>
          <w:rFonts w:ascii="Calibri" w:hAnsi="Calibri"/>
        </w:rPr>
        <w:t>）</w:t>
      </w:r>
    </w:p>
    <w:p>
      <w:pPr>
        <w:ind w:left="420" w:leftChars="200"/>
        <w:rPr>
          <w:rFonts w:ascii="Calibri" w:hAnsi="Calibri"/>
        </w:rPr>
      </w:pPr>
      <w:r>
        <w:rPr>
          <w:rFonts w:hint="eastAsia" w:ascii="Calibri" w:hAnsi="Calibri"/>
        </w:rPr>
        <w:t>六、近三年就业</w:t>
      </w:r>
      <w:r>
        <w:rPr>
          <w:rFonts w:ascii="Calibri" w:hAnsi="Calibri"/>
        </w:rPr>
        <w:t>单位</w:t>
      </w:r>
      <w:r>
        <w:rPr>
          <w:rFonts w:hint="eastAsia" w:ascii="Calibri" w:hAnsi="Calibri"/>
        </w:rPr>
        <w:t>的变化</w:t>
      </w:r>
      <w:r>
        <w:rPr>
          <w:rFonts w:ascii="Calibri" w:hAnsi="Calibri"/>
        </w:rPr>
        <w:t>趋势</w:t>
      </w:r>
      <w:r>
        <w:rPr>
          <w:rFonts w:hint="eastAsia" w:ascii="Calibri" w:hAnsi="Calibri"/>
        </w:rPr>
        <w:t>（条形图</w:t>
      </w:r>
      <w:r>
        <w:rPr>
          <w:rFonts w:ascii="Calibri" w:hAnsi="Calibri"/>
        </w:rPr>
        <w:t>）</w:t>
      </w:r>
    </w:p>
    <w:p>
      <w:pPr>
        <w:tabs>
          <w:tab w:val="right" w:pos="8306"/>
        </w:tabs>
        <w:outlineLvl w:val="0"/>
        <w:rPr>
          <w:rFonts w:ascii="宋体" w:hAnsi="宋体"/>
        </w:rPr>
      </w:pPr>
      <w:r>
        <w:fldChar w:fldCharType="begin"/>
      </w:r>
      <w:r>
        <w:instrText xml:space="preserve"> HYPERLINK \l "_Toc397169579" </w:instrText>
      </w:r>
      <w:r>
        <w:fldChar w:fldCharType="separate"/>
      </w:r>
      <w:r>
        <w:rPr>
          <w:rFonts w:hint="eastAsia" w:ascii="宋体" w:hAnsi="宋体"/>
          <w:b/>
          <w:bCs/>
        </w:rPr>
        <w:t>第五篇：就业对教育教学的反馈</w:t>
      </w:r>
      <w:r>
        <w:rPr>
          <w:rFonts w:hint="eastAsia" w:ascii="宋体" w:hAnsi="宋体"/>
          <w:b/>
          <w:bCs/>
        </w:rPr>
        <w:fldChar w:fldCharType="end"/>
      </w:r>
    </w:p>
    <w:p>
      <w:pPr>
        <w:ind w:left="420" w:leftChars="200"/>
        <w:rPr>
          <w:rFonts w:ascii="Calibri" w:hAnsi="Calibri"/>
          <w:b/>
        </w:rPr>
      </w:pPr>
      <w:r>
        <w:rPr>
          <w:rFonts w:hint="eastAsia" w:ascii="Calibri" w:hAnsi="Calibri"/>
          <w:b/>
        </w:rPr>
        <w:t>一</w:t>
      </w:r>
      <w:r>
        <w:rPr>
          <w:rFonts w:ascii="Calibri" w:hAnsi="Calibri"/>
          <w:b/>
        </w:rPr>
        <w:t>、</w:t>
      </w:r>
      <w:r>
        <w:rPr>
          <w:rFonts w:hint="eastAsia" w:ascii="Calibri" w:hAnsi="Calibri"/>
          <w:b/>
        </w:rPr>
        <w:t>对人才培养的反馈</w:t>
      </w:r>
    </w:p>
    <w:p>
      <w:pPr>
        <w:ind w:left="840" w:leftChars="400"/>
        <w:rPr>
          <w:rFonts w:ascii="宋体" w:hAnsi="宋体"/>
        </w:rPr>
      </w:pPr>
      <w:r>
        <w:rPr>
          <w:rFonts w:hint="eastAsia" w:ascii="宋体" w:hAnsi="宋体"/>
        </w:rPr>
        <w:t>（一</w:t>
      </w:r>
      <w:r>
        <w:rPr>
          <w:rFonts w:ascii="宋体" w:hAnsi="宋体"/>
        </w:rPr>
        <w:t>）对</w:t>
      </w:r>
      <w:r>
        <w:rPr>
          <w:rFonts w:hint="eastAsia" w:ascii="宋体" w:hAnsi="宋体"/>
        </w:rPr>
        <w:t>人才培养的评价</w:t>
      </w:r>
    </w:p>
    <w:p>
      <w:pPr>
        <w:ind w:left="420" w:leftChars="200" w:firstLine="840" w:firstLineChars="400"/>
        <w:rPr>
          <w:rFonts w:ascii="Calibri" w:hAnsi="Calibri"/>
        </w:rPr>
      </w:pPr>
      <w:r>
        <w:rPr>
          <w:rFonts w:hint="eastAsia" w:ascii="Calibri" w:hAnsi="Calibri"/>
        </w:rPr>
        <w:t>1</w:t>
      </w:r>
      <w:r>
        <w:rPr>
          <w:rFonts w:ascii="Calibri" w:hAnsi="Calibri"/>
        </w:rPr>
        <w:t>.</w:t>
      </w:r>
      <w:r>
        <w:rPr>
          <w:rFonts w:hint="eastAsia" w:ascii="Calibri" w:hAnsi="Calibri"/>
        </w:rPr>
        <w:t>母校的满意度（柱形图</w:t>
      </w:r>
      <w:r>
        <w:rPr>
          <w:rFonts w:ascii="Calibri" w:hAnsi="Calibri"/>
        </w:rPr>
        <w:t>）</w:t>
      </w:r>
    </w:p>
    <w:p>
      <w:pPr>
        <w:ind w:left="420" w:leftChars="200" w:firstLine="840" w:firstLineChars="400"/>
        <w:rPr>
          <w:rFonts w:ascii="Calibri" w:hAnsi="Calibri"/>
        </w:rPr>
      </w:pPr>
      <w:r>
        <w:rPr>
          <w:rFonts w:hint="eastAsia" w:ascii="Calibri" w:hAnsi="Calibri"/>
        </w:rPr>
        <w:t>2</w:t>
      </w:r>
      <w:r>
        <w:rPr>
          <w:rFonts w:ascii="Calibri" w:hAnsi="Calibri"/>
        </w:rPr>
        <w:t>.</w:t>
      </w:r>
      <w:r>
        <w:rPr>
          <w:rFonts w:hint="eastAsia" w:ascii="Calibri" w:hAnsi="Calibri"/>
        </w:rPr>
        <w:t>母校的</w:t>
      </w:r>
      <w:r>
        <w:rPr>
          <w:rFonts w:ascii="Calibri" w:hAnsi="Calibri"/>
        </w:rPr>
        <w:t>推荐度</w:t>
      </w:r>
      <w:r>
        <w:rPr>
          <w:rFonts w:hint="eastAsia" w:ascii="Calibri" w:hAnsi="Calibri"/>
        </w:rPr>
        <w:t>（柱状</w:t>
      </w:r>
      <w:r>
        <w:rPr>
          <w:rFonts w:ascii="Calibri" w:hAnsi="Calibri"/>
        </w:rPr>
        <w:t>构成</w:t>
      </w:r>
      <w:r>
        <w:rPr>
          <w:rFonts w:hint="eastAsia" w:ascii="Calibri" w:hAnsi="Calibri"/>
        </w:rPr>
        <w:t>图</w:t>
      </w:r>
      <w:r>
        <w:rPr>
          <w:rFonts w:ascii="Calibri" w:hAnsi="Calibri"/>
        </w:rPr>
        <w:t>）</w:t>
      </w:r>
    </w:p>
    <w:p>
      <w:pPr>
        <w:ind w:left="420" w:leftChars="200" w:firstLine="840" w:firstLineChars="400"/>
        <w:rPr>
          <w:rFonts w:ascii="Calibri" w:hAnsi="Calibri"/>
        </w:rPr>
      </w:pPr>
      <w:r>
        <w:rPr>
          <w:rFonts w:hint="eastAsia" w:ascii="Calibri" w:hAnsi="Calibri"/>
        </w:rPr>
        <w:t>3.对课堂教学的评价（柱形图）</w:t>
      </w:r>
    </w:p>
    <w:p>
      <w:pPr>
        <w:ind w:left="420" w:leftChars="200" w:firstLine="840" w:firstLineChars="400"/>
        <w:rPr>
          <w:rFonts w:ascii="仿宋" w:hAnsi="仿宋" w:eastAsia="仿宋"/>
        </w:rPr>
      </w:pPr>
      <w:r>
        <w:rPr>
          <w:rFonts w:hint="eastAsia" w:ascii="Calibri" w:hAnsi="Calibri"/>
        </w:rPr>
        <w:t>4.对实践教学的评价（柱形图）</w:t>
      </w:r>
    </w:p>
    <w:p>
      <w:pPr>
        <w:ind w:left="420" w:leftChars="200" w:firstLine="840" w:firstLineChars="400"/>
        <w:rPr>
          <w:rFonts w:ascii="Calibri" w:hAnsi="Calibri"/>
        </w:rPr>
      </w:pPr>
      <w:r>
        <w:rPr>
          <w:rFonts w:hint="eastAsia" w:ascii="Calibri" w:hAnsi="Calibri"/>
        </w:rPr>
        <w:t>5.对教师的评价（柱形图）</w:t>
      </w:r>
    </w:p>
    <w:p>
      <w:pPr>
        <w:ind w:left="420" w:leftChars="200" w:firstLine="840" w:firstLineChars="400"/>
        <w:rPr>
          <w:rFonts w:ascii="Calibri" w:hAnsi="Calibri"/>
        </w:rPr>
      </w:pPr>
      <w:r>
        <w:rPr>
          <w:rFonts w:hint="eastAsia" w:ascii="Calibri" w:hAnsi="Calibri"/>
        </w:rPr>
        <w:t>6.毕业生能力素质的评价（条形图）</w:t>
      </w:r>
    </w:p>
    <w:p>
      <w:pPr>
        <w:ind w:left="840" w:leftChars="400"/>
        <w:rPr>
          <w:rFonts w:ascii="宋体" w:hAnsi="宋体"/>
        </w:rPr>
      </w:pPr>
      <w:r>
        <w:rPr>
          <w:rFonts w:hint="eastAsia" w:ascii="宋体" w:hAnsi="宋体"/>
        </w:rPr>
        <w:t>（二</w:t>
      </w:r>
      <w:r>
        <w:rPr>
          <w:rFonts w:ascii="宋体" w:hAnsi="宋体"/>
        </w:rPr>
        <w:t>）</w:t>
      </w:r>
      <w:r>
        <w:rPr>
          <w:rFonts w:hint="eastAsia" w:ascii="宋体" w:hAnsi="宋体"/>
        </w:rPr>
        <w:t>人才培养改进措施</w:t>
      </w:r>
    </w:p>
    <w:p>
      <w:pPr>
        <w:ind w:firstLine="482"/>
        <w:rPr>
          <w:rFonts w:ascii="Calibri" w:hAnsi="Calibri"/>
          <w:b/>
        </w:rPr>
      </w:pPr>
      <w:r>
        <w:fldChar w:fldCharType="begin"/>
      </w:r>
      <w:r>
        <w:instrText xml:space="preserve"> HYPERLINK \l "_Toc397169586" </w:instrText>
      </w:r>
      <w:r>
        <w:fldChar w:fldCharType="separate"/>
      </w:r>
      <w:r>
        <w:rPr>
          <w:rFonts w:hint="eastAsia" w:ascii="Calibri" w:hAnsi="Calibri"/>
          <w:b/>
        </w:rPr>
        <w:t>二、对招生和专业设置的</w:t>
      </w:r>
      <w:r>
        <w:rPr>
          <w:rFonts w:hint="eastAsia" w:ascii="Calibri" w:hAnsi="Calibri"/>
          <w:b/>
        </w:rPr>
        <w:fldChar w:fldCharType="end"/>
      </w:r>
      <w:r>
        <w:rPr>
          <w:rFonts w:hint="eastAsia" w:ascii="Calibri" w:hAnsi="Calibri"/>
          <w:b/>
        </w:rPr>
        <w:t>反馈</w:t>
      </w:r>
    </w:p>
    <w:p>
      <w:pPr>
        <w:ind w:firstLine="482"/>
        <w:rPr>
          <w:rFonts w:ascii="Calibri" w:hAnsi="Calibri"/>
          <w:b/>
        </w:rPr>
      </w:pPr>
      <w:r>
        <w:fldChar w:fldCharType="begin"/>
      </w:r>
      <w:r>
        <w:instrText xml:space="preserve"> HYPERLINK \l "_Toc397169586" </w:instrText>
      </w:r>
      <w:r>
        <w:fldChar w:fldCharType="separate"/>
      </w:r>
      <w:r>
        <w:rPr>
          <w:rFonts w:hint="eastAsia" w:ascii="Calibri" w:hAnsi="Calibri"/>
          <w:b/>
        </w:rPr>
        <w:t>三、对就创业指导服务工作的</w:t>
      </w:r>
      <w:r>
        <w:rPr>
          <w:rFonts w:hint="eastAsia" w:ascii="Calibri" w:hAnsi="Calibri"/>
          <w:b/>
        </w:rPr>
        <w:fldChar w:fldCharType="end"/>
      </w:r>
      <w:r>
        <w:rPr>
          <w:rFonts w:hint="eastAsia" w:ascii="Calibri" w:hAnsi="Calibri"/>
          <w:b/>
        </w:rPr>
        <w:t>反馈</w:t>
      </w:r>
    </w:p>
    <w:p>
      <w:pPr>
        <w:ind w:left="840" w:leftChars="400"/>
        <w:rPr>
          <w:rFonts w:ascii="宋体" w:hAnsi="宋体"/>
        </w:rPr>
      </w:pPr>
      <w:r>
        <w:rPr>
          <w:rFonts w:hint="eastAsia" w:ascii="宋体" w:hAnsi="宋体"/>
        </w:rPr>
        <w:t>（一</w:t>
      </w:r>
      <w:r>
        <w:rPr>
          <w:rFonts w:ascii="宋体" w:hAnsi="宋体"/>
        </w:rPr>
        <w:t>）对</w:t>
      </w:r>
      <w:r>
        <w:rPr>
          <w:rFonts w:hint="eastAsia" w:ascii="宋体" w:hAnsi="宋体"/>
        </w:rPr>
        <w:t>就创业指导服务工作的评价</w:t>
      </w:r>
    </w:p>
    <w:p>
      <w:pPr>
        <w:ind w:left="420" w:leftChars="200" w:firstLine="840" w:firstLineChars="400"/>
        <w:rPr>
          <w:rFonts w:ascii="Calibri" w:hAnsi="Calibri"/>
        </w:rPr>
      </w:pPr>
      <w:r>
        <w:rPr>
          <w:rFonts w:hint="eastAsia" w:ascii="Calibri" w:hAnsi="Calibri"/>
        </w:rPr>
        <w:t>1</w:t>
      </w:r>
      <w:r>
        <w:rPr>
          <w:rFonts w:ascii="Calibri" w:hAnsi="Calibri"/>
        </w:rPr>
        <w:t>.</w:t>
      </w:r>
      <w:r>
        <w:rPr>
          <w:rFonts w:hint="eastAsia" w:ascii="Calibri" w:hAnsi="Calibri"/>
        </w:rPr>
        <w:t>毕业生对学校就业指导服务的评价（柱形图</w:t>
      </w:r>
      <w:r>
        <w:rPr>
          <w:rFonts w:ascii="Calibri" w:hAnsi="Calibri"/>
        </w:rPr>
        <w:t>）</w:t>
      </w:r>
    </w:p>
    <w:p>
      <w:pPr>
        <w:ind w:left="420" w:leftChars="200" w:firstLine="840" w:firstLineChars="400"/>
        <w:rPr>
          <w:rFonts w:ascii="Calibri" w:hAnsi="Calibri"/>
        </w:rPr>
      </w:pPr>
      <w:r>
        <w:rPr>
          <w:rFonts w:hint="eastAsia" w:ascii="Calibri" w:hAnsi="Calibri"/>
        </w:rPr>
        <w:t>2</w:t>
      </w:r>
      <w:r>
        <w:rPr>
          <w:rFonts w:ascii="Calibri" w:hAnsi="Calibri"/>
        </w:rPr>
        <w:t>.</w:t>
      </w:r>
      <w:r>
        <w:rPr>
          <w:rFonts w:hint="eastAsia" w:ascii="Calibri" w:hAnsi="Calibri"/>
        </w:rPr>
        <w:t>毕业生对学校创业指导服务的评价（柱形图</w:t>
      </w:r>
      <w:r>
        <w:rPr>
          <w:rFonts w:ascii="Calibri" w:hAnsi="Calibri"/>
        </w:rPr>
        <w:t>）</w:t>
      </w:r>
    </w:p>
    <w:p>
      <w:pPr>
        <w:ind w:left="420" w:leftChars="200" w:firstLine="840" w:firstLineChars="400"/>
        <w:rPr>
          <w:rFonts w:ascii="Calibri" w:hAnsi="Calibri"/>
        </w:rPr>
      </w:pPr>
      <w:r>
        <w:rPr>
          <w:rFonts w:hint="eastAsia" w:ascii="Calibri" w:hAnsi="Calibri"/>
        </w:rPr>
        <w:t>3.用人单位对学校就业服务工作的评价（饼图）</w:t>
      </w:r>
    </w:p>
    <w:p>
      <w:pPr>
        <w:ind w:left="840" w:leftChars="400"/>
        <w:rPr>
          <w:rFonts w:ascii="宋体" w:hAnsi="宋体"/>
        </w:rPr>
      </w:pPr>
      <w:r>
        <w:rPr>
          <w:rFonts w:hint="eastAsia" w:ascii="宋体" w:hAnsi="宋体"/>
        </w:rPr>
        <w:t>（二</w:t>
      </w:r>
      <w:r>
        <w:rPr>
          <w:rFonts w:ascii="宋体" w:hAnsi="宋体"/>
        </w:rPr>
        <w:t>）</w:t>
      </w:r>
      <w:r>
        <w:rPr>
          <w:rFonts w:hint="eastAsia" w:ascii="宋体" w:hAnsi="宋体"/>
        </w:rPr>
        <w:t>对就创业指导服务工作改进措施</w:t>
      </w:r>
    </w:p>
    <w:p/>
    <w:p/>
    <w:p>
      <w:r>
        <w:rPr>
          <w:rFonts w:hint="eastAsia"/>
        </w:rPr>
        <w:t>附件二：</w:t>
      </w:r>
    </w:p>
    <w:p>
      <w:pPr>
        <w:jc w:val="center"/>
        <w:rPr>
          <w:sz w:val="30"/>
          <w:szCs w:val="30"/>
        </w:rPr>
      </w:pPr>
      <w:r>
        <w:rPr>
          <w:rFonts w:hint="eastAsia"/>
          <w:b/>
          <w:bCs/>
          <w:sz w:val="30"/>
          <w:szCs w:val="30"/>
        </w:rPr>
        <w:t>铜陵学院毕业生培养质量中期评价报告大纲（参考格式）</w:t>
      </w:r>
    </w:p>
    <w:p>
      <w:pPr>
        <w:rPr>
          <w:b/>
        </w:rPr>
      </w:pPr>
      <w:r>
        <w:rPr>
          <w:rFonts w:hint="eastAsia"/>
          <w:b/>
        </w:rPr>
        <w:t>中期发展及问题</w:t>
      </w:r>
    </w:p>
    <w:p>
      <w:pPr>
        <w:rPr>
          <w:b/>
          <w:i/>
        </w:rPr>
      </w:pPr>
      <w:r>
        <w:rPr>
          <w:rFonts w:hint="eastAsia"/>
          <w:b/>
        </w:rPr>
        <w:t>第一部分</w:t>
      </w:r>
      <w:r>
        <w:rPr>
          <w:b/>
        </w:rPr>
        <w:t xml:space="preserve"> </w:t>
      </w:r>
      <w:r>
        <w:rPr>
          <w:rFonts w:hint="eastAsia"/>
          <w:b/>
        </w:rPr>
        <w:t>主要发现</w:t>
      </w:r>
    </w:p>
    <w:p>
      <w:pPr>
        <w:numPr>
          <w:ilvl w:val="0"/>
          <w:numId w:val="4"/>
        </w:numPr>
        <w:rPr>
          <w:b/>
        </w:rPr>
      </w:pPr>
      <w:r>
        <w:rPr>
          <w:rFonts w:hint="eastAsia"/>
          <w:b/>
        </w:rPr>
        <w:t>中期发展</w:t>
      </w:r>
    </w:p>
    <w:p>
      <w:pPr>
        <w:numPr>
          <w:ilvl w:val="0"/>
          <w:numId w:val="4"/>
        </w:numPr>
        <w:rPr>
          <w:b/>
        </w:rPr>
      </w:pPr>
      <w:r>
        <w:rPr>
          <w:rFonts w:hint="eastAsia"/>
          <w:b/>
        </w:rPr>
        <w:t>专业定位</w:t>
      </w:r>
    </w:p>
    <w:p>
      <w:pPr>
        <w:numPr>
          <w:ilvl w:val="0"/>
          <w:numId w:val="4"/>
        </w:numPr>
        <w:rPr>
          <w:b/>
        </w:rPr>
      </w:pPr>
      <w:r>
        <w:rPr>
          <w:rFonts w:hint="eastAsia"/>
          <w:b/>
        </w:rPr>
        <w:t>培养目标达成</w:t>
      </w:r>
    </w:p>
    <w:p>
      <w:pPr>
        <w:numPr>
          <w:ilvl w:val="0"/>
          <w:numId w:val="4"/>
        </w:numPr>
        <w:rPr>
          <w:b/>
        </w:rPr>
      </w:pPr>
      <w:r>
        <w:rPr>
          <w:rFonts w:hint="eastAsia"/>
          <w:b/>
        </w:rPr>
        <w:t>优秀毕业生</w:t>
      </w:r>
    </w:p>
    <w:p>
      <w:pPr>
        <w:rPr>
          <w:b/>
        </w:rPr>
      </w:pPr>
      <w:r>
        <w:rPr>
          <w:rFonts w:hint="eastAsia"/>
          <w:b/>
        </w:rPr>
        <w:t>第二部分</w:t>
      </w:r>
      <w:r>
        <w:rPr>
          <w:b/>
        </w:rPr>
        <w:t xml:space="preserve"> </w:t>
      </w:r>
      <w:r>
        <w:rPr>
          <w:rFonts w:hint="eastAsia"/>
          <w:b/>
        </w:rPr>
        <w:t>分析报告</w:t>
      </w:r>
    </w:p>
    <w:p>
      <w:pPr>
        <w:rPr>
          <w:b/>
        </w:rPr>
      </w:pPr>
      <w:r>
        <w:rPr>
          <w:rFonts w:hint="eastAsia"/>
          <w:b/>
        </w:rPr>
        <w:t>第一章</w:t>
      </w:r>
      <w:r>
        <w:rPr>
          <w:b/>
        </w:rPr>
        <w:tab/>
      </w:r>
      <w:r>
        <w:rPr>
          <w:rFonts w:hint="eastAsia"/>
          <w:b/>
        </w:rPr>
        <w:t>中期发展</w:t>
      </w:r>
    </w:p>
    <w:p>
      <w:pPr>
        <w:numPr>
          <w:ilvl w:val="0"/>
          <w:numId w:val="5"/>
        </w:numPr>
        <w:rPr>
          <w:b/>
        </w:rPr>
      </w:pPr>
      <w:r>
        <w:rPr>
          <w:rFonts w:hint="eastAsia"/>
          <w:b/>
        </w:rPr>
        <w:t>就业状态分布</w:t>
      </w:r>
    </w:p>
    <w:p>
      <w:pPr>
        <w:numPr>
          <w:ilvl w:val="0"/>
          <w:numId w:val="6"/>
        </w:numPr>
      </w:pPr>
      <w:r>
        <w:rPr>
          <w:rFonts w:hint="eastAsia"/>
        </w:rPr>
        <w:t>毕业生就业状态分布（柱形图，与全国对比）</w:t>
      </w:r>
    </w:p>
    <w:p>
      <w:pPr>
        <w:numPr>
          <w:ilvl w:val="0"/>
          <w:numId w:val="5"/>
        </w:numPr>
        <w:rPr>
          <w:b/>
        </w:rPr>
      </w:pPr>
      <w:r>
        <w:rPr>
          <w:rFonts w:hint="eastAsia"/>
          <w:b/>
        </w:rPr>
        <w:t>月收入（</w:t>
      </w:r>
      <w:r>
        <w:rPr>
          <w:rFonts w:hint="eastAsia"/>
        </w:rPr>
        <w:t>与全国对比</w:t>
      </w:r>
      <w:r>
        <w:rPr>
          <w:rFonts w:hint="eastAsia"/>
          <w:b/>
        </w:rPr>
        <w:t>）</w:t>
      </w:r>
    </w:p>
    <w:p>
      <w:pPr>
        <w:numPr>
          <w:ilvl w:val="0"/>
          <w:numId w:val="7"/>
        </w:numPr>
      </w:pPr>
      <w:r>
        <w:rPr>
          <w:rFonts w:hint="eastAsia"/>
        </w:rPr>
        <w:t>毕业生月收入（柱形图）</w:t>
      </w:r>
    </w:p>
    <w:p>
      <w:pPr>
        <w:numPr>
          <w:ilvl w:val="0"/>
          <w:numId w:val="7"/>
        </w:numPr>
      </w:pPr>
      <w:r>
        <w:rPr>
          <w:rFonts w:hint="eastAsia"/>
        </w:rPr>
        <w:t>主要职业类月收入（条形图）</w:t>
      </w:r>
    </w:p>
    <w:p>
      <w:pPr>
        <w:numPr>
          <w:ilvl w:val="0"/>
          <w:numId w:val="7"/>
        </w:numPr>
      </w:pPr>
      <w:r>
        <w:rPr>
          <w:rFonts w:hint="eastAsia"/>
        </w:rPr>
        <w:t>主要行业类月收入（条形图）</w:t>
      </w:r>
    </w:p>
    <w:p>
      <w:pPr>
        <w:numPr>
          <w:ilvl w:val="0"/>
          <w:numId w:val="7"/>
        </w:numPr>
      </w:pPr>
      <w:r>
        <w:rPr>
          <w:rFonts w:hint="eastAsia"/>
        </w:rPr>
        <w:t>各学院</w:t>
      </w:r>
      <w:r>
        <w:t>/</w:t>
      </w:r>
      <w:r>
        <w:rPr>
          <w:rFonts w:hint="eastAsia"/>
        </w:rPr>
        <w:t>专业毕业生月收入（条形图）</w:t>
      </w:r>
    </w:p>
    <w:p>
      <w:pPr>
        <w:numPr>
          <w:ilvl w:val="0"/>
          <w:numId w:val="5"/>
        </w:numPr>
        <w:rPr>
          <w:b/>
        </w:rPr>
      </w:pPr>
      <w:r>
        <w:rPr>
          <w:rFonts w:hint="eastAsia"/>
          <w:b/>
        </w:rPr>
        <w:t>职位晋升</w:t>
      </w:r>
    </w:p>
    <w:p>
      <w:pPr>
        <w:numPr>
          <w:ilvl w:val="0"/>
          <w:numId w:val="8"/>
        </w:numPr>
      </w:pPr>
      <w:r>
        <w:rPr>
          <w:rFonts w:hint="eastAsia"/>
        </w:rPr>
        <w:t>毕业生职位晋升比例（柱形图，与全国对比）</w:t>
      </w:r>
    </w:p>
    <w:p>
      <w:pPr>
        <w:numPr>
          <w:ilvl w:val="0"/>
          <w:numId w:val="8"/>
        </w:numPr>
      </w:pPr>
      <w:r>
        <w:rPr>
          <w:rFonts w:hint="eastAsia"/>
        </w:rPr>
        <w:t>各学院</w:t>
      </w:r>
      <w:r>
        <w:t>/</w:t>
      </w:r>
      <w:r>
        <w:rPr>
          <w:rFonts w:hint="eastAsia"/>
        </w:rPr>
        <w:t>专业毕业生职位晋升比例（条形图，与全国对比）</w:t>
      </w:r>
    </w:p>
    <w:p>
      <w:pPr>
        <w:numPr>
          <w:ilvl w:val="0"/>
          <w:numId w:val="8"/>
        </w:numPr>
      </w:pPr>
      <w:r>
        <w:rPr>
          <w:rFonts w:hint="eastAsia"/>
        </w:rPr>
        <w:t>毕业生职位晋升频度分布（柱形图，与全国对比）</w:t>
      </w:r>
    </w:p>
    <w:p>
      <w:pPr>
        <w:numPr>
          <w:ilvl w:val="0"/>
          <w:numId w:val="8"/>
        </w:numPr>
      </w:pPr>
      <w:r>
        <w:rPr>
          <w:rFonts w:hint="eastAsia"/>
        </w:rPr>
        <w:t>毕业生职位晋升次数（柱形图，与全国对比）</w:t>
      </w:r>
    </w:p>
    <w:p>
      <w:pPr>
        <w:numPr>
          <w:ilvl w:val="0"/>
          <w:numId w:val="8"/>
        </w:numPr>
      </w:pPr>
      <w:r>
        <w:rPr>
          <w:rFonts w:hint="eastAsia"/>
        </w:rPr>
        <w:t>各学院</w:t>
      </w:r>
      <w:r>
        <w:t>/</w:t>
      </w:r>
      <w:r>
        <w:rPr>
          <w:rFonts w:hint="eastAsia"/>
        </w:rPr>
        <w:t>专业毕业生职位晋升次数（条形图）</w:t>
      </w:r>
    </w:p>
    <w:p>
      <w:pPr>
        <w:numPr>
          <w:ilvl w:val="0"/>
          <w:numId w:val="8"/>
        </w:numPr>
      </w:pPr>
      <w:r>
        <w:rPr>
          <w:rFonts w:hint="eastAsia"/>
        </w:rPr>
        <w:t>各学院及专业的职位晋升排名（表格）</w:t>
      </w:r>
    </w:p>
    <w:p>
      <w:pPr>
        <w:numPr>
          <w:ilvl w:val="0"/>
          <w:numId w:val="8"/>
        </w:numPr>
      </w:pPr>
      <w:r>
        <w:rPr>
          <w:rFonts w:hint="eastAsia"/>
        </w:rPr>
        <w:t>对晋升最有帮助的大学活动（条形图，与全国对比）</w:t>
      </w:r>
    </w:p>
    <w:p>
      <w:pPr>
        <w:rPr>
          <w:b/>
        </w:rPr>
      </w:pPr>
      <w:r>
        <w:rPr>
          <w:rFonts w:hint="eastAsia"/>
          <w:b/>
        </w:rPr>
        <w:t>第二章</w:t>
      </w:r>
      <w:r>
        <w:rPr>
          <w:b/>
        </w:rPr>
        <w:t xml:space="preserve"> </w:t>
      </w:r>
      <w:r>
        <w:rPr>
          <w:rFonts w:hint="eastAsia"/>
          <w:b/>
        </w:rPr>
        <w:t>专业定位</w:t>
      </w:r>
    </w:p>
    <w:p>
      <w:pPr>
        <w:numPr>
          <w:ilvl w:val="0"/>
          <w:numId w:val="9"/>
        </w:numPr>
        <w:rPr>
          <w:b/>
        </w:rPr>
      </w:pPr>
      <w:r>
        <w:rPr>
          <w:rFonts w:hint="eastAsia"/>
          <w:b/>
        </w:rPr>
        <w:t>工作与专业相关度</w:t>
      </w:r>
    </w:p>
    <w:p>
      <w:pPr>
        <w:numPr>
          <w:ilvl w:val="0"/>
          <w:numId w:val="10"/>
        </w:numPr>
      </w:pPr>
      <w:r>
        <w:rPr>
          <w:rFonts w:hint="eastAsia"/>
        </w:rPr>
        <w:t>毕业生工作与专业相关度（柱形图、与全国对比）</w:t>
      </w:r>
    </w:p>
    <w:p>
      <w:pPr>
        <w:numPr>
          <w:ilvl w:val="0"/>
          <w:numId w:val="10"/>
        </w:numPr>
      </w:pPr>
      <w:r>
        <w:rPr>
          <w:rFonts w:hint="eastAsia"/>
        </w:rPr>
        <w:t>各学院</w:t>
      </w:r>
      <w:r>
        <w:t>/</w:t>
      </w:r>
      <w:r>
        <w:rPr>
          <w:rFonts w:hint="eastAsia"/>
        </w:rPr>
        <w:t>专业毕业生的工作与专业相关度（条形图）</w:t>
      </w:r>
    </w:p>
    <w:p>
      <w:pPr>
        <w:numPr>
          <w:ilvl w:val="0"/>
          <w:numId w:val="9"/>
        </w:numPr>
        <w:rPr>
          <w:b/>
        </w:rPr>
      </w:pPr>
      <w:r>
        <w:rPr>
          <w:rFonts w:hint="eastAsia"/>
          <w:b/>
        </w:rPr>
        <w:t>职业定位</w:t>
      </w:r>
    </w:p>
    <w:p>
      <w:pPr>
        <w:numPr>
          <w:ilvl w:val="0"/>
          <w:numId w:val="11"/>
        </w:numPr>
      </w:pPr>
      <w:r>
        <w:rPr>
          <w:rFonts w:hint="eastAsia"/>
        </w:rPr>
        <w:t>职业分布（柱形图）</w:t>
      </w:r>
    </w:p>
    <w:p>
      <w:pPr>
        <w:numPr>
          <w:ilvl w:val="0"/>
          <w:numId w:val="11"/>
        </w:numPr>
      </w:pPr>
      <w:r>
        <w:rPr>
          <w:rFonts w:hint="eastAsia"/>
        </w:rPr>
        <w:t>各学院</w:t>
      </w:r>
      <w:r>
        <w:t>/</w:t>
      </w:r>
      <w:r>
        <w:rPr>
          <w:rFonts w:hint="eastAsia"/>
        </w:rPr>
        <w:t>专业毕业生主要就业职业（表格）</w:t>
      </w:r>
    </w:p>
    <w:p>
      <w:pPr>
        <w:numPr>
          <w:ilvl w:val="0"/>
          <w:numId w:val="9"/>
        </w:numPr>
        <w:rPr>
          <w:b/>
        </w:rPr>
      </w:pPr>
      <w:r>
        <w:rPr>
          <w:rFonts w:hint="eastAsia"/>
          <w:b/>
        </w:rPr>
        <w:t>行业定位</w:t>
      </w:r>
    </w:p>
    <w:p>
      <w:pPr>
        <w:numPr>
          <w:ilvl w:val="0"/>
          <w:numId w:val="12"/>
        </w:numPr>
      </w:pPr>
      <w:r>
        <w:rPr>
          <w:rFonts w:hint="eastAsia"/>
        </w:rPr>
        <w:t>行业分布（柱形图）</w:t>
      </w:r>
    </w:p>
    <w:p>
      <w:pPr>
        <w:numPr>
          <w:ilvl w:val="0"/>
          <w:numId w:val="12"/>
        </w:numPr>
      </w:pPr>
      <w:r>
        <w:rPr>
          <w:rFonts w:hint="eastAsia"/>
        </w:rPr>
        <w:t>各学院</w:t>
      </w:r>
      <w:r>
        <w:t>/</w:t>
      </w:r>
      <w:r>
        <w:rPr>
          <w:rFonts w:hint="eastAsia"/>
        </w:rPr>
        <w:t>专业毕业生主要就业行业（表格）</w:t>
      </w:r>
    </w:p>
    <w:p>
      <w:pPr>
        <w:numPr>
          <w:ilvl w:val="0"/>
          <w:numId w:val="9"/>
        </w:numPr>
        <w:rPr>
          <w:b/>
        </w:rPr>
      </w:pPr>
      <w:r>
        <w:rPr>
          <w:rFonts w:hint="eastAsia"/>
          <w:b/>
        </w:rPr>
        <w:t>地区人才贡献</w:t>
      </w:r>
    </w:p>
    <w:p>
      <w:pPr>
        <w:numPr>
          <w:ilvl w:val="0"/>
          <w:numId w:val="13"/>
        </w:numPr>
      </w:pPr>
      <w:bookmarkStart w:id="32" w:name="OLE_LINK2"/>
      <w:bookmarkStart w:id="33" w:name="OLE_LINK1"/>
      <w:r>
        <w:rPr>
          <w:rFonts w:hint="eastAsia"/>
        </w:rPr>
        <w:t>在本地就业的比例（柱形图）</w:t>
      </w:r>
    </w:p>
    <w:bookmarkEnd w:id="32"/>
    <w:bookmarkEnd w:id="33"/>
    <w:p>
      <w:pPr>
        <w:numPr>
          <w:ilvl w:val="0"/>
          <w:numId w:val="13"/>
        </w:numPr>
      </w:pPr>
      <w:r>
        <w:rPr>
          <w:rFonts w:hint="eastAsia"/>
        </w:rPr>
        <w:t>在本地就业的主要行业类及月收入（表格）</w:t>
      </w:r>
    </w:p>
    <w:p>
      <w:pPr>
        <w:numPr>
          <w:ilvl w:val="0"/>
          <w:numId w:val="13"/>
        </w:numPr>
      </w:pPr>
      <w:r>
        <w:rPr>
          <w:rFonts w:hint="eastAsia"/>
        </w:rPr>
        <w:t>就业城市及月收入（表格）</w:t>
      </w:r>
    </w:p>
    <w:p>
      <w:pPr>
        <w:rPr>
          <w:b/>
        </w:rPr>
      </w:pPr>
      <w:r>
        <w:rPr>
          <w:rFonts w:hint="eastAsia"/>
          <w:b/>
        </w:rPr>
        <w:t>第三章</w:t>
      </w:r>
      <w:r>
        <w:rPr>
          <w:b/>
        </w:rPr>
        <w:t xml:space="preserve"> </w:t>
      </w:r>
      <w:r>
        <w:rPr>
          <w:rFonts w:hint="eastAsia"/>
          <w:b/>
        </w:rPr>
        <w:t>培养目标达成</w:t>
      </w:r>
    </w:p>
    <w:p>
      <w:pPr>
        <w:numPr>
          <w:ilvl w:val="0"/>
          <w:numId w:val="14"/>
        </w:numPr>
        <w:rPr>
          <w:b/>
        </w:rPr>
      </w:pPr>
      <w:r>
        <w:rPr>
          <w:rFonts w:hint="eastAsia"/>
          <w:b/>
        </w:rPr>
        <w:t>培养目标</w:t>
      </w:r>
    </w:p>
    <w:p>
      <w:pPr>
        <w:numPr>
          <w:ilvl w:val="0"/>
          <w:numId w:val="15"/>
        </w:numPr>
        <w:rPr>
          <w:b/>
        </w:rPr>
      </w:pPr>
      <w:r>
        <w:rPr>
          <w:rFonts w:hint="eastAsia"/>
          <w:b/>
        </w:rPr>
        <w:t>能力达成情况</w:t>
      </w:r>
    </w:p>
    <w:p>
      <w:pPr>
        <w:numPr>
          <w:ilvl w:val="0"/>
          <w:numId w:val="16"/>
        </w:numPr>
      </w:pPr>
      <w:r>
        <w:rPr>
          <w:rFonts w:hint="eastAsia"/>
        </w:rPr>
        <w:t>各项能力达成度（条形图）</w:t>
      </w:r>
    </w:p>
    <w:p>
      <w:pPr>
        <w:numPr>
          <w:ilvl w:val="0"/>
          <w:numId w:val="16"/>
        </w:numPr>
      </w:pPr>
      <w:r>
        <w:rPr>
          <w:rFonts w:hint="eastAsia"/>
        </w:rPr>
        <w:t>各学院能力达成度（条形图）</w:t>
      </w:r>
    </w:p>
    <w:p>
      <w:pPr>
        <w:numPr>
          <w:ilvl w:val="0"/>
          <w:numId w:val="16"/>
        </w:numPr>
      </w:pPr>
      <w:r>
        <w:rPr>
          <w:rFonts w:hint="eastAsia"/>
        </w:rPr>
        <w:t>达成度低的能力的院系分析（条形图）</w:t>
      </w:r>
    </w:p>
    <w:p>
      <w:pPr>
        <w:numPr>
          <w:ilvl w:val="0"/>
          <w:numId w:val="15"/>
        </w:numPr>
        <w:rPr>
          <w:b/>
        </w:rPr>
      </w:pPr>
      <w:r>
        <w:rPr>
          <w:rFonts w:hint="eastAsia"/>
          <w:b/>
        </w:rPr>
        <w:t>在校影响分析</w:t>
      </w:r>
    </w:p>
    <w:p>
      <w:pPr>
        <w:numPr>
          <w:ilvl w:val="0"/>
          <w:numId w:val="17"/>
        </w:numPr>
      </w:pPr>
      <w:r>
        <w:rPr>
          <w:rFonts w:hint="eastAsia"/>
        </w:rPr>
        <w:t>在校经历对各项能力的影响（条形图）</w:t>
      </w:r>
    </w:p>
    <w:p>
      <w:pPr>
        <w:numPr>
          <w:ilvl w:val="0"/>
          <w:numId w:val="14"/>
        </w:numPr>
        <w:rPr>
          <w:b/>
        </w:rPr>
      </w:pPr>
      <w:r>
        <w:rPr>
          <w:rFonts w:hint="eastAsia"/>
          <w:b/>
        </w:rPr>
        <w:t>培养过程</w:t>
      </w:r>
    </w:p>
    <w:p>
      <w:pPr>
        <w:numPr>
          <w:ilvl w:val="0"/>
          <w:numId w:val="18"/>
        </w:numPr>
        <w:rPr>
          <w:b/>
        </w:rPr>
      </w:pPr>
      <w:r>
        <w:rPr>
          <w:rFonts w:hint="eastAsia"/>
          <w:b/>
        </w:rPr>
        <w:t>在校培养评价</w:t>
      </w:r>
    </w:p>
    <w:p>
      <w:pPr>
        <w:numPr>
          <w:ilvl w:val="0"/>
          <w:numId w:val="19"/>
        </w:numPr>
      </w:pPr>
      <w:r>
        <w:rPr>
          <w:rFonts w:hint="eastAsia"/>
        </w:rPr>
        <w:t>在校培养总体评价（饼图）</w:t>
      </w:r>
    </w:p>
    <w:p>
      <w:pPr>
        <w:numPr>
          <w:ilvl w:val="0"/>
          <w:numId w:val="19"/>
        </w:numPr>
      </w:pPr>
      <w:r>
        <w:rPr>
          <w:rFonts w:hint="eastAsia"/>
        </w:rPr>
        <w:t>各学院毕业生对在校培养的评价（堆积条形图）</w:t>
      </w:r>
    </w:p>
    <w:p>
      <w:pPr>
        <w:numPr>
          <w:ilvl w:val="0"/>
          <w:numId w:val="19"/>
        </w:numPr>
      </w:pPr>
      <w:r>
        <w:rPr>
          <w:rFonts w:hint="eastAsia"/>
        </w:rPr>
        <w:t>工作与专业相关</w:t>
      </w:r>
      <w:r>
        <w:t>/</w:t>
      </w:r>
      <w:r>
        <w:rPr>
          <w:rFonts w:hint="eastAsia"/>
        </w:rPr>
        <w:t>无关人群对在校培养的评价（柱形图）</w:t>
      </w:r>
    </w:p>
    <w:p>
      <w:pPr>
        <w:numPr>
          <w:ilvl w:val="0"/>
          <w:numId w:val="19"/>
        </w:numPr>
      </w:pPr>
      <w:r>
        <w:rPr>
          <w:rFonts w:hint="eastAsia"/>
        </w:rPr>
        <w:t>职位晋升</w:t>
      </w:r>
      <w:r>
        <w:t>/</w:t>
      </w:r>
      <w:r>
        <w:rPr>
          <w:rFonts w:hint="eastAsia"/>
        </w:rPr>
        <w:t>未晋升人群对在校培养的评价（柱形图）</w:t>
      </w:r>
    </w:p>
    <w:p>
      <w:pPr>
        <w:numPr>
          <w:ilvl w:val="0"/>
          <w:numId w:val="18"/>
        </w:numPr>
        <w:rPr>
          <w:b/>
        </w:rPr>
      </w:pPr>
      <w:r>
        <w:rPr>
          <w:rFonts w:hint="eastAsia"/>
          <w:b/>
        </w:rPr>
        <w:t>教学评价</w:t>
      </w:r>
    </w:p>
    <w:p>
      <w:pPr>
        <w:numPr>
          <w:ilvl w:val="0"/>
          <w:numId w:val="20"/>
        </w:numPr>
      </w:pPr>
      <w:r>
        <w:rPr>
          <w:rFonts w:hint="eastAsia"/>
        </w:rPr>
        <w:t>毕业生对母校教学的满意度（堆积条形图）</w:t>
      </w:r>
    </w:p>
    <w:p>
      <w:pPr>
        <w:numPr>
          <w:ilvl w:val="0"/>
          <w:numId w:val="20"/>
        </w:numPr>
      </w:pPr>
      <w:r>
        <w:rPr>
          <w:rFonts w:hint="eastAsia"/>
        </w:rPr>
        <w:t>各学院毕业生对母校教学的满意度评价（条形图）</w:t>
      </w:r>
    </w:p>
    <w:p>
      <w:pPr>
        <w:numPr>
          <w:ilvl w:val="0"/>
          <w:numId w:val="20"/>
        </w:numPr>
      </w:pPr>
      <w:r>
        <w:rPr>
          <w:rFonts w:hint="eastAsia"/>
        </w:rPr>
        <w:t>满意度低的教学环节的院系分析（条形图）</w:t>
      </w:r>
    </w:p>
    <w:p>
      <w:pPr>
        <w:numPr>
          <w:ilvl w:val="0"/>
          <w:numId w:val="20"/>
        </w:numPr>
      </w:pPr>
      <w:r>
        <w:rPr>
          <w:rFonts w:hint="eastAsia"/>
        </w:rPr>
        <w:t>职位晋升</w:t>
      </w:r>
      <w:r>
        <w:t>/</w:t>
      </w:r>
      <w:r>
        <w:rPr>
          <w:rFonts w:hint="eastAsia"/>
        </w:rPr>
        <w:t>未晋升毕业生对母校教学的满意度评价（条形图）</w:t>
      </w:r>
    </w:p>
    <w:p>
      <w:pPr>
        <w:numPr>
          <w:ilvl w:val="0"/>
          <w:numId w:val="18"/>
        </w:numPr>
        <w:rPr>
          <w:b/>
        </w:rPr>
      </w:pPr>
      <w:r>
        <w:rPr>
          <w:rFonts w:hint="eastAsia"/>
          <w:b/>
        </w:rPr>
        <w:t>课程评价</w:t>
      </w:r>
    </w:p>
    <w:p>
      <w:pPr>
        <w:numPr>
          <w:ilvl w:val="0"/>
          <w:numId w:val="21"/>
        </w:numPr>
      </w:pPr>
      <w:r>
        <w:rPr>
          <w:rFonts w:hint="eastAsia"/>
        </w:rPr>
        <w:t>毕业生希望加强培养的课程类型（柱形图）</w:t>
      </w:r>
    </w:p>
    <w:p>
      <w:pPr>
        <w:numPr>
          <w:ilvl w:val="0"/>
          <w:numId w:val="21"/>
        </w:numPr>
      </w:pPr>
      <w:r>
        <w:rPr>
          <w:rFonts w:hint="eastAsia"/>
        </w:rPr>
        <w:t>各学院毕业生希望加强培养的课程类型（表格）</w:t>
      </w:r>
    </w:p>
    <w:p>
      <w:pPr>
        <w:numPr>
          <w:ilvl w:val="0"/>
          <w:numId w:val="21"/>
        </w:numPr>
      </w:pPr>
      <w:r>
        <w:rPr>
          <w:rFonts w:hint="eastAsia"/>
        </w:rPr>
        <w:t>各类通识教育的重要度（柱形图）</w:t>
      </w:r>
    </w:p>
    <w:p>
      <w:pPr>
        <w:numPr>
          <w:ilvl w:val="0"/>
          <w:numId w:val="21"/>
        </w:numPr>
      </w:pPr>
      <w:r>
        <w:rPr>
          <w:rFonts w:hint="eastAsia"/>
        </w:rPr>
        <w:t>各类通识教育需要加强的比例（柱状图）</w:t>
      </w:r>
    </w:p>
    <w:p>
      <w:pPr>
        <w:rPr>
          <w:b/>
        </w:rPr>
      </w:pPr>
      <w:r>
        <w:rPr>
          <w:rFonts w:hint="eastAsia"/>
          <w:b/>
        </w:rPr>
        <w:t>第四章</w:t>
      </w:r>
      <w:r>
        <w:rPr>
          <w:b/>
        </w:rPr>
        <w:t xml:space="preserve"> </w:t>
      </w:r>
      <w:r>
        <w:rPr>
          <w:rFonts w:hint="eastAsia"/>
          <w:b/>
        </w:rPr>
        <w:t>创新创业情况</w:t>
      </w:r>
    </w:p>
    <w:p>
      <w:pPr>
        <w:numPr>
          <w:ilvl w:val="0"/>
          <w:numId w:val="22"/>
        </w:numPr>
        <w:rPr>
          <w:b/>
        </w:rPr>
      </w:pPr>
      <w:r>
        <w:rPr>
          <w:rFonts w:hint="eastAsia"/>
          <w:b/>
        </w:rPr>
        <w:t>自主创业比例</w:t>
      </w:r>
    </w:p>
    <w:p>
      <w:pPr>
        <w:numPr>
          <w:ilvl w:val="0"/>
          <w:numId w:val="23"/>
        </w:numPr>
      </w:pPr>
      <w:r>
        <w:rPr>
          <w:rFonts w:hint="eastAsia"/>
        </w:rPr>
        <w:t>自主创业比例（柱形图，与全国对比）</w:t>
      </w:r>
    </w:p>
    <w:p>
      <w:pPr>
        <w:numPr>
          <w:ilvl w:val="0"/>
          <w:numId w:val="23"/>
        </w:numPr>
      </w:pPr>
      <w:r>
        <w:rPr>
          <w:rFonts w:hint="eastAsia"/>
        </w:rPr>
        <w:t>自主创业主要地区（饼图）</w:t>
      </w:r>
    </w:p>
    <w:p>
      <w:pPr>
        <w:numPr>
          <w:ilvl w:val="0"/>
          <w:numId w:val="22"/>
        </w:numPr>
        <w:rPr>
          <w:b/>
        </w:rPr>
      </w:pPr>
      <w:r>
        <w:rPr>
          <w:rFonts w:hint="eastAsia"/>
          <w:b/>
        </w:rPr>
        <w:t>自主创业状态</w:t>
      </w:r>
    </w:p>
    <w:p>
      <w:pPr>
        <w:numPr>
          <w:ilvl w:val="0"/>
          <w:numId w:val="24"/>
        </w:numPr>
      </w:pPr>
      <w:r>
        <w:rPr>
          <w:rFonts w:hint="eastAsia"/>
        </w:rPr>
        <w:t>自主创业项目与专业相关的比例（柱形图）</w:t>
      </w:r>
    </w:p>
    <w:p>
      <w:pPr>
        <w:numPr>
          <w:ilvl w:val="0"/>
          <w:numId w:val="24"/>
        </w:numPr>
      </w:pPr>
      <w:r>
        <w:rPr>
          <w:rFonts w:hint="eastAsia"/>
        </w:rPr>
        <w:t>自主创业项目的盈利情况（饼图）</w:t>
      </w:r>
    </w:p>
    <w:p>
      <w:pPr>
        <w:numPr>
          <w:ilvl w:val="0"/>
          <w:numId w:val="22"/>
        </w:numPr>
        <w:rPr>
          <w:b/>
        </w:rPr>
      </w:pPr>
      <w:r>
        <w:rPr>
          <w:rFonts w:hint="eastAsia"/>
          <w:b/>
        </w:rPr>
        <w:t>创新创业教育反馈</w:t>
      </w:r>
    </w:p>
    <w:p>
      <w:pPr>
        <w:numPr>
          <w:ilvl w:val="0"/>
          <w:numId w:val="25"/>
        </w:numPr>
      </w:pPr>
      <w:r>
        <w:rPr>
          <w:rFonts w:hint="eastAsia"/>
        </w:rPr>
        <w:t>创新创业教育的参与度和有效性（柱形堆积图）</w:t>
      </w:r>
    </w:p>
    <w:p>
      <w:pPr>
        <w:numPr>
          <w:ilvl w:val="0"/>
          <w:numId w:val="25"/>
        </w:numPr>
      </w:pPr>
      <w:r>
        <w:rPr>
          <w:rFonts w:hint="eastAsia"/>
        </w:rPr>
        <w:t>创新创业教育最需要改进的地方（条形图）</w:t>
      </w:r>
    </w:p>
    <w:p>
      <w:pPr>
        <w:rPr>
          <w:b/>
        </w:rPr>
      </w:pPr>
      <w:r>
        <w:rPr>
          <w:rFonts w:hint="eastAsia"/>
          <w:b/>
        </w:rPr>
        <w:t>第五章</w:t>
      </w:r>
      <w:r>
        <w:rPr>
          <w:b/>
        </w:rPr>
        <w:t xml:space="preserve"> </w:t>
      </w:r>
      <w:r>
        <w:rPr>
          <w:rFonts w:hint="eastAsia"/>
          <w:b/>
        </w:rPr>
        <w:t>优秀毕业生影响因素</w:t>
      </w:r>
    </w:p>
    <w:p>
      <w:pPr>
        <w:numPr>
          <w:ilvl w:val="0"/>
          <w:numId w:val="26"/>
        </w:numPr>
        <w:rPr>
          <w:b/>
        </w:rPr>
      </w:pPr>
      <w:r>
        <w:rPr>
          <w:rFonts w:hint="eastAsia"/>
          <w:b/>
        </w:rPr>
        <w:t>背景因素</w:t>
      </w:r>
    </w:p>
    <w:p>
      <w:pPr>
        <w:numPr>
          <w:ilvl w:val="0"/>
          <w:numId w:val="27"/>
        </w:numPr>
      </w:pPr>
      <w:r>
        <w:rPr>
          <w:rFonts w:hint="eastAsia"/>
        </w:rPr>
        <w:t>性别分布（柱状图）</w:t>
      </w:r>
    </w:p>
    <w:p>
      <w:pPr>
        <w:numPr>
          <w:ilvl w:val="0"/>
          <w:numId w:val="27"/>
        </w:numPr>
      </w:pPr>
      <w:r>
        <w:rPr>
          <w:rFonts w:hint="eastAsia"/>
        </w:rPr>
        <w:t>高中阶段的学校类型（柱状图）</w:t>
      </w:r>
    </w:p>
    <w:p>
      <w:pPr>
        <w:numPr>
          <w:ilvl w:val="0"/>
          <w:numId w:val="27"/>
        </w:numPr>
      </w:pPr>
      <w:r>
        <w:rPr>
          <w:rFonts w:hint="eastAsia"/>
        </w:rPr>
        <w:t>父母的最高教育水平（柱状图）</w:t>
      </w:r>
    </w:p>
    <w:p>
      <w:pPr>
        <w:numPr>
          <w:ilvl w:val="0"/>
          <w:numId w:val="27"/>
        </w:numPr>
      </w:pPr>
      <w:r>
        <w:rPr>
          <w:rFonts w:hint="eastAsia"/>
        </w:rPr>
        <w:t>父母所属职业阶层（条形图）</w:t>
      </w:r>
    </w:p>
    <w:p>
      <w:pPr>
        <w:numPr>
          <w:ilvl w:val="0"/>
          <w:numId w:val="26"/>
        </w:numPr>
        <w:rPr>
          <w:b/>
        </w:rPr>
      </w:pPr>
      <w:r>
        <w:rPr>
          <w:rFonts w:hint="eastAsia"/>
          <w:b/>
        </w:rPr>
        <w:t>学校因素</w:t>
      </w:r>
    </w:p>
    <w:p>
      <w:pPr>
        <w:numPr>
          <w:ilvl w:val="0"/>
          <w:numId w:val="28"/>
        </w:numPr>
      </w:pPr>
      <w:r>
        <w:rPr>
          <w:rFonts w:hint="eastAsia"/>
        </w:rPr>
        <w:t>在校参与的活动类型分布（学术讲座、科研项目、社团活动等）（条形图）</w:t>
      </w:r>
    </w:p>
    <w:p>
      <w:pPr>
        <w:numPr>
          <w:ilvl w:val="0"/>
          <w:numId w:val="28"/>
        </w:numPr>
      </w:pPr>
      <w:r>
        <w:rPr>
          <w:rFonts w:hint="eastAsia"/>
        </w:rPr>
        <w:t>在校经历分布（学生干部、社团干部、奖励、入党）（柱状图）</w:t>
      </w:r>
    </w:p>
    <w:p>
      <w:pPr>
        <w:numPr>
          <w:ilvl w:val="0"/>
          <w:numId w:val="26"/>
        </w:numPr>
        <w:rPr>
          <w:b/>
        </w:rPr>
      </w:pPr>
      <w:r>
        <w:rPr>
          <w:rFonts w:hint="eastAsia"/>
          <w:b/>
        </w:rPr>
        <w:t>培养反馈</w:t>
      </w:r>
    </w:p>
    <w:p>
      <w:pPr>
        <w:numPr>
          <w:ilvl w:val="0"/>
          <w:numId w:val="29"/>
        </w:numPr>
      </w:pPr>
      <w:r>
        <w:rPr>
          <w:rFonts w:hint="eastAsia"/>
        </w:rPr>
        <w:t>优秀毕业生对在校培养的评价（柱状图）</w:t>
      </w:r>
    </w:p>
    <w:p>
      <w:pPr>
        <w:numPr>
          <w:ilvl w:val="0"/>
          <w:numId w:val="29"/>
        </w:numPr>
      </w:pPr>
      <w:r>
        <w:rPr>
          <w:rFonts w:hint="eastAsia"/>
        </w:rPr>
        <w:t>优秀毕业生中期各项能力的达成度（条形图）</w:t>
      </w:r>
    </w:p>
    <w:p>
      <w:pPr>
        <w:numPr>
          <w:ilvl w:val="0"/>
          <w:numId w:val="29"/>
        </w:numPr>
      </w:pPr>
      <w:r>
        <w:rPr>
          <w:rFonts w:hint="eastAsia"/>
        </w:rPr>
        <w:t>优秀毕业生对教学的评价（条形图）</w:t>
      </w:r>
    </w:p>
    <w:p>
      <w:pPr>
        <w:numPr>
          <w:ilvl w:val="0"/>
          <w:numId w:val="29"/>
        </w:numPr>
      </w:pPr>
      <w:r>
        <w:rPr>
          <w:rFonts w:hint="eastAsia"/>
        </w:rPr>
        <w:t>优秀毕业生认为需要加强的课程类型（条形图）</w:t>
      </w:r>
    </w:p>
    <w:p>
      <w:pPr>
        <w:numPr>
          <w:ilvl w:val="0"/>
          <w:numId w:val="29"/>
        </w:numPr>
      </w:pPr>
      <w:r>
        <w:rPr>
          <w:rFonts w:hint="eastAsia"/>
        </w:rPr>
        <w:t>优秀毕业生认为需要加强的通识教育（条形图）</w:t>
      </w:r>
    </w:p>
    <w:p>
      <w:pPr>
        <w:numPr>
          <w:ilvl w:val="0"/>
          <w:numId w:val="29"/>
        </w:numPr>
      </w:pPr>
      <w:r>
        <w:rPr>
          <w:rFonts w:hint="eastAsia"/>
        </w:rPr>
        <w:t>优秀毕业生认为工作中职业素养的重要度（条形图）</w:t>
      </w:r>
    </w:p>
    <w:p>
      <w:pPr>
        <w:numPr>
          <w:ilvl w:val="0"/>
          <w:numId w:val="29"/>
        </w:numPr>
      </w:pPr>
      <w:r>
        <w:rPr>
          <w:rFonts w:hint="eastAsia"/>
        </w:rPr>
        <w:t>优秀毕业生认为工作中职业发展能力的重要度（条形图）</w:t>
      </w:r>
    </w:p>
    <w:p>
      <w:pPr>
        <w:rPr>
          <w:b/>
        </w:rPr>
      </w:pPr>
      <w:r>
        <w:rPr>
          <w:rFonts w:hint="eastAsia"/>
          <w:b/>
        </w:rPr>
        <w:t>第六章</w:t>
      </w:r>
      <w:r>
        <w:rPr>
          <w:b/>
        </w:rPr>
        <w:t xml:space="preserve"> </w:t>
      </w:r>
      <w:r>
        <w:rPr>
          <w:rFonts w:hint="eastAsia"/>
          <w:b/>
        </w:rPr>
        <w:t>社会声誉</w:t>
      </w:r>
    </w:p>
    <w:p>
      <w:pPr>
        <w:numPr>
          <w:ilvl w:val="0"/>
          <w:numId w:val="30"/>
        </w:numPr>
        <w:rPr>
          <w:b/>
        </w:rPr>
      </w:pPr>
      <w:r>
        <w:rPr>
          <w:rFonts w:hint="eastAsia"/>
          <w:b/>
        </w:rPr>
        <w:t>校友评价指数汇总</w:t>
      </w:r>
    </w:p>
    <w:p>
      <w:pPr>
        <w:numPr>
          <w:ilvl w:val="0"/>
          <w:numId w:val="31"/>
        </w:numPr>
      </w:pPr>
      <w:r>
        <w:rPr>
          <w:rFonts w:hint="eastAsia"/>
        </w:rPr>
        <w:t>各学院及专业校友综合评价排名（表格）</w:t>
      </w:r>
    </w:p>
    <w:p>
      <w:pPr>
        <w:numPr>
          <w:ilvl w:val="0"/>
          <w:numId w:val="30"/>
        </w:numPr>
        <w:rPr>
          <w:b/>
        </w:rPr>
      </w:pPr>
      <w:r>
        <w:rPr>
          <w:rFonts w:hint="eastAsia"/>
          <w:b/>
        </w:rPr>
        <w:t>校友推荐度</w:t>
      </w:r>
    </w:p>
    <w:p>
      <w:pPr>
        <w:numPr>
          <w:ilvl w:val="0"/>
          <w:numId w:val="32"/>
        </w:numPr>
      </w:pPr>
      <w:r>
        <w:rPr>
          <w:rFonts w:hint="eastAsia"/>
        </w:rPr>
        <w:t>毕业生对母校的推荐度（柱形图，与全国对比）</w:t>
      </w:r>
    </w:p>
    <w:p>
      <w:pPr>
        <w:numPr>
          <w:ilvl w:val="0"/>
          <w:numId w:val="32"/>
        </w:numPr>
      </w:pPr>
      <w:r>
        <w:rPr>
          <w:rFonts w:hint="eastAsia"/>
        </w:rPr>
        <w:t>各学院</w:t>
      </w:r>
      <w:r>
        <w:t>/</w:t>
      </w:r>
      <w:r>
        <w:rPr>
          <w:rFonts w:hint="eastAsia"/>
        </w:rPr>
        <w:t>专业毕业生对母校的推荐度（条形图）</w:t>
      </w:r>
    </w:p>
    <w:p>
      <w:pPr>
        <w:numPr>
          <w:ilvl w:val="0"/>
          <w:numId w:val="30"/>
        </w:numPr>
        <w:rPr>
          <w:b/>
        </w:rPr>
      </w:pPr>
      <w:r>
        <w:rPr>
          <w:rFonts w:hint="eastAsia"/>
          <w:b/>
        </w:rPr>
        <w:t>校友关注度</w:t>
      </w:r>
    </w:p>
    <w:p>
      <w:pPr>
        <w:numPr>
          <w:ilvl w:val="0"/>
          <w:numId w:val="33"/>
        </w:numPr>
      </w:pPr>
      <w:r>
        <w:rPr>
          <w:rFonts w:hint="eastAsia"/>
        </w:rPr>
        <w:t>毕业生对母校的关注度（柱形图，与全国对比）</w:t>
      </w:r>
    </w:p>
    <w:p>
      <w:pPr>
        <w:numPr>
          <w:ilvl w:val="0"/>
          <w:numId w:val="33"/>
        </w:numPr>
      </w:pPr>
      <w:r>
        <w:rPr>
          <w:rFonts w:hint="eastAsia"/>
        </w:rPr>
        <w:t>各学院</w:t>
      </w:r>
      <w:r>
        <w:t>/</w:t>
      </w:r>
      <w:r>
        <w:rPr>
          <w:rFonts w:hint="eastAsia"/>
        </w:rPr>
        <w:t>专业毕业生对母校的关注度（条形图）</w:t>
      </w:r>
    </w:p>
    <w:p>
      <w:pPr>
        <w:numPr>
          <w:ilvl w:val="0"/>
          <w:numId w:val="33"/>
        </w:numPr>
      </w:pPr>
      <w:r>
        <w:rPr>
          <w:rFonts w:hint="eastAsia"/>
        </w:rPr>
        <w:t>毕业生对母校的关注途径（条形图）</w:t>
      </w:r>
    </w:p>
    <w:p>
      <w:pPr>
        <w:numPr>
          <w:ilvl w:val="0"/>
          <w:numId w:val="33"/>
        </w:numPr>
      </w:pPr>
      <w:r>
        <w:rPr>
          <w:rFonts w:hint="eastAsia"/>
        </w:rPr>
        <w:t>毕业生与母校间的联系程度（饼图）</w:t>
      </w:r>
    </w:p>
    <w:p>
      <w:pPr>
        <w:numPr>
          <w:ilvl w:val="0"/>
          <w:numId w:val="33"/>
        </w:numPr>
      </w:pPr>
      <w:r>
        <w:rPr>
          <w:rFonts w:hint="eastAsia"/>
        </w:rPr>
        <w:t>毕业生对母校的社会声誉评价分布（柱形图，与全国对比）</w:t>
      </w:r>
    </w:p>
    <w:p>
      <w:pPr>
        <w:numPr>
          <w:ilvl w:val="0"/>
          <w:numId w:val="30"/>
        </w:numPr>
        <w:rPr>
          <w:b/>
        </w:rPr>
      </w:pPr>
      <w:r>
        <w:rPr>
          <w:rFonts w:hint="eastAsia"/>
          <w:b/>
        </w:rPr>
        <w:t>校友回馈度</w:t>
      </w:r>
    </w:p>
    <w:p>
      <w:pPr>
        <w:numPr>
          <w:ilvl w:val="0"/>
          <w:numId w:val="34"/>
        </w:numPr>
      </w:pPr>
      <w:r>
        <w:rPr>
          <w:rFonts w:hint="eastAsia"/>
        </w:rPr>
        <w:t>毕业生对母校的回馈度（柱形图，与全国对比）</w:t>
      </w:r>
    </w:p>
    <w:p>
      <w:pPr>
        <w:numPr>
          <w:ilvl w:val="0"/>
          <w:numId w:val="34"/>
        </w:numPr>
      </w:pPr>
      <w:r>
        <w:rPr>
          <w:rFonts w:hint="eastAsia"/>
        </w:rPr>
        <w:t>各学院</w:t>
      </w:r>
      <w:r>
        <w:t>/</w:t>
      </w:r>
      <w:r>
        <w:rPr>
          <w:rFonts w:hint="eastAsia"/>
        </w:rPr>
        <w:t>专业毕业生对母校的回馈度（条形图）</w:t>
      </w:r>
    </w:p>
    <w:p>
      <w:pPr>
        <w:numPr>
          <w:ilvl w:val="0"/>
          <w:numId w:val="34"/>
        </w:numPr>
      </w:pPr>
      <w:r>
        <w:rPr>
          <w:rFonts w:hint="eastAsia"/>
        </w:rPr>
        <w:t>毕业生回馈母校的途径（条形图）</w:t>
      </w:r>
    </w:p>
    <w:p>
      <w:pPr>
        <w:numPr>
          <w:ilvl w:val="0"/>
          <w:numId w:val="30"/>
        </w:numPr>
        <w:rPr>
          <w:b/>
        </w:rPr>
      </w:pPr>
      <w:r>
        <w:rPr>
          <w:rFonts w:hint="eastAsia"/>
          <w:b/>
        </w:rPr>
        <w:t>校友服务</w:t>
      </w:r>
    </w:p>
    <w:p>
      <w:pPr>
        <w:numPr>
          <w:ilvl w:val="0"/>
          <w:numId w:val="35"/>
        </w:numPr>
      </w:pPr>
      <w:r>
        <w:rPr>
          <w:rFonts w:hint="eastAsia"/>
        </w:rPr>
        <w:t>毕业生希望母校提供的校友服务类型（条形图）</w:t>
      </w:r>
    </w:p>
    <w:p>
      <w:pPr>
        <w:numPr>
          <w:ilvl w:val="0"/>
          <w:numId w:val="35"/>
        </w:numPr>
      </w:pPr>
      <w:r>
        <w:rPr>
          <w:rFonts w:hint="eastAsia"/>
        </w:rPr>
        <w:t>毕业生对母校校友服务的意见和建议</w:t>
      </w:r>
    </w:p>
    <w:p>
      <w:pPr>
        <w:rPr>
          <w:b/>
        </w:rPr>
      </w:pPr>
      <w:r>
        <w:rPr>
          <w:rFonts w:hint="eastAsia"/>
          <w:b/>
        </w:rPr>
        <w:t>技术报告</w:t>
      </w:r>
    </w:p>
    <w:p>
      <w:pPr>
        <w:numPr>
          <w:ilvl w:val="0"/>
          <w:numId w:val="36"/>
        </w:numPr>
        <w:rPr>
          <w:b/>
        </w:rPr>
      </w:pPr>
      <w:r>
        <w:rPr>
          <w:rFonts w:hint="eastAsia"/>
          <w:b/>
        </w:rPr>
        <w:t>项目背景介绍</w:t>
      </w:r>
    </w:p>
    <w:p>
      <w:pPr>
        <w:numPr>
          <w:ilvl w:val="0"/>
          <w:numId w:val="37"/>
        </w:numPr>
      </w:pPr>
      <w:r>
        <w:rPr>
          <w:rFonts w:hint="eastAsia"/>
        </w:rPr>
        <w:t>背景介绍</w:t>
      </w:r>
    </w:p>
    <w:p>
      <w:pPr>
        <w:numPr>
          <w:ilvl w:val="0"/>
          <w:numId w:val="37"/>
        </w:numPr>
      </w:pPr>
      <w:r>
        <w:rPr>
          <w:rFonts w:hint="eastAsia"/>
        </w:rPr>
        <w:t>样本说明</w:t>
      </w:r>
    </w:p>
    <w:p>
      <w:pPr>
        <w:numPr>
          <w:ilvl w:val="0"/>
          <w:numId w:val="36"/>
        </w:numPr>
        <w:rPr>
          <w:b/>
        </w:rPr>
      </w:pPr>
      <w:r>
        <w:rPr>
          <w:rFonts w:hint="eastAsia"/>
          <w:b/>
        </w:rPr>
        <w:t>研究概况</w:t>
      </w:r>
    </w:p>
    <w:p>
      <w:pPr>
        <w:numPr>
          <w:ilvl w:val="0"/>
          <w:numId w:val="38"/>
        </w:numPr>
      </w:pPr>
      <w:r>
        <w:rPr>
          <w:rFonts w:hint="eastAsia"/>
        </w:rPr>
        <w:t>研究目的</w:t>
      </w:r>
    </w:p>
    <w:p>
      <w:pPr>
        <w:numPr>
          <w:ilvl w:val="0"/>
          <w:numId w:val="38"/>
        </w:numPr>
        <w:rPr>
          <w:rFonts w:ascii="宋体" w:hAnsi="宋体" w:eastAsia="宋体"/>
        </w:rPr>
      </w:pPr>
      <w:r>
        <w:rPr>
          <w:rFonts w:hint="eastAsia"/>
        </w:rPr>
        <w:t>研究框架</w:t>
      </w:r>
    </w:p>
    <w:p>
      <w:pPr>
        <w:rPr>
          <w:rFonts w:ascii="宋体" w:hAnsi="宋体" w:eastAsia="宋体"/>
        </w:rPr>
      </w:pPr>
    </w:p>
    <w:sectPr>
      <w:footerReference r:id="rId11" w:type="first"/>
      <w:footerReference r:id="rId10" w:type="default"/>
      <w:pgSz w:w="11906" w:h="16838"/>
      <w:pgMar w:top="1440" w:right="1689" w:bottom="1440" w:left="1689" w:header="851" w:footer="992" w:gutter="0"/>
      <w:cols w:space="720" w:num="1"/>
      <w:titlePg/>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仿宋_GB2312">
    <w:altName w:val="仿宋"/>
    <w:panose1 w:val="00000000000000000000"/>
    <w:charset w:val="86"/>
    <w:family w:val="auto"/>
    <w:pitch w:val="default"/>
    <w:sig w:usb0="00000000" w:usb1="00000000" w:usb2="00000010" w:usb3="00000000" w:csb0="00040000" w:csb1="00000000"/>
  </w:font>
  <w:font w:name="Calibri">
    <w:panose1 w:val="020F0502020204030204"/>
    <w:charset w:val="00"/>
    <w:family w:val="auto"/>
    <w:pitch w:val="default"/>
    <w:sig w:usb0="E00002FF" w:usb1="4000ACFF" w:usb2="00000001" w:usb3="00000000" w:csb0="2000019F"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8"/>
      <w:ind w:right="360"/>
    </w:pPr>
    <w:r>
      <w:rPr>
        <w:rFonts w:ascii="Times New Roman" w:hAnsi="Times New Roman" w:eastAsia="宋体" w:cs="Times New Roman"/>
        <w:kern w:val="2"/>
        <w:sz w:val="18"/>
        <w:szCs w:val="18"/>
        <w:lang w:val="en-US" w:eastAsia="zh-CN" w:bidi="ar-SA"/>
      </w:rPr>
      <w:pict>
        <v:shape id="文本框 1031" o:spid="_x0000_s1025" type="#_x0000_t202" style="position:absolute;left:0;margin-top:0pt;height:144pt;width:144pt;mso-position-horizontal:right;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pStyle w:val="8"/>
                </w:pPr>
                <w:r>
                  <w:fldChar w:fldCharType="begin"/>
                </w:r>
                <w:r>
                  <w:instrText xml:space="preserve"> PAGE  \* MERGEFORMAT </w:instrText>
                </w:r>
                <w:r>
                  <w:fldChar w:fldCharType="separate"/>
                </w:r>
                <w:r>
                  <w:t>15</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8"/>
    </w:pPr>
    <w:r>
      <w:rPr>
        <w:rFonts w:ascii="Times New Roman" w:hAnsi="Times New Roman" w:eastAsia="宋体" w:cs="Times New Roman"/>
        <w:kern w:val="2"/>
        <w:sz w:val="18"/>
        <w:szCs w:val="18"/>
        <w:lang w:val="en-US" w:eastAsia="zh-CN" w:bidi="ar-SA"/>
      </w:rPr>
      <w:pict>
        <v:shape id="文本框 1032" o:spid="_x0000_s1026" type="#_x0000_t202" style="position:absolute;left:0;margin-top:0pt;height:144pt;width:144pt;mso-position-horizontal:right;mso-position-horizontal-relative:margin;mso-wrap-style:none;rotation:0f;z-index:251659264;"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pStyle w:val="8"/>
                </w:pPr>
                <w:r>
                  <w:fldChar w:fldCharType="begin"/>
                </w:r>
                <w:r>
                  <w:instrText xml:space="preserve"> PAGE  \* MERGEFORMAT </w:instrText>
                </w:r>
                <w:r>
                  <w:fldChar w:fldCharType="separate"/>
                </w:r>
                <w:r>
                  <w:t>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400831688">
    <w:nsid w:val="17E434C8"/>
    <w:multiLevelType w:val="multilevel"/>
    <w:tmpl w:val="17E434C8"/>
    <w:lvl w:ilvl="0" w:tentative="1">
      <w:start w:val="1"/>
      <w:numFmt w:val="decimal"/>
      <w:lvlText w:val="%1."/>
      <w:lvlJc w:val="left"/>
      <w:pPr>
        <w:ind w:left="844" w:hanging="420"/>
      </w:pPr>
      <w:rPr>
        <w:rFonts w:cs="Times New Roman"/>
      </w:rPr>
    </w:lvl>
    <w:lvl w:ilvl="1" w:tentative="1">
      <w:start w:val="1"/>
      <w:numFmt w:val="lowerLetter"/>
      <w:lvlText w:val="%2)"/>
      <w:lvlJc w:val="left"/>
      <w:pPr>
        <w:ind w:left="1264" w:hanging="420"/>
      </w:pPr>
      <w:rPr>
        <w:rFonts w:cs="Times New Roman"/>
      </w:rPr>
    </w:lvl>
    <w:lvl w:ilvl="2" w:tentative="1">
      <w:start w:val="1"/>
      <w:numFmt w:val="lowerRoman"/>
      <w:lvlText w:val="%3."/>
      <w:lvlJc w:val="right"/>
      <w:pPr>
        <w:ind w:left="1684" w:hanging="420"/>
      </w:pPr>
      <w:rPr>
        <w:rFonts w:cs="Times New Roman"/>
      </w:rPr>
    </w:lvl>
    <w:lvl w:ilvl="3" w:tentative="1">
      <w:start w:val="1"/>
      <w:numFmt w:val="decimal"/>
      <w:lvlText w:val="%4."/>
      <w:lvlJc w:val="left"/>
      <w:pPr>
        <w:ind w:left="2104" w:hanging="420"/>
      </w:pPr>
      <w:rPr>
        <w:rFonts w:cs="Times New Roman"/>
      </w:rPr>
    </w:lvl>
    <w:lvl w:ilvl="4" w:tentative="1">
      <w:start w:val="1"/>
      <w:numFmt w:val="lowerLetter"/>
      <w:lvlText w:val="%5)"/>
      <w:lvlJc w:val="left"/>
      <w:pPr>
        <w:ind w:left="2524" w:hanging="420"/>
      </w:pPr>
      <w:rPr>
        <w:rFonts w:cs="Times New Roman"/>
      </w:rPr>
    </w:lvl>
    <w:lvl w:ilvl="5" w:tentative="1">
      <w:start w:val="1"/>
      <w:numFmt w:val="lowerRoman"/>
      <w:lvlText w:val="%6."/>
      <w:lvlJc w:val="right"/>
      <w:pPr>
        <w:ind w:left="2944" w:hanging="420"/>
      </w:pPr>
      <w:rPr>
        <w:rFonts w:cs="Times New Roman"/>
      </w:rPr>
    </w:lvl>
    <w:lvl w:ilvl="6" w:tentative="1">
      <w:start w:val="1"/>
      <w:numFmt w:val="decimal"/>
      <w:lvlText w:val="%7."/>
      <w:lvlJc w:val="left"/>
      <w:pPr>
        <w:ind w:left="3364" w:hanging="420"/>
      </w:pPr>
      <w:rPr>
        <w:rFonts w:cs="Times New Roman"/>
      </w:rPr>
    </w:lvl>
    <w:lvl w:ilvl="7" w:tentative="1">
      <w:start w:val="1"/>
      <w:numFmt w:val="lowerLetter"/>
      <w:lvlText w:val="%8)"/>
      <w:lvlJc w:val="left"/>
      <w:pPr>
        <w:ind w:left="3784" w:hanging="420"/>
      </w:pPr>
      <w:rPr>
        <w:rFonts w:cs="Times New Roman"/>
      </w:rPr>
    </w:lvl>
    <w:lvl w:ilvl="8" w:tentative="1">
      <w:start w:val="1"/>
      <w:numFmt w:val="lowerRoman"/>
      <w:lvlText w:val="%9."/>
      <w:lvlJc w:val="right"/>
      <w:pPr>
        <w:ind w:left="4204" w:hanging="420"/>
      </w:pPr>
      <w:rPr>
        <w:rFonts w:cs="Times New Roman"/>
      </w:rPr>
    </w:lvl>
  </w:abstractNum>
  <w:abstractNum w:abstractNumId="95489763">
    <w:nsid w:val="05B10EE3"/>
    <w:multiLevelType w:val="multilevel"/>
    <w:tmpl w:val="05B10EE3"/>
    <w:lvl w:ilvl="0" w:tentative="1">
      <w:start w:val="1"/>
      <w:numFmt w:val="decimal"/>
      <w:lvlText w:val="%1."/>
      <w:lvlJc w:val="left"/>
      <w:pPr>
        <w:ind w:left="844" w:hanging="420"/>
      </w:pPr>
      <w:rPr>
        <w:rFonts w:cs="Times New Roman"/>
      </w:rPr>
    </w:lvl>
    <w:lvl w:ilvl="1" w:tentative="1">
      <w:start w:val="1"/>
      <w:numFmt w:val="lowerLetter"/>
      <w:lvlText w:val="%2)"/>
      <w:lvlJc w:val="left"/>
      <w:pPr>
        <w:ind w:left="1264" w:hanging="420"/>
      </w:pPr>
      <w:rPr>
        <w:rFonts w:cs="Times New Roman"/>
      </w:rPr>
    </w:lvl>
    <w:lvl w:ilvl="2" w:tentative="1">
      <w:start w:val="1"/>
      <w:numFmt w:val="lowerRoman"/>
      <w:lvlText w:val="%3."/>
      <w:lvlJc w:val="right"/>
      <w:pPr>
        <w:ind w:left="1684" w:hanging="420"/>
      </w:pPr>
      <w:rPr>
        <w:rFonts w:cs="Times New Roman"/>
      </w:rPr>
    </w:lvl>
    <w:lvl w:ilvl="3" w:tentative="1">
      <w:start w:val="1"/>
      <w:numFmt w:val="decimal"/>
      <w:lvlText w:val="%4."/>
      <w:lvlJc w:val="left"/>
      <w:pPr>
        <w:ind w:left="2104" w:hanging="420"/>
      </w:pPr>
      <w:rPr>
        <w:rFonts w:cs="Times New Roman"/>
      </w:rPr>
    </w:lvl>
    <w:lvl w:ilvl="4" w:tentative="1">
      <w:start w:val="1"/>
      <w:numFmt w:val="lowerLetter"/>
      <w:lvlText w:val="%5)"/>
      <w:lvlJc w:val="left"/>
      <w:pPr>
        <w:ind w:left="2524" w:hanging="420"/>
      </w:pPr>
      <w:rPr>
        <w:rFonts w:cs="Times New Roman"/>
      </w:rPr>
    </w:lvl>
    <w:lvl w:ilvl="5" w:tentative="1">
      <w:start w:val="1"/>
      <w:numFmt w:val="lowerRoman"/>
      <w:lvlText w:val="%6."/>
      <w:lvlJc w:val="right"/>
      <w:pPr>
        <w:ind w:left="2944" w:hanging="420"/>
      </w:pPr>
      <w:rPr>
        <w:rFonts w:cs="Times New Roman"/>
      </w:rPr>
    </w:lvl>
    <w:lvl w:ilvl="6" w:tentative="1">
      <w:start w:val="1"/>
      <w:numFmt w:val="decimal"/>
      <w:lvlText w:val="%7."/>
      <w:lvlJc w:val="left"/>
      <w:pPr>
        <w:ind w:left="3364" w:hanging="420"/>
      </w:pPr>
      <w:rPr>
        <w:rFonts w:cs="Times New Roman"/>
      </w:rPr>
    </w:lvl>
    <w:lvl w:ilvl="7" w:tentative="1">
      <w:start w:val="1"/>
      <w:numFmt w:val="lowerLetter"/>
      <w:lvlText w:val="%8)"/>
      <w:lvlJc w:val="left"/>
      <w:pPr>
        <w:ind w:left="3784" w:hanging="420"/>
      </w:pPr>
      <w:rPr>
        <w:rFonts w:cs="Times New Roman"/>
      </w:rPr>
    </w:lvl>
    <w:lvl w:ilvl="8" w:tentative="1">
      <w:start w:val="1"/>
      <w:numFmt w:val="lowerRoman"/>
      <w:lvlText w:val="%9."/>
      <w:lvlJc w:val="right"/>
      <w:pPr>
        <w:ind w:left="4204" w:hanging="420"/>
      </w:pPr>
      <w:rPr>
        <w:rFonts w:cs="Times New Roman"/>
      </w:rPr>
    </w:lvl>
  </w:abstractNum>
  <w:abstractNum w:abstractNumId="261376123">
    <w:nsid w:val="0F94487B"/>
    <w:multiLevelType w:val="multilevel"/>
    <w:tmpl w:val="0F94487B"/>
    <w:lvl w:ilvl="0" w:tentative="1">
      <w:start w:val="1"/>
      <w:numFmt w:val="decimal"/>
      <w:lvlText w:val="%1."/>
      <w:lvlJc w:val="left"/>
      <w:pPr>
        <w:ind w:left="840" w:hanging="420"/>
      </w:pPr>
      <w:rPr>
        <w:rFonts w:cs="Times New Roman"/>
      </w:rPr>
    </w:lvl>
    <w:lvl w:ilvl="1" w:tentative="1">
      <w:start w:val="1"/>
      <w:numFmt w:val="lowerLetter"/>
      <w:lvlText w:val="%2)"/>
      <w:lvlJc w:val="left"/>
      <w:pPr>
        <w:ind w:left="1260" w:hanging="420"/>
      </w:pPr>
      <w:rPr>
        <w:rFonts w:cs="Times New Roman"/>
      </w:rPr>
    </w:lvl>
    <w:lvl w:ilvl="2" w:tentative="1">
      <w:start w:val="1"/>
      <w:numFmt w:val="lowerRoman"/>
      <w:lvlText w:val="%3."/>
      <w:lvlJc w:val="right"/>
      <w:pPr>
        <w:ind w:left="1680" w:hanging="420"/>
      </w:pPr>
      <w:rPr>
        <w:rFonts w:cs="Times New Roman"/>
      </w:rPr>
    </w:lvl>
    <w:lvl w:ilvl="3" w:tentative="1">
      <w:start w:val="1"/>
      <w:numFmt w:val="decimal"/>
      <w:lvlText w:val="%4."/>
      <w:lvlJc w:val="left"/>
      <w:pPr>
        <w:ind w:left="2100" w:hanging="420"/>
      </w:pPr>
      <w:rPr>
        <w:rFonts w:cs="Times New Roman"/>
      </w:rPr>
    </w:lvl>
    <w:lvl w:ilvl="4" w:tentative="1">
      <w:start w:val="1"/>
      <w:numFmt w:val="lowerLetter"/>
      <w:lvlText w:val="%5)"/>
      <w:lvlJc w:val="left"/>
      <w:pPr>
        <w:ind w:left="2520" w:hanging="420"/>
      </w:pPr>
      <w:rPr>
        <w:rFonts w:cs="Times New Roman"/>
      </w:rPr>
    </w:lvl>
    <w:lvl w:ilvl="5" w:tentative="1">
      <w:start w:val="1"/>
      <w:numFmt w:val="lowerRoman"/>
      <w:lvlText w:val="%6."/>
      <w:lvlJc w:val="right"/>
      <w:pPr>
        <w:ind w:left="2940" w:hanging="420"/>
      </w:pPr>
      <w:rPr>
        <w:rFonts w:cs="Times New Roman"/>
      </w:rPr>
    </w:lvl>
    <w:lvl w:ilvl="6" w:tentative="1">
      <w:start w:val="1"/>
      <w:numFmt w:val="decimal"/>
      <w:lvlText w:val="%7."/>
      <w:lvlJc w:val="left"/>
      <w:pPr>
        <w:ind w:left="3360" w:hanging="420"/>
      </w:pPr>
      <w:rPr>
        <w:rFonts w:cs="Times New Roman"/>
      </w:rPr>
    </w:lvl>
    <w:lvl w:ilvl="7" w:tentative="1">
      <w:start w:val="1"/>
      <w:numFmt w:val="lowerLetter"/>
      <w:lvlText w:val="%8)"/>
      <w:lvlJc w:val="left"/>
      <w:pPr>
        <w:ind w:left="3780" w:hanging="420"/>
      </w:pPr>
      <w:rPr>
        <w:rFonts w:cs="Times New Roman"/>
      </w:rPr>
    </w:lvl>
    <w:lvl w:ilvl="8" w:tentative="1">
      <w:start w:val="1"/>
      <w:numFmt w:val="lowerRoman"/>
      <w:lvlText w:val="%9."/>
      <w:lvlJc w:val="right"/>
      <w:pPr>
        <w:ind w:left="4200" w:hanging="420"/>
      </w:pPr>
      <w:rPr>
        <w:rFonts w:cs="Times New Roman"/>
      </w:rPr>
    </w:lvl>
  </w:abstractNum>
  <w:abstractNum w:abstractNumId="274856212">
    <w:nsid w:val="1061F914"/>
    <w:multiLevelType w:val="multilevel"/>
    <w:tmpl w:val="1061F914"/>
    <w:lvl w:ilvl="0" w:tentative="1">
      <w:start w:val="3"/>
      <w:numFmt w:val="decimal"/>
      <w:suff w:val="nothing"/>
      <w:lvlText w:val="%1）"/>
      <w:lvlJc w:val="left"/>
      <w:pPr>
        <w:ind w:left="0" w:firstLine="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49443961">
    <w:nsid w:val="08E85579"/>
    <w:multiLevelType w:val="multilevel"/>
    <w:tmpl w:val="08E85579"/>
    <w:lvl w:ilvl="0" w:tentative="1">
      <w:start w:val="1"/>
      <w:numFmt w:val="japaneseCounting"/>
      <w:lvlText w:val="（%1）"/>
      <w:lvlJc w:val="left"/>
      <w:pPr>
        <w:ind w:left="1295" w:hanging="720"/>
      </w:pPr>
      <w:rPr>
        <w:rFonts w:hint="default" w:cs="Times New Roman"/>
      </w:rPr>
    </w:lvl>
    <w:lvl w:ilvl="1" w:tentative="1">
      <w:start w:val="1"/>
      <w:numFmt w:val="lowerLetter"/>
      <w:lvlText w:val="%2)"/>
      <w:lvlJc w:val="left"/>
      <w:pPr>
        <w:ind w:left="1415" w:hanging="420"/>
      </w:pPr>
      <w:rPr>
        <w:rFonts w:cs="Times New Roman"/>
      </w:rPr>
    </w:lvl>
    <w:lvl w:ilvl="2" w:tentative="1">
      <w:start w:val="1"/>
      <w:numFmt w:val="lowerRoman"/>
      <w:lvlText w:val="%3."/>
      <w:lvlJc w:val="right"/>
      <w:pPr>
        <w:ind w:left="1835" w:hanging="420"/>
      </w:pPr>
      <w:rPr>
        <w:rFonts w:cs="Times New Roman"/>
      </w:rPr>
    </w:lvl>
    <w:lvl w:ilvl="3" w:tentative="1">
      <w:start w:val="1"/>
      <w:numFmt w:val="decimal"/>
      <w:lvlText w:val="%4."/>
      <w:lvlJc w:val="left"/>
      <w:pPr>
        <w:ind w:left="2255" w:hanging="420"/>
      </w:pPr>
      <w:rPr>
        <w:rFonts w:cs="Times New Roman"/>
      </w:rPr>
    </w:lvl>
    <w:lvl w:ilvl="4" w:tentative="1">
      <w:start w:val="1"/>
      <w:numFmt w:val="lowerLetter"/>
      <w:lvlText w:val="%5)"/>
      <w:lvlJc w:val="left"/>
      <w:pPr>
        <w:ind w:left="2675" w:hanging="420"/>
      </w:pPr>
      <w:rPr>
        <w:rFonts w:cs="Times New Roman"/>
      </w:rPr>
    </w:lvl>
    <w:lvl w:ilvl="5" w:tentative="1">
      <w:start w:val="1"/>
      <w:numFmt w:val="lowerRoman"/>
      <w:lvlText w:val="%6."/>
      <w:lvlJc w:val="right"/>
      <w:pPr>
        <w:ind w:left="3095" w:hanging="420"/>
      </w:pPr>
      <w:rPr>
        <w:rFonts w:cs="Times New Roman"/>
      </w:rPr>
    </w:lvl>
    <w:lvl w:ilvl="6" w:tentative="1">
      <w:start w:val="1"/>
      <w:numFmt w:val="decimal"/>
      <w:lvlText w:val="%7."/>
      <w:lvlJc w:val="left"/>
      <w:pPr>
        <w:ind w:left="3515" w:hanging="420"/>
      </w:pPr>
      <w:rPr>
        <w:rFonts w:cs="Times New Roman"/>
      </w:rPr>
    </w:lvl>
    <w:lvl w:ilvl="7" w:tentative="1">
      <w:start w:val="1"/>
      <w:numFmt w:val="lowerLetter"/>
      <w:lvlText w:val="%8)"/>
      <w:lvlJc w:val="left"/>
      <w:pPr>
        <w:ind w:left="3935" w:hanging="420"/>
      </w:pPr>
      <w:rPr>
        <w:rFonts w:cs="Times New Roman"/>
      </w:rPr>
    </w:lvl>
    <w:lvl w:ilvl="8" w:tentative="1">
      <w:start w:val="1"/>
      <w:numFmt w:val="lowerRoman"/>
      <w:lvlText w:val="%9."/>
      <w:lvlJc w:val="right"/>
      <w:pPr>
        <w:ind w:left="4355" w:hanging="420"/>
      </w:pPr>
      <w:rPr>
        <w:rFonts w:cs="Times New Roman"/>
      </w:rPr>
    </w:lvl>
  </w:abstractNum>
  <w:abstractNum w:abstractNumId="199318632">
    <w:nsid w:val="0BE15C68"/>
    <w:multiLevelType w:val="multilevel"/>
    <w:tmpl w:val="0BE15C68"/>
    <w:lvl w:ilvl="0" w:tentative="1">
      <w:start w:val="1"/>
      <w:numFmt w:val="chineseCountingThousand"/>
      <w:lvlText w:val="%1"/>
      <w:lvlJc w:val="left"/>
      <w:pPr>
        <w:ind w:left="844" w:hanging="420"/>
      </w:pPr>
      <w:rPr>
        <w:rFonts w:hint="default" w:cs="Times New Roman"/>
        <w:b/>
      </w:rPr>
    </w:lvl>
    <w:lvl w:ilvl="1" w:tentative="1">
      <w:start w:val="1"/>
      <w:numFmt w:val="lowerLetter"/>
      <w:lvlText w:val="%2)"/>
      <w:lvlJc w:val="left"/>
      <w:pPr>
        <w:ind w:left="1264" w:hanging="420"/>
      </w:pPr>
      <w:rPr>
        <w:rFonts w:cs="Times New Roman"/>
      </w:rPr>
    </w:lvl>
    <w:lvl w:ilvl="2" w:tentative="1">
      <w:start w:val="1"/>
      <w:numFmt w:val="lowerRoman"/>
      <w:lvlText w:val="%3."/>
      <w:lvlJc w:val="right"/>
      <w:pPr>
        <w:ind w:left="1684" w:hanging="420"/>
      </w:pPr>
      <w:rPr>
        <w:rFonts w:cs="Times New Roman"/>
      </w:rPr>
    </w:lvl>
    <w:lvl w:ilvl="3" w:tentative="1">
      <w:start w:val="1"/>
      <w:numFmt w:val="decimal"/>
      <w:lvlText w:val="%4."/>
      <w:lvlJc w:val="left"/>
      <w:pPr>
        <w:ind w:left="2104" w:hanging="420"/>
      </w:pPr>
      <w:rPr>
        <w:rFonts w:cs="Times New Roman"/>
      </w:rPr>
    </w:lvl>
    <w:lvl w:ilvl="4" w:tentative="1">
      <w:start w:val="1"/>
      <w:numFmt w:val="lowerLetter"/>
      <w:lvlText w:val="%5)"/>
      <w:lvlJc w:val="left"/>
      <w:pPr>
        <w:ind w:left="2524" w:hanging="420"/>
      </w:pPr>
      <w:rPr>
        <w:rFonts w:cs="Times New Roman"/>
      </w:rPr>
    </w:lvl>
    <w:lvl w:ilvl="5" w:tentative="1">
      <w:start w:val="1"/>
      <w:numFmt w:val="lowerRoman"/>
      <w:lvlText w:val="%6."/>
      <w:lvlJc w:val="right"/>
      <w:pPr>
        <w:ind w:left="2944" w:hanging="420"/>
      </w:pPr>
      <w:rPr>
        <w:rFonts w:cs="Times New Roman"/>
      </w:rPr>
    </w:lvl>
    <w:lvl w:ilvl="6" w:tentative="1">
      <w:start w:val="1"/>
      <w:numFmt w:val="decimal"/>
      <w:lvlText w:val="%7."/>
      <w:lvlJc w:val="left"/>
      <w:pPr>
        <w:ind w:left="3364" w:hanging="420"/>
      </w:pPr>
      <w:rPr>
        <w:rFonts w:cs="Times New Roman"/>
      </w:rPr>
    </w:lvl>
    <w:lvl w:ilvl="7" w:tentative="1">
      <w:start w:val="1"/>
      <w:numFmt w:val="lowerLetter"/>
      <w:lvlText w:val="%8)"/>
      <w:lvlJc w:val="left"/>
      <w:pPr>
        <w:ind w:left="3784" w:hanging="420"/>
      </w:pPr>
      <w:rPr>
        <w:rFonts w:cs="Times New Roman"/>
      </w:rPr>
    </w:lvl>
    <w:lvl w:ilvl="8" w:tentative="1">
      <w:start w:val="1"/>
      <w:numFmt w:val="lowerRoman"/>
      <w:lvlText w:val="%9."/>
      <w:lvlJc w:val="right"/>
      <w:pPr>
        <w:ind w:left="4204" w:hanging="420"/>
      </w:pPr>
      <w:rPr>
        <w:rFonts w:cs="Times New Roman"/>
      </w:rPr>
    </w:lvl>
  </w:abstractNum>
  <w:abstractNum w:abstractNumId="200092229">
    <w:nsid w:val="0BED2A45"/>
    <w:multiLevelType w:val="multilevel"/>
    <w:tmpl w:val="0BED2A45"/>
    <w:lvl w:ilvl="0" w:tentative="1">
      <w:start w:val="1"/>
      <w:numFmt w:val="chineseCountingThousand"/>
      <w:lvlText w:val="%1"/>
      <w:lvlJc w:val="left"/>
      <w:pPr>
        <w:ind w:left="844" w:hanging="420"/>
      </w:pPr>
      <w:rPr>
        <w:rFonts w:hint="default" w:cs="Times New Roman"/>
        <w:b/>
      </w:rPr>
    </w:lvl>
    <w:lvl w:ilvl="1" w:tentative="1">
      <w:start w:val="1"/>
      <w:numFmt w:val="lowerLetter"/>
      <w:lvlText w:val="%2)"/>
      <w:lvlJc w:val="left"/>
      <w:pPr>
        <w:ind w:left="1264" w:hanging="420"/>
      </w:pPr>
      <w:rPr>
        <w:rFonts w:cs="Times New Roman"/>
      </w:rPr>
    </w:lvl>
    <w:lvl w:ilvl="2" w:tentative="1">
      <w:start w:val="1"/>
      <w:numFmt w:val="lowerRoman"/>
      <w:lvlText w:val="%3."/>
      <w:lvlJc w:val="right"/>
      <w:pPr>
        <w:ind w:left="1684" w:hanging="420"/>
      </w:pPr>
      <w:rPr>
        <w:rFonts w:cs="Times New Roman"/>
      </w:rPr>
    </w:lvl>
    <w:lvl w:ilvl="3" w:tentative="1">
      <w:start w:val="1"/>
      <w:numFmt w:val="decimal"/>
      <w:lvlText w:val="%4."/>
      <w:lvlJc w:val="left"/>
      <w:pPr>
        <w:ind w:left="2104" w:hanging="420"/>
      </w:pPr>
      <w:rPr>
        <w:rFonts w:cs="Times New Roman"/>
      </w:rPr>
    </w:lvl>
    <w:lvl w:ilvl="4" w:tentative="1">
      <w:start w:val="1"/>
      <w:numFmt w:val="lowerLetter"/>
      <w:lvlText w:val="%5)"/>
      <w:lvlJc w:val="left"/>
      <w:pPr>
        <w:ind w:left="2524" w:hanging="420"/>
      </w:pPr>
      <w:rPr>
        <w:rFonts w:cs="Times New Roman"/>
      </w:rPr>
    </w:lvl>
    <w:lvl w:ilvl="5" w:tentative="1">
      <w:start w:val="1"/>
      <w:numFmt w:val="lowerRoman"/>
      <w:lvlText w:val="%6."/>
      <w:lvlJc w:val="right"/>
      <w:pPr>
        <w:ind w:left="2944" w:hanging="420"/>
      </w:pPr>
      <w:rPr>
        <w:rFonts w:cs="Times New Roman"/>
      </w:rPr>
    </w:lvl>
    <w:lvl w:ilvl="6" w:tentative="1">
      <w:start w:val="1"/>
      <w:numFmt w:val="decimal"/>
      <w:lvlText w:val="%7."/>
      <w:lvlJc w:val="left"/>
      <w:pPr>
        <w:ind w:left="3364" w:hanging="420"/>
      </w:pPr>
      <w:rPr>
        <w:rFonts w:cs="Times New Roman"/>
      </w:rPr>
    </w:lvl>
    <w:lvl w:ilvl="7" w:tentative="1">
      <w:start w:val="1"/>
      <w:numFmt w:val="lowerLetter"/>
      <w:lvlText w:val="%8)"/>
      <w:lvlJc w:val="left"/>
      <w:pPr>
        <w:ind w:left="3784" w:hanging="420"/>
      </w:pPr>
      <w:rPr>
        <w:rFonts w:cs="Times New Roman"/>
      </w:rPr>
    </w:lvl>
    <w:lvl w:ilvl="8" w:tentative="1">
      <w:start w:val="1"/>
      <w:numFmt w:val="lowerRoman"/>
      <w:lvlText w:val="%9."/>
      <w:lvlJc w:val="right"/>
      <w:pPr>
        <w:ind w:left="4204" w:hanging="420"/>
      </w:pPr>
      <w:rPr>
        <w:rFonts w:cs="Times New Roman"/>
      </w:rPr>
    </w:lvl>
  </w:abstractNum>
  <w:abstractNum w:abstractNumId="59057836">
    <w:nsid w:val="038526AC"/>
    <w:multiLevelType w:val="multilevel"/>
    <w:tmpl w:val="038526AC"/>
    <w:lvl w:ilvl="0" w:tentative="1">
      <w:start w:val="1"/>
      <w:numFmt w:val="decimal"/>
      <w:lvlText w:val="%1."/>
      <w:lvlJc w:val="left"/>
      <w:pPr>
        <w:ind w:left="987" w:hanging="420"/>
      </w:pPr>
      <w:rPr>
        <w:rFonts w:hint="default" w:cs="Times New Roman"/>
      </w:rPr>
    </w:lvl>
    <w:lvl w:ilvl="1" w:tentative="1">
      <w:start w:val="1"/>
      <w:numFmt w:val="lowerLetter"/>
      <w:lvlText w:val="%2)"/>
      <w:lvlJc w:val="left"/>
      <w:pPr>
        <w:ind w:left="1407" w:hanging="420"/>
      </w:pPr>
      <w:rPr>
        <w:rFonts w:cs="Times New Roman"/>
      </w:rPr>
    </w:lvl>
    <w:lvl w:ilvl="2" w:tentative="1">
      <w:start w:val="1"/>
      <w:numFmt w:val="lowerRoman"/>
      <w:lvlText w:val="%3."/>
      <w:lvlJc w:val="right"/>
      <w:pPr>
        <w:ind w:left="1827" w:hanging="420"/>
      </w:pPr>
      <w:rPr>
        <w:rFonts w:cs="Times New Roman"/>
      </w:rPr>
    </w:lvl>
    <w:lvl w:ilvl="3" w:tentative="1">
      <w:start w:val="1"/>
      <w:numFmt w:val="decimal"/>
      <w:lvlText w:val="%4."/>
      <w:lvlJc w:val="left"/>
      <w:pPr>
        <w:ind w:left="2247" w:hanging="420"/>
      </w:pPr>
      <w:rPr>
        <w:rFonts w:cs="Times New Roman"/>
      </w:rPr>
    </w:lvl>
    <w:lvl w:ilvl="4" w:tentative="1">
      <w:start w:val="1"/>
      <w:numFmt w:val="lowerLetter"/>
      <w:lvlText w:val="%5)"/>
      <w:lvlJc w:val="left"/>
      <w:pPr>
        <w:ind w:left="2667" w:hanging="420"/>
      </w:pPr>
      <w:rPr>
        <w:rFonts w:cs="Times New Roman"/>
      </w:rPr>
    </w:lvl>
    <w:lvl w:ilvl="5" w:tentative="1">
      <w:start w:val="1"/>
      <w:numFmt w:val="lowerRoman"/>
      <w:lvlText w:val="%6."/>
      <w:lvlJc w:val="right"/>
      <w:pPr>
        <w:ind w:left="3087" w:hanging="420"/>
      </w:pPr>
      <w:rPr>
        <w:rFonts w:cs="Times New Roman"/>
      </w:rPr>
    </w:lvl>
    <w:lvl w:ilvl="6" w:tentative="1">
      <w:start w:val="1"/>
      <w:numFmt w:val="decimal"/>
      <w:lvlText w:val="%7."/>
      <w:lvlJc w:val="left"/>
      <w:pPr>
        <w:ind w:left="3507" w:hanging="420"/>
      </w:pPr>
      <w:rPr>
        <w:rFonts w:cs="Times New Roman"/>
      </w:rPr>
    </w:lvl>
    <w:lvl w:ilvl="7" w:tentative="1">
      <w:start w:val="1"/>
      <w:numFmt w:val="lowerLetter"/>
      <w:lvlText w:val="%8)"/>
      <w:lvlJc w:val="left"/>
      <w:pPr>
        <w:ind w:left="3927" w:hanging="420"/>
      </w:pPr>
      <w:rPr>
        <w:rFonts w:cs="Times New Roman"/>
      </w:rPr>
    </w:lvl>
    <w:lvl w:ilvl="8" w:tentative="1">
      <w:start w:val="1"/>
      <w:numFmt w:val="lowerRoman"/>
      <w:lvlText w:val="%9."/>
      <w:lvlJc w:val="right"/>
      <w:pPr>
        <w:ind w:left="4347" w:hanging="420"/>
      </w:pPr>
      <w:rPr>
        <w:rFonts w:cs="Times New Roman"/>
      </w:rPr>
    </w:lvl>
  </w:abstractNum>
  <w:abstractNum w:abstractNumId="3">
    <w:nsid w:val="00000003"/>
    <w:multiLevelType w:val="singleLevel"/>
    <w:tmpl w:val="00000003"/>
    <w:lvl w:ilvl="0" w:tentative="1">
      <w:start w:val="1"/>
      <w:numFmt w:val="decimal"/>
      <w:suff w:val="nothing"/>
      <w:lvlText w:val="%1、"/>
      <w:lvlJc w:val="left"/>
      <w:pPr>
        <w:ind w:left="0" w:firstLine="0"/>
      </w:pPr>
      <w:rPr>
        <w:rFonts w:cs="Times New Roman"/>
      </w:rPr>
    </w:lvl>
  </w:abstractNum>
  <w:abstractNum w:abstractNumId="2">
    <w:nsid w:val="00000002"/>
    <w:multiLevelType w:val="singleLevel"/>
    <w:tmpl w:val="00000002"/>
    <w:lvl w:ilvl="0" w:tentative="1">
      <w:start w:val="3"/>
      <w:numFmt w:val="chineseCounting"/>
      <w:suff w:val="nothing"/>
      <w:lvlText w:val="%1、"/>
      <w:lvlJc w:val="left"/>
      <w:rPr>
        <w:rFonts w:hint="eastAsia"/>
      </w:rPr>
    </w:lvl>
  </w:abstractNum>
  <w:abstractNum w:abstractNumId="474680809">
    <w:nsid w:val="1C4B0DE9"/>
    <w:multiLevelType w:val="multilevel"/>
    <w:tmpl w:val="1C4B0DE9"/>
    <w:lvl w:ilvl="0" w:tentative="1">
      <w:start w:val="1"/>
      <w:numFmt w:val="decimal"/>
      <w:lvlText w:val="%1."/>
      <w:lvlJc w:val="left"/>
      <w:pPr>
        <w:ind w:left="844" w:hanging="420"/>
      </w:pPr>
      <w:rPr>
        <w:rFonts w:cs="Times New Roman"/>
      </w:rPr>
    </w:lvl>
    <w:lvl w:ilvl="1" w:tentative="1">
      <w:start w:val="1"/>
      <w:numFmt w:val="lowerLetter"/>
      <w:lvlText w:val="%2)"/>
      <w:lvlJc w:val="left"/>
      <w:pPr>
        <w:ind w:left="1264" w:hanging="420"/>
      </w:pPr>
      <w:rPr>
        <w:rFonts w:cs="Times New Roman"/>
      </w:rPr>
    </w:lvl>
    <w:lvl w:ilvl="2" w:tentative="1">
      <w:start w:val="1"/>
      <w:numFmt w:val="lowerRoman"/>
      <w:lvlText w:val="%3."/>
      <w:lvlJc w:val="right"/>
      <w:pPr>
        <w:ind w:left="1684" w:hanging="420"/>
      </w:pPr>
      <w:rPr>
        <w:rFonts w:cs="Times New Roman"/>
      </w:rPr>
    </w:lvl>
    <w:lvl w:ilvl="3" w:tentative="1">
      <w:start w:val="1"/>
      <w:numFmt w:val="decimal"/>
      <w:lvlText w:val="%4."/>
      <w:lvlJc w:val="left"/>
      <w:pPr>
        <w:ind w:left="2104" w:hanging="420"/>
      </w:pPr>
      <w:rPr>
        <w:rFonts w:cs="Times New Roman"/>
      </w:rPr>
    </w:lvl>
    <w:lvl w:ilvl="4" w:tentative="1">
      <w:start w:val="1"/>
      <w:numFmt w:val="lowerLetter"/>
      <w:lvlText w:val="%5)"/>
      <w:lvlJc w:val="left"/>
      <w:pPr>
        <w:ind w:left="2524" w:hanging="420"/>
      </w:pPr>
      <w:rPr>
        <w:rFonts w:cs="Times New Roman"/>
      </w:rPr>
    </w:lvl>
    <w:lvl w:ilvl="5" w:tentative="1">
      <w:start w:val="1"/>
      <w:numFmt w:val="lowerRoman"/>
      <w:lvlText w:val="%6."/>
      <w:lvlJc w:val="right"/>
      <w:pPr>
        <w:ind w:left="2944" w:hanging="420"/>
      </w:pPr>
      <w:rPr>
        <w:rFonts w:cs="Times New Roman"/>
      </w:rPr>
    </w:lvl>
    <w:lvl w:ilvl="6" w:tentative="1">
      <w:start w:val="1"/>
      <w:numFmt w:val="decimal"/>
      <w:lvlText w:val="%7."/>
      <w:lvlJc w:val="left"/>
      <w:pPr>
        <w:ind w:left="3364" w:hanging="420"/>
      </w:pPr>
      <w:rPr>
        <w:rFonts w:cs="Times New Roman"/>
      </w:rPr>
    </w:lvl>
    <w:lvl w:ilvl="7" w:tentative="1">
      <w:start w:val="1"/>
      <w:numFmt w:val="lowerLetter"/>
      <w:lvlText w:val="%8)"/>
      <w:lvlJc w:val="left"/>
      <w:pPr>
        <w:ind w:left="3784" w:hanging="420"/>
      </w:pPr>
      <w:rPr>
        <w:rFonts w:cs="Times New Roman"/>
      </w:rPr>
    </w:lvl>
    <w:lvl w:ilvl="8" w:tentative="1">
      <w:start w:val="1"/>
      <w:numFmt w:val="lowerRoman"/>
      <w:lvlText w:val="%9."/>
      <w:lvlJc w:val="right"/>
      <w:pPr>
        <w:ind w:left="4204" w:hanging="420"/>
      </w:pPr>
      <w:rPr>
        <w:rFonts w:cs="Times New Roman"/>
      </w:rPr>
    </w:lvl>
  </w:abstractNum>
  <w:abstractNum w:abstractNumId="548608567">
    <w:nsid w:val="20B31A37"/>
    <w:multiLevelType w:val="multilevel"/>
    <w:tmpl w:val="20B31A37"/>
    <w:lvl w:ilvl="0" w:tentative="1">
      <w:start w:val="1"/>
      <w:numFmt w:val="decimal"/>
      <w:lvlText w:val="%1."/>
      <w:lvlJc w:val="left"/>
      <w:pPr>
        <w:ind w:left="844" w:hanging="420"/>
      </w:pPr>
      <w:rPr>
        <w:rFonts w:cs="Times New Roman"/>
      </w:rPr>
    </w:lvl>
    <w:lvl w:ilvl="1" w:tentative="1">
      <w:start w:val="1"/>
      <w:numFmt w:val="lowerLetter"/>
      <w:lvlText w:val="%2)"/>
      <w:lvlJc w:val="left"/>
      <w:pPr>
        <w:ind w:left="1264" w:hanging="420"/>
      </w:pPr>
      <w:rPr>
        <w:rFonts w:cs="Times New Roman"/>
      </w:rPr>
    </w:lvl>
    <w:lvl w:ilvl="2" w:tentative="1">
      <w:start w:val="1"/>
      <w:numFmt w:val="lowerRoman"/>
      <w:lvlText w:val="%3."/>
      <w:lvlJc w:val="right"/>
      <w:pPr>
        <w:ind w:left="1684" w:hanging="420"/>
      </w:pPr>
      <w:rPr>
        <w:rFonts w:cs="Times New Roman"/>
      </w:rPr>
    </w:lvl>
    <w:lvl w:ilvl="3" w:tentative="1">
      <w:start w:val="1"/>
      <w:numFmt w:val="decimal"/>
      <w:lvlText w:val="%4."/>
      <w:lvlJc w:val="left"/>
      <w:pPr>
        <w:ind w:left="2104" w:hanging="420"/>
      </w:pPr>
      <w:rPr>
        <w:rFonts w:cs="Times New Roman"/>
      </w:rPr>
    </w:lvl>
    <w:lvl w:ilvl="4" w:tentative="1">
      <w:start w:val="1"/>
      <w:numFmt w:val="lowerLetter"/>
      <w:lvlText w:val="%5)"/>
      <w:lvlJc w:val="left"/>
      <w:pPr>
        <w:ind w:left="2524" w:hanging="420"/>
      </w:pPr>
      <w:rPr>
        <w:rFonts w:cs="Times New Roman"/>
      </w:rPr>
    </w:lvl>
    <w:lvl w:ilvl="5" w:tentative="1">
      <w:start w:val="1"/>
      <w:numFmt w:val="lowerRoman"/>
      <w:lvlText w:val="%6."/>
      <w:lvlJc w:val="right"/>
      <w:pPr>
        <w:ind w:left="2944" w:hanging="420"/>
      </w:pPr>
      <w:rPr>
        <w:rFonts w:cs="Times New Roman"/>
      </w:rPr>
    </w:lvl>
    <w:lvl w:ilvl="6" w:tentative="1">
      <w:start w:val="1"/>
      <w:numFmt w:val="decimal"/>
      <w:lvlText w:val="%7."/>
      <w:lvlJc w:val="left"/>
      <w:pPr>
        <w:ind w:left="3364" w:hanging="420"/>
      </w:pPr>
      <w:rPr>
        <w:rFonts w:cs="Times New Roman"/>
      </w:rPr>
    </w:lvl>
    <w:lvl w:ilvl="7" w:tentative="1">
      <w:start w:val="1"/>
      <w:numFmt w:val="lowerLetter"/>
      <w:lvlText w:val="%8)"/>
      <w:lvlJc w:val="left"/>
      <w:pPr>
        <w:ind w:left="3784" w:hanging="420"/>
      </w:pPr>
      <w:rPr>
        <w:rFonts w:cs="Times New Roman"/>
      </w:rPr>
    </w:lvl>
    <w:lvl w:ilvl="8" w:tentative="1">
      <w:start w:val="1"/>
      <w:numFmt w:val="lowerRoman"/>
      <w:lvlText w:val="%9."/>
      <w:lvlJc w:val="right"/>
      <w:pPr>
        <w:ind w:left="4204" w:hanging="420"/>
      </w:pPr>
      <w:rPr>
        <w:rFonts w:cs="Times New Roman"/>
      </w:rPr>
    </w:lvl>
  </w:abstractNum>
  <w:abstractNum w:abstractNumId="570310184">
    <w:nsid w:val="21FE3E28"/>
    <w:multiLevelType w:val="multilevel"/>
    <w:tmpl w:val="21FE3E28"/>
    <w:lvl w:ilvl="0" w:tentative="1">
      <w:start w:val="1"/>
      <w:numFmt w:val="decimal"/>
      <w:lvlText w:val="%1."/>
      <w:lvlJc w:val="left"/>
      <w:pPr>
        <w:ind w:left="844" w:hanging="420"/>
      </w:pPr>
      <w:rPr>
        <w:rFonts w:cs="Times New Roman"/>
      </w:rPr>
    </w:lvl>
    <w:lvl w:ilvl="1" w:tentative="1">
      <w:start w:val="1"/>
      <w:numFmt w:val="lowerLetter"/>
      <w:lvlText w:val="%2)"/>
      <w:lvlJc w:val="left"/>
      <w:pPr>
        <w:ind w:left="1264" w:hanging="420"/>
      </w:pPr>
      <w:rPr>
        <w:rFonts w:cs="Times New Roman"/>
      </w:rPr>
    </w:lvl>
    <w:lvl w:ilvl="2" w:tentative="1">
      <w:start w:val="1"/>
      <w:numFmt w:val="lowerRoman"/>
      <w:lvlText w:val="%3."/>
      <w:lvlJc w:val="right"/>
      <w:pPr>
        <w:ind w:left="1684" w:hanging="420"/>
      </w:pPr>
      <w:rPr>
        <w:rFonts w:cs="Times New Roman"/>
      </w:rPr>
    </w:lvl>
    <w:lvl w:ilvl="3" w:tentative="1">
      <w:start w:val="1"/>
      <w:numFmt w:val="decimal"/>
      <w:lvlText w:val="%4."/>
      <w:lvlJc w:val="left"/>
      <w:pPr>
        <w:ind w:left="2104" w:hanging="420"/>
      </w:pPr>
      <w:rPr>
        <w:rFonts w:cs="Times New Roman"/>
      </w:rPr>
    </w:lvl>
    <w:lvl w:ilvl="4" w:tentative="1">
      <w:start w:val="1"/>
      <w:numFmt w:val="lowerLetter"/>
      <w:lvlText w:val="%5)"/>
      <w:lvlJc w:val="left"/>
      <w:pPr>
        <w:ind w:left="2524" w:hanging="420"/>
      </w:pPr>
      <w:rPr>
        <w:rFonts w:cs="Times New Roman"/>
      </w:rPr>
    </w:lvl>
    <w:lvl w:ilvl="5" w:tentative="1">
      <w:start w:val="1"/>
      <w:numFmt w:val="lowerRoman"/>
      <w:lvlText w:val="%6."/>
      <w:lvlJc w:val="right"/>
      <w:pPr>
        <w:ind w:left="2944" w:hanging="420"/>
      </w:pPr>
      <w:rPr>
        <w:rFonts w:cs="Times New Roman"/>
      </w:rPr>
    </w:lvl>
    <w:lvl w:ilvl="6" w:tentative="1">
      <w:start w:val="1"/>
      <w:numFmt w:val="decimal"/>
      <w:lvlText w:val="%7."/>
      <w:lvlJc w:val="left"/>
      <w:pPr>
        <w:ind w:left="3364" w:hanging="420"/>
      </w:pPr>
      <w:rPr>
        <w:rFonts w:cs="Times New Roman"/>
      </w:rPr>
    </w:lvl>
    <w:lvl w:ilvl="7" w:tentative="1">
      <w:start w:val="1"/>
      <w:numFmt w:val="lowerLetter"/>
      <w:lvlText w:val="%8)"/>
      <w:lvlJc w:val="left"/>
      <w:pPr>
        <w:ind w:left="3784" w:hanging="420"/>
      </w:pPr>
      <w:rPr>
        <w:rFonts w:cs="Times New Roman"/>
      </w:rPr>
    </w:lvl>
    <w:lvl w:ilvl="8" w:tentative="1">
      <w:start w:val="1"/>
      <w:numFmt w:val="lowerRoman"/>
      <w:lvlText w:val="%9."/>
      <w:lvlJc w:val="right"/>
      <w:pPr>
        <w:ind w:left="4204" w:hanging="420"/>
      </w:pPr>
      <w:rPr>
        <w:rFonts w:cs="Times New Roman"/>
      </w:rPr>
    </w:lvl>
  </w:abstractNum>
  <w:abstractNum w:abstractNumId="719671043">
    <w:nsid w:val="2AE54F03"/>
    <w:multiLevelType w:val="multilevel"/>
    <w:tmpl w:val="2AE54F03"/>
    <w:lvl w:ilvl="0" w:tentative="1">
      <w:start w:val="1"/>
      <w:numFmt w:val="decimal"/>
      <w:lvlText w:val="%1."/>
      <w:lvlJc w:val="left"/>
      <w:pPr>
        <w:ind w:left="844" w:hanging="420"/>
      </w:pPr>
      <w:rPr>
        <w:rFonts w:cs="Times New Roman"/>
      </w:rPr>
    </w:lvl>
    <w:lvl w:ilvl="1" w:tentative="1">
      <w:start w:val="1"/>
      <w:numFmt w:val="lowerLetter"/>
      <w:lvlText w:val="%2)"/>
      <w:lvlJc w:val="left"/>
      <w:pPr>
        <w:ind w:left="1264" w:hanging="420"/>
      </w:pPr>
      <w:rPr>
        <w:rFonts w:cs="Times New Roman"/>
      </w:rPr>
    </w:lvl>
    <w:lvl w:ilvl="2" w:tentative="1">
      <w:start w:val="1"/>
      <w:numFmt w:val="lowerRoman"/>
      <w:lvlText w:val="%3."/>
      <w:lvlJc w:val="right"/>
      <w:pPr>
        <w:ind w:left="1684" w:hanging="420"/>
      </w:pPr>
      <w:rPr>
        <w:rFonts w:cs="Times New Roman"/>
      </w:rPr>
    </w:lvl>
    <w:lvl w:ilvl="3" w:tentative="1">
      <w:start w:val="1"/>
      <w:numFmt w:val="decimal"/>
      <w:lvlText w:val="%4."/>
      <w:lvlJc w:val="left"/>
      <w:pPr>
        <w:ind w:left="2104" w:hanging="420"/>
      </w:pPr>
      <w:rPr>
        <w:rFonts w:cs="Times New Roman"/>
      </w:rPr>
    </w:lvl>
    <w:lvl w:ilvl="4" w:tentative="1">
      <w:start w:val="1"/>
      <w:numFmt w:val="lowerLetter"/>
      <w:lvlText w:val="%5)"/>
      <w:lvlJc w:val="left"/>
      <w:pPr>
        <w:ind w:left="2524" w:hanging="420"/>
      </w:pPr>
      <w:rPr>
        <w:rFonts w:cs="Times New Roman"/>
      </w:rPr>
    </w:lvl>
    <w:lvl w:ilvl="5" w:tentative="1">
      <w:start w:val="1"/>
      <w:numFmt w:val="lowerRoman"/>
      <w:lvlText w:val="%6."/>
      <w:lvlJc w:val="right"/>
      <w:pPr>
        <w:ind w:left="2944" w:hanging="420"/>
      </w:pPr>
      <w:rPr>
        <w:rFonts w:cs="Times New Roman"/>
      </w:rPr>
    </w:lvl>
    <w:lvl w:ilvl="6" w:tentative="1">
      <w:start w:val="1"/>
      <w:numFmt w:val="decimal"/>
      <w:lvlText w:val="%7."/>
      <w:lvlJc w:val="left"/>
      <w:pPr>
        <w:ind w:left="3364" w:hanging="420"/>
      </w:pPr>
      <w:rPr>
        <w:rFonts w:cs="Times New Roman"/>
      </w:rPr>
    </w:lvl>
    <w:lvl w:ilvl="7" w:tentative="1">
      <w:start w:val="1"/>
      <w:numFmt w:val="lowerLetter"/>
      <w:lvlText w:val="%8)"/>
      <w:lvlJc w:val="left"/>
      <w:pPr>
        <w:ind w:left="3784" w:hanging="420"/>
      </w:pPr>
      <w:rPr>
        <w:rFonts w:cs="Times New Roman"/>
      </w:rPr>
    </w:lvl>
    <w:lvl w:ilvl="8" w:tentative="1">
      <w:start w:val="1"/>
      <w:numFmt w:val="lowerRoman"/>
      <w:lvlText w:val="%9."/>
      <w:lvlJc w:val="right"/>
      <w:pPr>
        <w:ind w:left="4204" w:hanging="420"/>
      </w:pPr>
      <w:rPr>
        <w:rFonts w:cs="Times New Roman"/>
      </w:rPr>
    </w:lvl>
  </w:abstractNum>
  <w:abstractNum w:abstractNumId="750001793">
    <w:nsid w:val="2CB41E81"/>
    <w:multiLevelType w:val="multilevel"/>
    <w:tmpl w:val="2CB41E81"/>
    <w:lvl w:ilvl="0" w:tentative="1">
      <w:start w:val="1"/>
      <w:numFmt w:val="decimal"/>
      <w:lvlText w:val="%1."/>
      <w:lvlJc w:val="left"/>
      <w:pPr>
        <w:ind w:left="840" w:hanging="420"/>
      </w:pPr>
      <w:rPr>
        <w:rFonts w:cs="Times New Roman"/>
      </w:rPr>
    </w:lvl>
    <w:lvl w:ilvl="1" w:tentative="1">
      <w:start w:val="1"/>
      <w:numFmt w:val="lowerLetter"/>
      <w:lvlText w:val="%2)"/>
      <w:lvlJc w:val="left"/>
      <w:pPr>
        <w:ind w:left="1260" w:hanging="420"/>
      </w:pPr>
      <w:rPr>
        <w:rFonts w:cs="Times New Roman"/>
      </w:rPr>
    </w:lvl>
    <w:lvl w:ilvl="2" w:tentative="1">
      <w:start w:val="1"/>
      <w:numFmt w:val="lowerRoman"/>
      <w:lvlText w:val="%3."/>
      <w:lvlJc w:val="right"/>
      <w:pPr>
        <w:ind w:left="1680" w:hanging="420"/>
      </w:pPr>
      <w:rPr>
        <w:rFonts w:cs="Times New Roman"/>
      </w:rPr>
    </w:lvl>
    <w:lvl w:ilvl="3" w:tentative="1">
      <w:start w:val="1"/>
      <w:numFmt w:val="decimal"/>
      <w:lvlText w:val="%4."/>
      <w:lvlJc w:val="left"/>
      <w:pPr>
        <w:ind w:left="2100" w:hanging="420"/>
      </w:pPr>
      <w:rPr>
        <w:rFonts w:cs="Times New Roman"/>
      </w:rPr>
    </w:lvl>
    <w:lvl w:ilvl="4" w:tentative="1">
      <w:start w:val="1"/>
      <w:numFmt w:val="lowerLetter"/>
      <w:lvlText w:val="%5)"/>
      <w:lvlJc w:val="left"/>
      <w:pPr>
        <w:ind w:left="2520" w:hanging="420"/>
      </w:pPr>
      <w:rPr>
        <w:rFonts w:cs="Times New Roman"/>
      </w:rPr>
    </w:lvl>
    <w:lvl w:ilvl="5" w:tentative="1">
      <w:start w:val="1"/>
      <w:numFmt w:val="lowerRoman"/>
      <w:lvlText w:val="%6."/>
      <w:lvlJc w:val="right"/>
      <w:pPr>
        <w:ind w:left="2940" w:hanging="420"/>
      </w:pPr>
      <w:rPr>
        <w:rFonts w:cs="Times New Roman"/>
      </w:rPr>
    </w:lvl>
    <w:lvl w:ilvl="6" w:tentative="1">
      <w:start w:val="1"/>
      <w:numFmt w:val="decimal"/>
      <w:lvlText w:val="%7."/>
      <w:lvlJc w:val="left"/>
      <w:pPr>
        <w:ind w:left="3360" w:hanging="420"/>
      </w:pPr>
      <w:rPr>
        <w:rFonts w:cs="Times New Roman"/>
      </w:rPr>
    </w:lvl>
    <w:lvl w:ilvl="7" w:tentative="1">
      <w:start w:val="1"/>
      <w:numFmt w:val="lowerLetter"/>
      <w:lvlText w:val="%8)"/>
      <w:lvlJc w:val="left"/>
      <w:pPr>
        <w:ind w:left="3780" w:hanging="420"/>
      </w:pPr>
      <w:rPr>
        <w:rFonts w:cs="Times New Roman"/>
      </w:rPr>
    </w:lvl>
    <w:lvl w:ilvl="8" w:tentative="1">
      <w:start w:val="1"/>
      <w:numFmt w:val="lowerRoman"/>
      <w:lvlText w:val="%9."/>
      <w:lvlJc w:val="right"/>
      <w:pPr>
        <w:ind w:left="4200" w:hanging="420"/>
      </w:pPr>
      <w:rPr>
        <w:rFonts w:cs="Times New Roman"/>
      </w:rPr>
    </w:lvl>
  </w:abstractNum>
  <w:abstractNum w:abstractNumId="763460013">
    <w:nsid w:val="2D8179AD"/>
    <w:multiLevelType w:val="multilevel"/>
    <w:tmpl w:val="2D8179AD"/>
    <w:lvl w:ilvl="0" w:tentative="1">
      <w:start w:val="1"/>
      <w:numFmt w:val="chineseCountingThousand"/>
      <w:lvlText w:val="%1"/>
      <w:lvlJc w:val="left"/>
      <w:pPr>
        <w:ind w:left="844" w:hanging="420"/>
      </w:pPr>
      <w:rPr>
        <w:rFonts w:hint="default" w:cs="Times New Roman"/>
        <w:b/>
      </w:rPr>
    </w:lvl>
    <w:lvl w:ilvl="1" w:tentative="1">
      <w:start w:val="1"/>
      <w:numFmt w:val="lowerLetter"/>
      <w:lvlText w:val="%2)"/>
      <w:lvlJc w:val="left"/>
      <w:pPr>
        <w:ind w:left="1264" w:hanging="420"/>
      </w:pPr>
      <w:rPr>
        <w:rFonts w:cs="Times New Roman"/>
      </w:rPr>
    </w:lvl>
    <w:lvl w:ilvl="2" w:tentative="1">
      <w:start w:val="1"/>
      <w:numFmt w:val="lowerRoman"/>
      <w:lvlText w:val="%3."/>
      <w:lvlJc w:val="right"/>
      <w:pPr>
        <w:ind w:left="1684" w:hanging="420"/>
      </w:pPr>
      <w:rPr>
        <w:rFonts w:cs="Times New Roman"/>
      </w:rPr>
    </w:lvl>
    <w:lvl w:ilvl="3" w:tentative="1">
      <w:start w:val="1"/>
      <w:numFmt w:val="decimal"/>
      <w:lvlText w:val="%4."/>
      <w:lvlJc w:val="left"/>
      <w:pPr>
        <w:ind w:left="2104" w:hanging="420"/>
      </w:pPr>
      <w:rPr>
        <w:rFonts w:cs="Times New Roman"/>
      </w:rPr>
    </w:lvl>
    <w:lvl w:ilvl="4" w:tentative="1">
      <w:start w:val="1"/>
      <w:numFmt w:val="lowerLetter"/>
      <w:lvlText w:val="%5)"/>
      <w:lvlJc w:val="left"/>
      <w:pPr>
        <w:ind w:left="2524" w:hanging="420"/>
      </w:pPr>
      <w:rPr>
        <w:rFonts w:cs="Times New Roman"/>
      </w:rPr>
    </w:lvl>
    <w:lvl w:ilvl="5" w:tentative="1">
      <w:start w:val="1"/>
      <w:numFmt w:val="lowerRoman"/>
      <w:lvlText w:val="%6."/>
      <w:lvlJc w:val="right"/>
      <w:pPr>
        <w:ind w:left="2944" w:hanging="420"/>
      </w:pPr>
      <w:rPr>
        <w:rFonts w:cs="Times New Roman"/>
      </w:rPr>
    </w:lvl>
    <w:lvl w:ilvl="6" w:tentative="1">
      <w:start w:val="1"/>
      <w:numFmt w:val="decimal"/>
      <w:lvlText w:val="%7."/>
      <w:lvlJc w:val="left"/>
      <w:pPr>
        <w:ind w:left="3364" w:hanging="420"/>
      </w:pPr>
      <w:rPr>
        <w:rFonts w:cs="Times New Roman"/>
      </w:rPr>
    </w:lvl>
    <w:lvl w:ilvl="7" w:tentative="1">
      <w:start w:val="1"/>
      <w:numFmt w:val="lowerLetter"/>
      <w:lvlText w:val="%8)"/>
      <w:lvlJc w:val="left"/>
      <w:pPr>
        <w:ind w:left="3784" w:hanging="420"/>
      </w:pPr>
      <w:rPr>
        <w:rFonts w:cs="Times New Roman"/>
      </w:rPr>
    </w:lvl>
    <w:lvl w:ilvl="8" w:tentative="1">
      <w:start w:val="1"/>
      <w:numFmt w:val="lowerRoman"/>
      <w:lvlText w:val="%9."/>
      <w:lvlJc w:val="right"/>
      <w:pPr>
        <w:ind w:left="4204" w:hanging="420"/>
      </w:pPr>
      <w:rPr>
        <w:rFonts w:cs="Times New Roman"/>
      </w:rPr>
    </w:lvl>
  </w:abstractNum>
  <w:abstractNum w:abstractNumId="834758281">
    <w:nsid w:val="31C16689"/>
    <w:multiLevelType w:val="multilevel"/>
    <w:tmpl w:val="31C16689"/>
    <w:lvl w:ilvl="0" w:tentative="1">
      <w:start w:val="1"/>
      <w:numFmt w:val="decimal"/>
      <w:lvlText w:val="%1."/>
      <w:lvlJc w:val="left"/>
      <w:pPr>
        <w:ind w:left="844" w:hanging="420"/>
      </w:pPr>
      <w:rPr>
        <w:rFonts w:cs="Times New Roman"/>
      </w:rPr>
    </w:lvl>
    <w:lvl w:ilvl="1" w:tentative="1">
      <w:start w:val="1"/>
      <w:numFmt w:val="lowerLetter"/>
      <w:lvlText w:val="%2)"/>
      <w:lvlJc w:val="left"/>
      <w:pPr>
        <w:ind w:left="1264" w:hanging="420"/>
      </w:pPr>
      <w:rPr>
        <w:rFonts w:cs="Times New Roman"/>
      </w:rPr>
    </w:lvl>
    <w:lvl w:ilvl="2" w:tentative="1">
      <w:start w:val="1"/>
      <w:numFmt w:val="lowerRoman"/>
      <w:lvlText w:val="%3."/>
      <w:lvlJc w:val="right"/>
      <w:pPr>
        <w:ind w:left="1684" w:hanging="420"/>
      </w:pPr>
      <w:rPr>
        <w:rFonts w:cs="Times New Roman"/>
      </w:rPr>
    </w:lvl>
    <w:lvl w:ilvl="3" w:tentative="1">
      <w:start w:val="1"/>
      <w:numFmt w:val="decimal"/>
      <w:lvlText w:val="%4."/>
      <w:lvlJc w:val="left"/>
      <w:pPr>
        <w:ind w:left="2104" w:hanging="420"/>
      </w:pPr>
      <w:rPr>
        <w:rFonts w:cs="Times New Roman"/>
      </w:rPr>
    </w:lvl>
    <w:lvl w:ilvl="4" w:tentative="1">
      <w:start w:val="1"/>
      <w:numFmt w:val="lowerLetter"/>
      <w:lvlText w:val="%5)"/>
      <w:lvlJc w:val="left"/>
      <w:pPr>
        <w:ind w:left="2524" w:hanging="420"/>
      </w:pPr>
      <w:rPr>
        <w:rFonts w:cs="Times New Roman"/>
      </w:rPr>
    </w:lvl>
    <w:lvl w:ilvl="5" w:tentative="1">
      <w:start w:val="1"/>
      <w:numFmt w:val="lowerRoman"/>
      <w:lvlText w:val="%6."/>
      <w:lvlJc w:val="right"/>
      <w:pPr>
        <w:ind w:left="2944" w:hanging="420"/>
      </w:pPr>
      <w:rPr>
        <w:rFonts w:cs="Times New Roman"/>
      </w:rPr>
    </w:lvl>
    <w:lvl w:ilvl="6" w:tentative="1">
      <w:start w:val="1"/>
      <w:numFmt w:val="decimal"/>
      <w:lvlText w:val="%7."/>
      <w:lvlJc w:val="left"/>
      <w:pPr>
        <w:ind w:left="3364" w:hanging="420"/>
      </w:pPr>
      <w:rPr>
        <w:rFonts w:cs="Times New Roman"/>
      </w:rPr>
    </w:lvl>
    <w:lvl w:ilvl="7" w:tentative="1">
      <w:start w:val="1"/>
      <w:numFmt w:val="lowerLetter"/>
      <w:lvlText w:val="%8)"/>
      <w:lvlJc w:val="left"/>
      <w:pPr>
        <w:ind w:left="3784" w:hanging="420"/>
      </w:pPr>
      <w:rPr>
        <w:rFonts w:cs="Times New Roman"/>
      </w:rPr>
    </w:lvl>
    <w:lvl w:ilvl="8" w:tentative="1">
      <w:start w:val="1"/>
      <w:numFmt w:val="lowerRoman"/>
      <w:lvlText w:val="%9."/>
      <w:lvlJc w:val="right"/>
      <w:pPr>
        <w:ind w:left="4204" w:hanging="420"/>
      </w:pPr>
      <w:rPr>
        <w:rFonts w:cs="Times New Roman"/>
      </w:rPr>
    </w:lvl>
  </w:abstractNum>
  <w:abstractNum w:abstractNumId="846359687">
    <w:nsid w:val="32726C87"/>
    <w:multiLevelType w:val="multilevel"/>
    <w:tmpl w:val="32726C87"/>
    <w:lvl w:ilvl="0" w:tentative="1">
      <w:start w:val="1"/>
      <w:numFmt w:val="chineseCountingThousand"/>
      <w:lvlText w:val="%1"/>
      <w:lvlJc w:val="left"/>
      <w:pPr>
        <w:ind w:left="844" w:hanging="420"/>
      </w:pPr>
      <w:rPr>
        <w:rFonts w:hint="default" w:cs="Times New Roman"/>
        <w:b/>
      </w:rPr>
    </w:lvl>
    <w:lvl w:ilvl="1" w:tentative="1">
      <w:start w:val="1"/>
      <w:numFmt w:val="lowerLetter"/>
      <w:lvlText w:val="%2)"/>
      <w:lvlJc w:val="left"/>
      <w:pPr>
        <w:ind w:left="1264" w:hanging="420"/>
      </w:pPr>
      <w:rPr>
        <w:rFonts w:cs="Times New Roman"/>
      </w:rPr>
    </w:lvl>
    <w:lvl w:ilvl="2" w:tentative="1">
      <w:start w:val="1"/>
      <w:numFmt w:val="lowerRoman"/>
      <w:lvlText w:val="%3."/>
      <w:lvlJc w:val="right"/>
      <w:pPr>
        <w:ind w:left="1684" w:hanging="420"/>
      </w:pPr>
      <w:rPr>
        <w:rFonts w:cs="Times New Roman"/>
      </w:rPr>
    </w:lvl>
    <w:lvl w:ilvl="3" w:tentative="1">
      <w:start w:val="1"/>
      <w:numFmt w:val="decimal"/>
      <w:lvlText w:val="%4."/>
      <w:lvlJc w:val="left"/>
      <w:pPr>
        <w:ind w:left="2104" w:hanging="420"/>
      </w:pPr>
      <w:rPr>
        <w:rFonts w:cs="Times New Roman"/>
      </w:rPr>
    </w:lvl>
    <w:lvl w:ilvl="4" w:tentative="1">
      <w:start w:val="1"/>
      <w:numFmt w:val="lowerLetter"/>
      <w:lvlText w:val="%5)"/>
      <w:lvlJc w:val="left"/>
      <w:pPr>
        <w:ind w:left="2524" w:hanging="420"/>
      </w:pPr>
      <w:rPr>
        <w:rFonts w:cs="Times New Roman"/>
      </w:rPr>
    </w:lvl>
    <w:lvl w:ilvl="5" w:tentative="1">
      <w:start w:val="1"/>
      <w:numFmt w:val="lowerRoman"/>
      <w:lvlText w:val="%6."/>
      <w:lvlJc w:val="right"/>
      <w:pPr>
        <w:ind w:left="2944" w:hanging="420"/>
      </w:pPr>
      <w:rPr>
        <w:rFonts w:cs="Times New Roman"/>
      </w:rPr>
    </w:lvl>
    <w:lvl w:ilvl="6" w:tentative="1">
      <w:start w:val="1"/>
      <w:numFmt w:val="decimal"/>
      <w:lvlText w:val="%7."/>
      <w:lvlJc w:val="left"/>
      <w:pPr>
        <w:ind w:left="3364" w:hanging="420"/>
      </w:pPr>
      <w:rPr>
        <w:rFonts w:cs="Times New Roman"/>
      </w:rPr>
    </w:lvl>
    <w:lvl w:ilvl="7" w:tentative="1">
      <w:start w:val="1"/>
      <w:numFmt w:val="lowerLetter"/>
      <w:lvlText w:val="%8)"/>
      <w:lvlJc w:val="left"/>
      <w:pPr>
        <w:ind w:left="3784" w:hanging="420"/>
      </w:pPr>
      <w:rPr>
        <w:rFonts w:cs="Times New Roman"/>
      </w:rPr>
    </w:lvl>
    <w:lvl w:ilvl="8" w:tentative="1">
      <w:start w:val="1"/>
      <w:numFmt w:val="lowerRoman"/>
      <w:lvlText w:val="%9."/>
      <w:lvlJc w:val="right"/>
      <w:pPr>
        <w:ind w:left="4204" w:hanging="420"/>
      </w:pPr>
      <w:rPr>
        <w:rFonts w:cs="Times New Roman"/>
      </w:rPr>
    </w:lvl>
  </w:abstractNum>
  <w:abstractNum w:abstractNumId="846940997">
    <w:nsid w:val="327B4B45"/>
    <w:multiLevelType w:val="multilevel"/>
    <w:tmpl w:val="327B4B45"/>
    <w:lvl w:ilvl="0" w:tentative="1">
      <w:start w:val="1"/>
      <w:numFmt w:val="decimal"/>
      <w:lvlText w:val="%1."/>
      <w:lvlJc w:val="left"/>
      <w:pPr>
        <w:ind w:left="844" w:hanging="420"/>
      </w:pPr>
      <w:rPr>
        <w:rFonts w:cs="Times New Roman"/>
      </w:rPr>
    </w:lvl>
    <w:lvl w:ilvl="1" w:tentative="1">
      <w:start w:val="1"/>
      <w:numFmt w:val="lowerLetter"/>
      <w:lvlText w:val="%2)"/>
      <w:lvlJc w:val="left"/>
      <w:pPr>
        <w:ind w:left="1264" w:hanging="420"/>
      </w:pPr>
      <w:rPr>
        <w:rFonts w:cs="Times New Roman"/>
      </w:rPr>
    </w:lvl>
    <w:lvl w:ilvl="2" w:tentative="1">
      <w:start w:val="1"/>
      <w:numFmt w:val="lowerRoman"/>
      <w:lvlText w:val="%3."/>
      <w:lvlJc w:val="right"/>
      <w:pPr>
        <w:ind w:left="1684" w:hanging="420"/>
      </w:pPr>
      <w:rPr>
        <w:rFonts w:cs="Times New Roman"/>
      </w:rPr>
    </w:lvl>
    <w:lvl w:ilvl="3" w:tentative="1">
      <w:start w:val="1"/>
      <w:numFmt w:val="decimal"/>
      <w:lvlText w:val="%4."/>
      <w:lvlJc w:val="left"/>
      <w:pPr>
        <w:ind w:left="2104" w:hanging="420"/>
      </w:pPr>
      <w:rPr>
        <w:rFonts w:cs="Times New Roman"/>
      </w:rPr>
    </w:lvl>
    <w:lvl w:ilvl="4" w:tentative="1">
      <w:start w:val="1"/>
      <w:numFmt w:val="lowerLetter"/>
      <w:lvlText w:val="%5)"/>
      <w:lvlJc w:val="left"/>
      <w:pPr>
        <w:ind w:left="2524" w:hanging="420"/>
      </w:pPr>
      <w:rPr>
        <w:rFonts w:cs="Times New Roman"/>
      </w:rPr>
    </w:lvl>
    <w:lvl w:ilvl="5" w:tentative="1">
      <w:start w:val="1"/>
      <w:numFmt w:val="lowerRoman"/>
      <w:lvlText w:val="%6."/>
      <w:lvlJc w:val="right"/>
      <w:pPr>
        <w:ind w:left="2944" w:hanging="420"/>
      </w:pPr>
      <w:rPr>
        <w:rFonts w:cs="Times New Roman"/>
      </w:rPr>
    </w:lvl>
    <w:lvl w:ilvl="6" w:tentative="1">
      <w:start w:val="1"/>
      <w:numFmt w:val="decimal"/>
      <w:lvlText w:val="%7."/>
      <w:lvlJc w:val="left"/>
      <w:pPr>
        <w:ind w:left="3364" w:hanging="420"/>
      </w:pPr>
      <w:rPr>
        <w:rFonts w:cs="Times New Roman"/>
      </w:rPr>
    </w:lvl>
    <w:lvl w:ilvl="7" w:tentative="1">
      <w:start w:val="1"/>
      <w:numFmt w:val="lowerLetter"/>
      <w:lvlText w:val="%8)"/>
      <w:lvlJc w:val="left"/>
      <w:pPr>
        <w:ind w:left="3784" w:hanging="420"/>
      </w:pPr>
      <w:rPr>
        <w:rFonts w:cs="Times New Roman"/>
      </w:rPr>
    </w:lvl>
    <w:lvl w:ilvl="8" w:tentative="1">
      <w:start w:val="1"/>
      <w:numFmt w:val="lowerRoman"/>
      <w:lvlText w:val="%9."/>
      <w:lvlJc w:val="right"/>
      <w:pPr>
        <w:ind w:left="4204" w:hanging="420"/>
      </w:pPr>
      <w:rPr>
        <w:rFonts w:cs="Times New Roman"/>
      </w:rPr>
    </w:lvl>
  </w:abstractNum>
  <w:abstractNum w:abstractNumId="871694977">
    <w:nsid w:val="33F50281"/>
    <w:multiLevelType w:val="multilevel"/>
    <w:tmpl w:val="33F50281"/>
    <w:lvl w:ilvl="0" w:tentative="1">
      <w:start w:val="1"/>
      <w:numFmt w:val="chineseCountingThousand"/>
      <w:lvlText w:val="%1"/>
      <w:lvlJc w:val="left"/>
      <w:pPr>
        <w:ind w:left="844" w:hanging="420"/>
      </w:pPr>
      <w:rPr>
        <w:rFonts w:hint="default" w:cs="Times New Roman"/>
        <w:b/>
      </w:rPr>
    </w:lvl>
    <w:lvl w:ilvl="1" w:tentative="1">
      <w:start w:val="1"/>
      <w:numFmt w:val="lowerLetter"/>
      <w:lvlText w:val="%2)"/>
      <w:lvlJc w:val="left"/>
      <w:pPr>
        <w:ind w:left="1264" w:hanging="420"/>
      </w:pPr>
      <w:rPr>
        <w:rFonts w:cs="Times New Roman"/>
      </w:rPr>
    </w:lvl>
    <w:lvl w:ilvl="2" w:tentative="1">
      <w:start w:val="1"/>
      <w:numFmt w:val="lowerRoman"/>
      <w:lvlText w:val="%3."/>
      <w:lvlJc w:val="right"/>
      <w:pPr>
        <w:ind w:left="1684" w:hanging="420"/>
      </w:pPr>
      <w:rPr>
        <w:rFonts w:cs="Times New Roman"/>
      </w:rPr>
    </w:lvl>
    <w:lvl w:ilvl="3" w:tentative="1">
      <w:start w:val="1"/>
      <w:numFmt w:val="decimal"/>
      <w:lvlText w:val="%4."/>
      <w:lvlJc w:val="left"/>
      <w:pPr>
        <w:ind w:left="2104" w:hanging="420"/>
      </w:pPr>
      <w:rPr>
        <w:rFonts w:cs="Times New Roman"/>
      </w:rPr>
    </w:lvl>
    <w:lvl w:ilvl="4" w:tentative="1">
      <w:start w:val="1"/>
      <w:numFmt w:val="lowerLetter"/>
      <w:lvlText w:val="%5)"/>
      <w:lvlJc w:val="left"/>
      <w:pPr>
        <w:ind w:left="2524" w:hanging="420"/>
      </w:pPr>
      <w:rPr>
        <w:rFonts w:cs="Times New Roman"/>
      </w:rPr>
    </w:lvl>
    <w:lvl w:ilvl="5" w:tentative="1">
      <w:start w:val="1"/>
      <w:numFmt w:val="lowerRoman"/>
      <w:lvlText w:val="%6."/>
      <w:lvlJc w:val="right"/>
      <w:pPr>
        <w:ind w:left="2944" w:hanging="420"/>
      </w:pPr>
      <w:rPr>
        <w:rFonts w:cs="Times New Roman"/>
      </w:rPr>
    </w:lvl>
    <w:lvl w:ilvl="6" w:tentative="1">
      <w:start w:val="1"/>
      <w:numFmt w:val="decimal"/>
      <w:lvlText w:val="%7."/>
      <w:lvlJc w:val="left"/>
      <w:pPr>
        <w:ind w:left="3364" w:hanging="420"/>
      </w:pPr>
      <w:rPr>
        <w:rFonts w:cs="Times New Roman"/>
      </w:rPr>
    </w:lvl>
    <w:lvl w:ilvl="7" w:tentative="1">
      <w:start w:val="1"/>
      <w:numFmt w:val="lowerLetter"/>
      <w:lvlText w:val="%8)"/>
      <w:lvlJc w:val="left"/>
      <w:pPr>
        <w:ind w:left="3784" w:hanging="420"/>
      </w:pPr>
      <w:rPr>
        <w:rFonts w:cs="Times New Roman"/>
      </w:rPr>
    </w:lvl>
    <w:lvl w:ilvl="8" w:tentative="1">
      <w:start w:val="1"/>
      <w:numFmt w:val="lowerRoman"/>
      <w:lvlText w:val="%9."/>
      <w:lvlJc w:val="right"/>
      <w:pPr>
        <w:ind w:left="4204" w:hanging="420"/>
      </w:pPr>
      <w:rPr>
        <w:rFonts w:cs="Times New Roman"/>
      </w:rPr>
    </w:lvl>
  </w:abstractNum>
  <w:abstractNum w:abstractNumId="871764331">
    <w:nsid w:val="33F6116B"/>
    <w:multiLevelType w:val="multilevel"/>
    <w:tmpl w:val="33F6116B"/>
    <w:lvl w:ilvl="0" w:tentative="1">
      <w:start w:val="1"/>
      <w:numFmt w:val="chineseCountingThousand"/>
      <w:lvlText w:val="（%1）"/>
      <w:lvlJc w:val="left"/>
      <w:pPr>
        <w:ind w:left="591" w:hanging="307"/>
      </w:pPr>
      <w:rPr>
        <w:rFonts w:hint="eastAsia" w:cs="Times New Roman"/>
      </w:rPr>
    </w:lvl>
    <w:lvl w:ilvl="1" w:tentative="1">
      <w:start w:val="1"/>
      <w:numFmt w:val="lowerLetter"/>
      <w:lvlText w:val="%2)"/>
      <w:lvlJc w:val="left"/>
      <w:pPr>
        <w:ind w:left="811" w:hanging="420"/>
      </w:pPr>
      <w:rPr>
        <w:rFonts w:cs="Times New Roman"/>
      </w:rPr>
    </w:lvl>
    <w:lvl w:ilvl="2" w:tentative="1">
      <w:start w:val="1"/>
      <w:numFmt w:val="lowerRoman"/>
      <w:lvlText w:val="%3."/>
      <w:lvlJc w:val="right"/>
      <w:pPr>
        <w:ind w:left="1231" w:hanging="420"/>
      </w:pPr>
      <w:rPr>
        <w:rFonts w:cs="Times New Roman"/>
      </w:rPr>
    </w:lvl>
    <w:lvl w:ilvl="3" w:tentative="1">
      <w:start w:val="1"/>
      <w:numFmt w:val="decimal"/>
      <w:lvlText w:val="%4."/>
      <w:lvlJc w:val="left"/>
      <w:pPr>
        <w:ind w:left="1651" w:hanging="420"/>
      </w:pPr>
      <w:rPr>
        <w:rFonts w:cs="Times New Roman"/>
      </w:rPr>
    </w:lvl>
    <w:lvl w:ilvl="4" w:tentative="1">
      <w:start w:val="1"/>
      <w:numFmt w:val="lowerLetter"/>
      <w:lvlText w:val="%5)"/>
      <w:lvlJc w:val="left"/>
      <w:pPr>
        <w:ind w:left="2071" w:hanging="420"/>
      </w:pPr>
      <w:rPr>
        <w:rFonts w:cs="Times New Roman"/>
      </w:rPr>
    </w:lvl>
    <w:lvl w:ilvl="5" w:tentative="1">
      <w:start w:val="1"/>
      <w:numFmt w:val="lowerRoman"/>
      <w:lvlText w:val="%6."/>
      <w:lvlJc w:val="right"/>
      <w:pPr>
        <w:ind w:left="2491" w:hanging="420"/>
      </w:pPr>
      <w:rPr>
        <w:rFonts w:cs="Times New Roman"/>
      </w:rPr>
    </w:lvl>
    <w:lvl w:ilvl="6" w:tentative="1">
      <w:start w:val="1"/>
      <w:numFmt w:val="decimal"/>
      <w:lvlText w:val="%7."/>
      <w:lvlJc w:val="left"/>
      <w:pPr>
        <w:ind w:left="2911" w:hanging="420"/>
      </w:pPr>
      <w:rPr>
        <w:rFonts w:cs="Times New Roman"/>
      </w:rPr>
    </w:lvl>
    <w:lvl w:ilvl="7" w:tentative="1">
      <w:start w:val="1"/>
      <w:numFmt w:val="lowerLetter"/>
      <w:lvlText w:val="%8)"/>
      <w:lvlJc w:val="left"/>
      <w:pPr>
        <w:ind w:left="3331" w:hanging="420"/>
      </w:pPr>
      <w:rPr>
        <w:rFonts w:cs="Times New Roman"/>
      </w:rPr>
    </w:lvl>
    <w:lvl w:ilvl="8" w:tentative="1">
      <w:start w:val="1"/>
      <w:numFmt w:val="lowerRoman"/>
      <w:lvlText w:val="%9."/>
      <w:lvlJc w:val="right"/>
      <w:pPr>
        <w:ind w:left="3751" w:hanging="420"/>
      </w:pPr>
      <w:rPr>
        <w:rFonts w:cs="Times New Roman"/>
      </w:rPr>
    </w:lvl>
  </w:abstractNum>
  <w:abstractNum w:abstractNumId="884409946">
    <w:nsid w:val="34B7065A"/>
    <w:multiLevelType w:val="multilevel"/>
    <w:tmpl w:val="34B7065A"/>
    <w:lvl w:ilvl="0" w:tentative="1">
      <w:start w:val="1"/>
      <w:numFmt w:val="decimal"/>
      <w:lvlText w:val="%1."/>
      <w:lvlJc w:val="left"/>
      <w:pPr>
        <w:ind w:left="844" w:hanging="420"/>
      </w:pPr>
      <w:rPr>
        <w:rFonts w:cs="Times New Roman"/>
      </w:rPr>
    </w:lvl>
    <w:lvl w:ilvl="1" w:tentative="1">
      <w:start w:val="1"/>
      <w:numFmt w:val="lowerLetter"/>
      <w:lvlText w:val="%2)"/>
      <w:lvlJc w:val="left"/>
      <w:pPr>
        <w:ind w:left="1264" w:hanging="420"/>
      </w:pPr>
      <w:rPr>
        <w:rFonts w:cs="Times New Roman"/>
      </w:rPr>
    </w:lvl>
    <w:lvl w:ilvl="2" w:tentative="1">
      <w:start w:val="1"/>
      <w:numFmt w:val="lowerRoman"/>
      <w:lvlText w:val="%3."/>
      <w:lvlJc w:val="right"/>
      <w:pPr>
        <w:ind w:left="1684" w:hanging="420"/>
      </w:pPr>
      <w:rPr>
        <w:rFonts w:cs="Times New Roman"/>
      </w:rPr>
    </w:lvl>
    <w:lvl w:ilvl="3" w:tentative="1">
      <w:start w:val="1"/>
      <w:numFmt w:val="decimal"/>
      <w:lvlText w:val="%4."/>
      <w:lvlJc w:val="left"/>
      <w:pPr>
        <w:ind w:left="2104" w:hanging="420"/>
      </w:pPr>
      <w:rPr>
        <w:rFonts w:cs="Times New Roman"/>
      </w:rPr>
    </w:lvl>
    <w:lvl w:ilvl="4" w:tentative="1">
      <w:start w:val="1"/>
      <w:numFmt w:val="lowerLetter"/>
      <w:lvlText w:val="%5)"/>
      <w:lvlJc w:val="left"/>
      <w:pPr>
        <w:ind w:left="2524" w:hanging="420"/>
      </w:pPr>
      <w:rPr>
        <w:rFonts w:cs="Times New Roman"/>
      </w:rPr>
    </w:lvl>
    <w:lvl w:ilvl="5" w:tentative="1">
      <w:start w:val="1"/>
      <w:numFmt w:val="lowerRoman"/>
      <w:lvlText w:val="%6."/>
      <w:lvlJc w:val="right"/>
      <w:pPr>
        <w:ind w:left="2944" w:hanging="420"/>
      </w:pPr>
      <w:rPr>
        <w:rFonts w:cs="Times New Roman"/>
      </w:rPr>
    </w:lvl>
    <w:lvl w:ilvl="6" w:tentative="1">
      <w:start w:val="1"/>
      <w:numFmt w:val="decimal"/>
      <w:lvlText w:val="%7."/>
      <w:lvlJc w:val="left"/>
      <w:pPr>
        <w:ind w:left="3364" w:hanging="420"/>
      </w:pPr>
      <w:rPr>
        <w:rFonts w:cs="Times New Roman"/>
      </w:rPr>
    </w:lvl>
    <w:lvl w:ilvl="7" w:tentative="1">
      <w:start w:val="1"/>
      <w:numFmt w:val="lowerLetter"/>
      <w:lvlText w:val="%8)"/>
      <w:lvlJc w:val="left"/>
      <w:pPr>
        <w:ind w:left="3784" w:hanging="420"/>
      </w:pPr>
      <w:rPr>
        <w:rFonts w:cs="Times New Roman"/>
      </w:rPr>
    </w:lvl>
    <w:lvl w:ilvl="8" w:tentative="1">
      <w:start w:val="1"/>
      <w:numFmt w:val="lowerRoman"/>
      <w:lvlText w:val="%9."/>
      <w:lvlJc w:val="right"/>
      <w:pPr>
        <w:ind w:left="4204" w:hanging="420"/>
      </w:pPr>
      <w:rPr>
        <w:rFonts w:cs="Times New Roman"/>
      </w:rPr>
    </w:lvl>
  </w:abstractNum>
  <w:abstractNum w:abstractNumId="902449453">
    <w:nsid w:val="35CA492D"/>
    <w:multiLevelType w:val="multilevel"/>
    <w:tmpl w:val="35CA492D"/>
    <w:lvl w:ilvl="0" w:tentative="1">
      <w:start w:val="1"/>
      <w:numFmt w:val="japaneseCounting"/>
      <w:lvlText w:val="（%1）"/>
      <w:lvlJc w:val="left"/>
      <w:pPr>
        <w:ind w:left="1295" w:hanging="720"/>
      </w:pPr>
      <w:rPr>
        <w:rFonts w:hint="default" w:cs="Times New Roman"/>
      </w:rPr>
    </w:lvl>
    <w:lvl w:ilvl="1" w:tentative="1">
      <w:start w:val="1"/>
      <w:numFmt w:val="lowerLetter"/>
      <w:lvlText w:val="%2)"/>
      <w:lvlJc w:val="left"/>
      <w:pPr>
        <w:ind w:left="1415" w:hanging="420"/>
      </w:pPr>
      <w:rPr>
        <w:rFonts w:cs="Times New Roman"/>
      </w:rPr>
    </w:lvl>
    <w:lvl w:ilvl="2" w:tentative="1">
      <w:start w:val="1"/>
      <w:numFmt w:val="lowerRoman"/>
      <w:lvlText w:val="%3."/>
      <w:lvlJc w:val="right"/>
      <w:pPr>
        <w:ind w:left="1835" w:hanging="420"/>
      </w:pPr>
      <w:rPr>
        <w:rFonts w:cs="Times New Roman"/>
      </w:rPr>
    </w:lvl>
    <w:lvl w:ilvl="3" w:tentative="1">
      <w:start w:val="1"/>
      <w:numFmt w:val="decimal"/>
      <w:lvlText w:val="%4."/>
      <w:lvlJc w:val="left"/>
      <w:pPr>
        <w:ind w:left="2255" w:hanging="420"/>
      </w:pPr>
      <w:rPr>
        <w:rFonts w:cs="Times New Roman"/>
      </w:rPr>
    </w:lvl>
    <w:lvl w:ilvl="4" w:tentative="1">
      <w:start w:val="1"/>
      <w:numFmt w:val="lowerLetter"/>
      <w:lvlText w:val="%5)"/>
      <w:lvlJc w:val="left"/>
      <w:pPr>
        <w:ind w:left="2675" w:hanging="420"/>
      </w:pPr>
      <w:rPr>
        <w:rFonts w:cs="Times New Roman"/>
      </w:rPr>
    </w:lvl>
    <w:lvl w:ilvl="5" w:tentative="1">
      <w:start w:val="1"/>
      <w:numFmt w:val="lowerRoman"/>
      <w:lvlText w:val="%6."/>
      <w:lvlJc w:val="right"/>
      <w:pPr>
        <w:ind w:left="3095" w:hanging="420"/>
      </w:pPr>
      <w:rPr>
        <w:rFonts w:cs="Times New Roman"/>
      </w:rPr>
    </w:lvl>
    <w:lvl w:ilvl="6" w:tentative="1">
      <w:start w:val="1"/>
      <w:numFmt w:val="decimal"/>
      <w:lvlText w:val="%7."/>
      <w:lvlJc w:val="left"/>
      <w:pPr>
        <w:ind w:left="3515" w:hanging="420"/>
      </w:pPr>
      <w:rPr>
        <w:rFonts w:cs="Times New Roman"/>
      </w:rPr>
    </w:lvl>
    <w:lvl w:ilvl="7" w:tentative="1">
      <w:start w:val="1"/>
      <w:numFmt w:val="lowerLetter"/>
      <w:lvlText w:val="%8)"/>
      <w:lvlJc w:val="left"/>
      <w:pPr>
        <w:ind w:left="3935" w:hanging="420"/>
      </w:pPr>
      <w:rPr>
        <w:rFonts w:cs="Times New Roman"/>
      </w:rPr>
    </w:lvl>
    <w:lvl w:ilvl="8" w:tentative="1">
      <w:start w:val="1"/>
      <w:numFmt w:val="lowerRoman"/>
      <w:lvlText w:val="%9."/>
      <w:lvlJc w:val="right"/>
      <w:pPr>
        <w:ind w:left="4355" w:hanging="420"/>
      </w:pPr>
      <w:rPr>
        <w:rFonts w:cs="Times New Roman"/>
      </w:rPr>
    </w:lvl>
  </w:abstractNum>
  <w:abstractNum w:abstractNumId="951471914">
    <w:nsid w:val="38B64F2A"/>
    <w:multiLevelType w:val="multilevel"/>
    <w:tmpl w:val="38B64F2A"/>
    <w:lvl w:ilvl="0" w:tentative="1">
      <w:start w:val="1"/>
      <w:numFmt w:val="decimal"/>
      <w:lvlText w:val="%1."/>
      <w:lvlJc w:val="left"/>
      <w:pPr>
        <w:ind w:left="844" w:hanging="420"/>
      </w:pPr>
      <w:rPr>
        <w:rFonts w:cs="Times New Roman"/>
      </w:rPr>
    </w:lvl>
    <w:lvl w:ilvl="1" w:tentative="1">
      <w:start w:val="1"/>
      <w:numFmt w:val="lowerLetter"/>
      <w:lvlText w:val="%2)"/>
      <w:lvlJc w:val="left"/>
      <w:pPr>
        <w:ind w:left="1264" w:hanging="420"/>
      </w:pPr>
      <w:rPr>
        <w:rFonts w:cs="Times New Roman"/>
      </w:rPr>
    </w:lvl>
    <w:lvl w:ilvl="2" w:tentative="1">
      <w:start w:val="1"/>
      <w:numFmt w:val="lowerRoman"/>
      <w:lvlText w:val="%3."/>
      <w:lvlJc w:val="right"/>
      <w:pPr>
        <w:ind w:left="1684" w:hanging="420"/>
      </w:pPr>
      <w:rPr>
        <w:rFonts w:cs="Times New Roman"/>
      </w:rPr>
    </w:lvl>
    <w:lvl w:ilvl="3" w:tentative="1">
      <w:start w:val="1"/>
      <w:numFmt w:val="decimal"/>
      <w:lvlText w:val="%4."/>
      <w:lvlJc w:val="left"/>
      <w:pPr>
        <w:ind w:left="2104" w:hanging="420"/>
      </w:pPr>
      <w:rPr>
        <w:rFonts w:cs="Times New Roman"/>
      </w:rPr>
    </w:lvl>
    <w:lvl w:ilvl="4" w:tentative="1">
      <w:start w:val="1"/>
      <w:numFmt w:val="lowerLetter"/>
      <w:lvlText w:val="%5)"/>
      <w:lvlJc w:val="left"/>
      <w:pPr>
        <w:ind w:left="2524" w:hanging="420"/>
      </w:pPr>
      <w:rPr>
        <w:rFonts w:cs="Times New Roman"/>
      </w:rPr>
    </w:lvl>
    <w:lvl w:ilvl="5" w:tentative="1">
      <w:start w:val="1"/>
      <w:numFmt w:val="lowerRoman"/>
      <w:lvlText w:val="%6."/>
      <w:lvlJc w:val="right"/>
      <w:pPr>
        <w:ind w:left="2944" w:hanging="420"/>
      </w:pPr>
      <w:rPr>
        <w:rFonts w:cs="Times New Roman"/>
      </w:rPr>
    </w:lvl>
    <w:lvl w:ilvl="6" w:tentative="1">
      <w:start w:val="1"/>
      <w:numFmt w:val="decimal"/>
      <w:lvlText w:val="%7."/>
      <w:lvlJc w:val="left"/>
      <w:pPr>
        <w:ind w:left="3364" w:hanging="420"/>
      </w:pPr>
      <w:rPr>
        <w:rFonts w:cs="Times New Roman"/>
      </w:rPr>
    </w:lvl>
    <w:lvl w:ilvl="7" w:tentative="1">
      <w:start w:val="1"/>
      <w:numFmt w:val="lowerLetter"/>
      <w:lvlText w:val="%8)"/>
      <w:lvlJc w:val="left"/>
      <w:pPr>
        <w:ind w:left="3784" w:hanging="420"/>
      </w:pPr>
      <w:rPr>
        <w:rFonts w:cs="Times New Roman"/>
      </w:rPr>
    </w:lvl>
    <w:lvl w:ilvl="8" w:tentative="1">
      <w:start w:val="1"/>
      <w:numFmt w:val="lowerRoman"/>
      <w:lvlText w:val="%9."/>
      <w:lvlJc w:val="right"/>
      <w:pPr>
        <w:ind w:left="4204" w:hanging="420"/>
      </w:pPr>
      <w:rPr>
        <w:rFonts w:cs="Times New Roman"/>
      </w:rPr>
    </w:lvl>
  </w:abstractNum>
  <w:abstractNum w:abstractNumId="1018851757">
    <w:nsid w:val="3CBA71AD"/>
    <w:multiLevelType w:val="multilevel"/>
    <w:tmpl w:val="3CBA71AD"/>
    <w:lvl w:ilvl="0" w:tentative="1">
      <w:start w:val="1"/>
      <w:numFmt w:val="decimal"/>
      <w:lvlText w:val="%1."/>
      <w:lvlJc w:val="left"/>
      <w:pPr>
        <w:ind w:left="987" w:hanging="420"/>
      </w:pPr>
      <w:rPr>
        <w:rFonts w:hint="default" w:cs="Times New Roman"/>
      </w:rPr>
    </w:lvl>
    <w:lvl w:ilvl="1" w:tentative="1">
      <w:start w:val="1"/>
      <w:numFmt w:val="lowerLetter"/>
      <w:lvlText w:val="%2)"/>
      <w:lvlJc w:val="left"/>
      <w:pPr>
        <w:ind w:left="1407" w:hanging="420"/>
      </w:pPr>
      <w:rPr>
        <w:rFonts w:cs="Times New Roman"/>
      </w:rPr>
    </w:lvl>
    <w:lvl w:ilvl="2" w:tentative="1">
      <w:start w:val="1"/>
      <w:numFmt w:val="lowerRoman"/>
      <w:lvlText w:val="%3."/>
      <w:lvlJc w:val="right"/>
      <w:pPr>
        <w:ind w:left="1827" w:hanging="420"/>
      </w:pPr>
      <w:rPr>
        <w:rFonts w:cs="Times New Roman"/>
      </w:rPr>
    </w:lvl>
    <w:lvl w:ilvl="3" w:tentative="1">
      <w:start w:val="1"/>
      <w:numFmt w:val="decimal"/>
      <w:lvlText w:val="%4."/>
      <w:lvlJc w:val="left"/>
      <w:pPr>
        <w:ind w:left="2247" w:hanging="420"/>
      </w:pPr>
      <w:rPr>
        <w:rFonts w:cs="Times New Roman"/>
      </w:rPr>
    </w:lvl>
    <w:lvl w:ilvl="4" w:tentative="1">
      <w:start w:val="1"/>
      <w:numFmt w:val="lowerLetter"/>
      <w:lvlText w:val="%5)"/>
      <w:lvlJc w:val="left"/>
      <w:pPr>
        <w:ind w:left="2667" w:hanging="420"/>
      </w:pPr>
      <w:rPr>
        <w:rFonts w:cs="Times New Roman"/>
      </w:rPr>
    </w:lvl>
    <w:lvl w:ilvl="5" w:tentative="1">
      <w:start w:val="1"/>
      <w:numFmt w:val="lowerRoman"/>
      <w:lvlText w:val="%6."/>
      <w:lvlJc w:val="right"/>
      <w:pPr>
        <w:ind w:left="3087" w:hanging="420"/>
      </w:pPr>
      <w:rPr>
        <w:rFonts w:cs="Times New Roman"/>
      </w:rPr>
    </w:lvl>
    <w:lvl w:ilvl="6" w:tentative="1">
      <w:start w:val="1"/>
      <w:numFmt w:val="decimal"/>
      <w:lvlText w:val="%7."/>
      <w:lvlJc w:val="left"/>
      <w:pPr>
        <w:ind w:left="3507" w:hanging="420"/>
      </w:pPr>
      <w:rPr>
        <w:rFonts w:cs="Times New Roman"/>
      </w:rPr>
    </w:lvl>
    <w:lvl w:ilvl="7" w:tentative="1">
      <w:start w:val="1"/>
      <w:numFmt w:val="lowerLetter"/>
      <w:lvlText w:val="%8)"/>
      <w:lvlJc w:val="left"/>
      <w:pPr>
        <w:ind w:left="3927" w:hanging="420"/>
      </w:pPr>
      <w:rPr>
        <w:rFonts w:cs="Times New Roman"/>
      </w:rPr>
    </w:lvl>
    <w:lvl w:ilvl="8" w:tentative="1">
      <w:start w:val="1"/>
      <w:numFmt w:val="lowerRoman"/>
      <w:lvlText w:val="%9."/>
      <w:lvlJc w:val="right"/>
      <w:pPr>
        <w:ind w:left="4347" w:hanging="420"/>
      </w:pPr>
      <w:rPr>
        <w:rFonts w:cs="Times New Roman"/>
      </w:rPr>
    </w:lvl>
  </w:abstractNum>
  <w:abstractNum w:abstractNumId="1062678363">
    <w:nsid w:val="3F572F5B"/>
    <w:multiLevelType w:val="multilevel"/>
    <w:tmpl w:val="3F572F5B"/>
    <w:lvl w:ilvl="0" w:tentative="1">
      <w:start w:val="1"/>
      <w:numFmt w:val="decimal"/>
      <w:lvlText w:val="%1."/>
      <w:lvlJc w:val="left"/>
      <w:pPr>
        <w:ind w:left="844" w:hanging="420"/>
      </w:pPr>
      <w:rPr>
        <w:rFonts w:cs="Times New Roman"/>
        <w:b w:val="0"/>
        <w:sz w:val="21"/>
        <w:szCs w:val="21"/>
      </w:rPr>
    </w:lvl>
    <w:lvl w:ilvl="1" w:tentative="1">
      <w:start w:val="1"/>
      <w:numFmt w:val="lowerLetter"/>
      <w:lvlText w:val="%2)"/>
      <w:lvlJc w:val="left"/>
      <w:pPr>
        <w:ind w:left="1264" w:hanging="420"/>
      </w:pPr>
      <w:rPr>
        <w:rFonts w:cs="Times New Roman"/>
      </w:rPr>
    </w:lvl>
    <w:lvl w:ilvl="2" w:tentative="1">
      <w:start w:val="1"/>
      <w:numFmt w:val="lowerRoman"/>
      <w:lvlText w:val="%3."/>
      <w:lvlJc w:val="right"/>
      <w:pPr>
        <w:ind w:left="1684" w:hanging="420"/>
      </w:pPr>
      <w:rPr>
        <w:rFonts w:cs="Times New Roman"/>
      </w:rPr>
    </w:lvl>
    <w:lvl w:ilvl="3" w:tentative="1">
      <w:start w:val="1"/>
      <w:numFmt w:val="decimal"/>
      <w:lvlText w:val="%4."/>
      <w:lvlJc w:val="left"/>
      <w:pPr>
        <w:ind w:left="2104" w:hanging="420"/>
      </w:pPr>
      <w:rPr>
        <w:rFonts w:cs="Times New Roman"/>
      </w:rPr>
    </w:lvl>
    <w:lvl w:ilvl="4" w:tentative="1">
      <w:start w:val="1"/>
      <w:numFmt w:val="lowerLetter"/>
      <w:lvlText w:val="%5)"/>
      <w:lvlJc w:val="left"/>
      <w:pPr>
        <w:ind w:left="2524" w:hanging="420"/>
      </w:pPr>
      <w:rPr>
        <w:rFonts w:cs="Times New Roman"/>
      </w:rPr>
    </w:lvl>
    <w:lvl w:ilvl="5" w:tentative="1">
      <w:start w:val="1"/>
      <w:numFmt w:val="lowerRoman"/>
      <w:lvlText w:val="%6."/>
      <w:lvlJc w:val="right"/>
      <w:pPr>
        <w:ind w:left="2944" w:hanging="420"/>
      </w:pPr>
      <w:rPr>
        <w:rFonts w:cs="Times New Roman"/>
      </w:rPr>
    </w:lvl>
    <w:lvl w:ilvl="6" w:tentative="1">
      <w:start w:val="1"/>
      <w:numFmt w:val="decimal"/>
      <w:lvlText w:val="%7."/>
      <w:lvlJc w:val="left"/>
      <w:pPr>
        <w:ind w:left="3364" w:hanging="420"/>
      </w:pPr>
      <w:rPr>
        <w:rFonts w:cs="Times New Roman"/>
      </w:rPr>
    </w:lvl>
    <w:lvl w:ilvl="7" w:tentative="1">
      <w:start w:val="1"/>
      <w:numFmt w:val="lowerLetter"/>
      <w:lvlText w:val="%8)"/>
      <w:lvlJc w:val="left"/>
      <w:pPr>
        <w:ind w:left="3784" w:hanging="420"/>
      </w:pPr>
      <w:rPr>
        <w:rFonts w:cs="Times New Roman"/>
      </w:rPr>
    </w:lvl>
    <w:lvl w:ilvl="8" w:tentative="1">
      <w:start w:val="1"/>
      <w:numFmt w:val="lowerRoman"/>
      <w:lvlText w:val="%9."/>
      <w:lvlJc w:val="right"/>
      <w:pPr>
        <w:ind w:left="4204" w:hanging="420"/>
      </w:pPr>
      <w:rPr>
        <w:rFonts w:cs="Times New Roman"/>
      </w:rPr>
    </w:lvl>
  </w:abstractNum>
  <w:abstractNum w:abstractNumId="1159611045">
    <w:nsid w:val="451E42A5"/>
    <w:multiLevelType w:val="multilevel"/>
    <w:tmpl w:val="451E42A5"/>
    <w:lvl w:ilvl="0" w:tentative="1">
      <w:start w:val="1"/>
      <w:numFmt w:val="decimal"/>
      <w:lvlText w:val="%1."/>
      <w:lvlJc w:val="left"/>
      <w:pPr>
        <w:ind w:left="844" w:hanging="420"/>
      </w:pPr>
      <w:rPr>
        <w:rFonts w:cs="Times New Roman"/>
      </w:rPr>
    </w:lvl>
    <w:lvl w:ilvl="1" w:tentative="1">
      <w:start w:val="1"/>
      <w:numFmt w:val="lowerLetter"/>
      <w:lvlText w:val="%2)"/>
      <w:lvlJc w:val="left"/>
      <w:pPr>
        <w:ind w:left="1264" w:hanging="420"/>
      </w:pPr>
      <w:rPr>
        <w:rFonts w:cs="Times New Roman"/>
      </w:rPr>
    </w:lvl>
    <w:lvl w:ilvl="2" w:tentative="1">
      <w:start w:val="1"/>
      <w:numFmt w:val="lowerRoman"/>
      <w:lvlText w:val="%3."/>
      <w:lvlJc w:val="right"/>
      <w:pPr>
        <w:ind w:left="1684" w:hanging="420"/>
      </w:pPr>
      <w:rPr>
        <w:rFonts w:cs="Times New Roman"/>
      </w:rPr>
    </w:lvl>
    <w:lvl w:ilvl="3" w:tentative="1">
      <w:start w:val="1"/>
      <w:numFmt w:val="decimal"/>
      <w:lvlText w:val="%4."/>
      <w:lvlJc w:val="left"/>
      <w:pPr>
        <w:ind w:left="2104" w:hanging="420"/>
      </w:pPr>
      <w:rPr>
        <w:rFonts w:cs="Times New Roman"/>
      </w:rPr>
    </w:lvl>
    <w:lvl w:ilvl="4" w:tentative="1">
      <w:start w:val="1"/>
      <w:numFmt w:val="lowerLetter"/>
      <w:lvlText w:val="%5)"/>
      <w:lvlJc w:val="left"/>
      <w:pPr>
        <w:ind w:left="2524" w:hanging="420"/>
      </w:pPr>
      <w:rPr>
        <w:rFonts w:cs="Times New Roman"/>
      </w:rPr>
    </w:lvl>
    <w:lvl w:ilvl="5" w:tentative="1">
      <w:start w:val="1"/>
      <w:numFmt w:val="lowerRoman"/>
      <w:lvlText w:val="%6."/>
      <w:lvlJc w:val="right"/>
      <w:pPr>
        <w:ind w:left="2944" w:hanging="420"/>
      </w:pPr>
      <w:rPr>
        <w:rFonts w:cs="Times New Roman"/>
      </w:rPr>
    </w:lvl>
    <w:lvl w:ilvl="6" w:tentative="1">
      <w:start w:val="1"/>
      <w:numFmt w:val="decimal"/>
      <w:lvlText w:val="%7."/>
      <w:lvlJc w:val="left"/>
      <w:pPr>
        <w:ind w:left="3364" w:hanging="420"/>
      </w:pPr>
      <w:rPr>
        <w:rFonts w:cs="Times New Roman"/>
      </w:rPr>
    </w:lvl>
    <w:lvl w:ilvl="7" w:tentative="1">
      <w:start w:val="1"/>
      <w:numFmt w:val="lowerLetter"/>
      <w:lvlText w:val="%8)"/>
      <w:lvlJc w:val="left"/>
      <w:pPr>
        <w:ind w:left="3784" w:hanging="420"/>
      </w:pPr>
      <w:rPr>
        <w:rFonts w:cs="Times New Roman"/>
      </w:rPr>
    </w:lvl>
    <w:lvl w:ilvl="8" w:tentative="1">
      <w:start w:val="1"/>
      <w:numFmt w:val="lowerRoman"/>
      <w:lvlText w:val="%9."/>
      <w:lvlJc w:val="right"/>
      <w:pPr>
        <w:ind w:left="4204" w:hanging="420"/>
      </w:pPr>
      <w:rPr>
        <w:rFonts w:cs="Times New Roman"/>
      </w:rPr>
    </w:lvl>
  </w:abstractNum>
  <w:abstractNum w:abstractNumId="1218008514">
    <w:nsid w:val="489955C2"/>
    <w:multiLevelType w:val="multilevel"/>
    <w:tmpl w:val="489955C2"/>
    <w:lvl w:ilvl="0" w:tentative="1">
      <w:start w:val="1"/>
      <w:numFmt w:val="decimal"/>
      <w:lvlText w:val="%1."/>
      <w:lvlJc w:val="left"/>
      <w:pPr>
        <w:ind w:left="844" w:hanging="420"/>
      </w:pPr>
      <w:rPr>
        <w:rFonts w:cs="Times New Roman"/>
      </w:rPr>
    </w:lvl>
    <w:lvl w:ilvl="1" w:tentative="1">
      <w:start w:val="1"/>
      <w:numFmt w:val="lowerLetter"/>
      <w:lvlText w:val="%2)"/>
      <w:lvlJc w:val="left"/>
      <w:pPr>
        <w:ind w:left="1264" w:hanging="420"/>
      </w:pPr>
      <w:rPr>
        <w:rFonts w:cs="Times New Roman"/>
      </w:rPr>
    </w:lvl>
    <w:lvl w:ilvl="2" w:tentative="1">
      <w:start w:val="1"/>
      <w:numFmt w:val="lowerRoman"/>
      <w:lvlText w:val="%3."/>
      <w:lvlJc w:val="right"/>
      <w:pPr>
        <w:ind w:left="1684" w:hanging="420"/>
      </w:pPr>
      <w:rPr>
        <w:rFonts w:cs="Times New Roman"/>
      </w:rPr>
    </w:lvl>
    <w:lvl w:ilvl="3" w:tentative="1">
      <w:start w:val="1"/>
      <w:numFmt w:val="decimal"/>
      <w:lvlText w:val="%4."/>
      <w:lvlJc w:val="left"/>
      <w:pPr>
        <w:ind w:left="2104" w:hanging="420"/>
      </w:pPr>
      <w:rPr>
        <w:rFonts w:cs="Times New Roman"/>
      </w:rPr>
    </w:lvl>
    <w:lvl w:ilvl="4" w:tentative="1">
      <w:start w:val="1"/>
      <w:numFmt w:val="lowerLetter"/>
      <w:lvlText w:val="%5)"/>
      <w:lvlJc w:val="left"/>
      <w:pPr>
        <w:ind w:left="2524" w:hanging="420"/>
      </w:pPr>
      <w:rPr>
        <w:rFonts w:cs="Times New Roman"/>
      </w:rPr>
    </w:lvl>
    <w:lvl w:ilvl="5" w:tentative="1">
      <w:start w:val="1"/>
      <w:numFmt w:val="lowerRoman"/>
      <w:lvlText w:val="%6."/>
      <w:lvlJc w:val="right"/>
      <w:pPr>
        <w:ind w:left="2944" w:hanging="420"/>
      </w:pPr>
      <w:rPr>
        <w:rFonts w:cs="Times New Roman"/>
      </w:rPr>
    </w:lvl>
    <w:lvl w:ilvl="6" w:tentative="1">
      <w:start w:val="1"/>
      <w:numFmt w:val="decimal"/>
      <w:lvlText w:val="%7."/>
      <w:lvlJc w:val="left"/>
      <w:pPr>
        <w:ind w:left="3364" w:hanging="420"/>
      </w:pPr>
      <w:rPr>
        <w:rFonts w:cs="Times New Roman"/>
      </w:rPr>
    </w:lvl>
    <w:lvl w:ilvl="7" w:tentative="1">
      <w:start w:val="1"/>
      <w:numFmt w:val="lowerLetter"/>
      <w:lvlText w:val="%8)"/>
      <w:lvlJc w:val="left"/>
      <w:pPr>
        <w:ind w:left="3784" w:hanging="420"/>
      </w:pPr>
      <w:rPr>
        <w:rFonts w:cs="Times New Roman"/>
      </w:rPr>
    </w:lvl>
    <w:lvl w:ilvl="8" w:tentative="1">
      <w:start w:val="1"/>
      <w:numFmt w:val="lowerRoman"/>
      <w:lvlText w:val="%9."/>
      <w:lvlJc w:val="right"/>
      <w:pPr>
        <w:ind w:left="4204" w:hanging="420"/>
      </w:pPr>
      <w:rPr>
        <w:rFonts w:cs="Times New Roman"/>
      </w:rPr>
    </w:lvl>
  </w:abstractNum>
  <w:abstractNum w:abstractNumId="1297250894">
    <w:nsid w:val="4D527A4E"/>
    <w:multiLevelType w:val="multilevel"/>
    <w:tmpl w:val="4D527A4E"/>
    <w:lvl w:ilvl="0" w:tentative="1">
      <w:start w:val="1"/>
      <w:numFmt w:val="decimal"/>
      <w:lvlText w:val="%1."/>
      <w:lvlJc w:val="left"/>
      <w:pPr>
        <w:ind w:left="844" w:hanging="420"/>
      </w:pPr>
      <w:rPr>
        <w:rFonts w:cs="Times New Roman"/>
      </w:rPr>
    </w:lvl>
    <w:lvl w:ilvl="1" w:tentative="1">
      <w:start w:val="1"/>
      <w:numFmt w:val="lowerLetter"/>
      <w:lvlText w:val="%2)"/>
      <w:lvlJc w:val="left"/>
      <w:pPr>
        <w:ind w:left="1264" w:hanging="420"/>
      </w:pPr>
      <w:rPr>
        <w:rFonts w:cs="Times New Roman"/>
      </w:rPr>
    </w:lvl>
    <w:lvl w:ilvl="2" w:tentative="1">
      <w:start w:val="1"/>
      <w:numFmt w:val="lowerRoman"/>
      <w:lvlText w:val="%3."/>
      <w:lvlJc w:val="right"/>
      <w:pPr>
        <w:ind w:left="1684" w:hanging="420"/>
      </w:pPr>
      <w:rPr>
        <w:rFonts w:cs="Times New Roman"/>
      </w:rPr>
    </w:lvl>
    <w:lvl w:ilvl="3" w:tentative="1">
      <w:start w:val="1"/>
      <w:numFmt w:val="decimal"/>
      <w:lvlText w:val="%4."/>
      <w:lvlJc w:val="left"/>
      <w:pPr>
        <w:ind w:left="2104" w:hanging="420"/>
      </w:pPr>
      <w:rPr>
        <w:rFonts w:cs="Times New Roman"/>
      </w:rPr>
    </w:lvl>
    <w:lvl w:ilvl="4" w:tentative="1">
      <w:start w:val="1"/>
      <w:numFmt w:val="lowerLetter"/>
      <w:lvlText w:val="%5)"/>
      <w:lvlJc w:val="left"/>
      <w:pPr>
        <w:ind w:left="2524" w:hanging="420"/>
      </w:pPr>
      <w:rPr>
        <w:rFonts w:cs="Times New Roman"/>
      </w:rPr>
    </w:lvl>
    <w:lvl w:ilvl="5" w:tentative="1">
      <w:start w:val="1"/>
      <w:numFmt w:val="lowerRoman"/>
      <w:lvlText w:val="%6."/>
      <w:lvlJc w:val="right"/>
      <w:pPr>
        <w:ind w:left="2944" w:hanging="420"/>
      </w:pPr>
      <w:rPr>
        <w:rFonts w:cs="Times New Roman"/>
      </w:rPr>
    </w:lvl>
    <w:lvl w:ilvl="6" w:tentative="1">
      <w:start w:val="1"/>
      <w:numFmt w:val="decimal"/>
      <w:lvlText w:val="%7."/>
      <w:lvlJc w:val="left"/>
      <w:pPr>
        <w:ind w:left="3364" w:hanging="420"/>
      </w:pPr>
      <w:rPr>
        <w:rFonts w:cs="Times New Roman"/>
      </w:rPr>
    </w:lvl>
    <w:lvl w:ilvl="7" w:tentative="1">
      <w:start w:val="1"/>
      <w:numFmt w:val="lowerLetter"/>
      <w:lvlText w:val="%8)"/>
      <w:lvlJc w:val="left"/>
      <w:pPr>
        <w:ind w:left="3784" w:hanging="420"/>
      </w:pPr>
      <w:rPr>
        <w:rFonts w:cs="Times New Roman"/>
      </w:rPr>
    </w:lvl>
    <w:lvl w:ilvl="8" w:tentative="1">
      <w:start w:val="1"/>
      <w:numFmt w:val="lowerRoman"/>
      <w:lvlText w:val="%9."/>
      <w:lvlJc w:val="right"/>
      <w:pPr>
        <w:ind w:left="4204" w:hanging="420"/>
      </w:pPr>
      <w:rPr>
        <w:rFonts w:cs="Times New Roman"/>
      </w:rPr>
    </w:lvl>
  </w:abstractNum>
  <w:abstractNum w:abstractNumId="1374889661">
    <w:nsid w:val="51F326BD"/>
    <w:multiLevelType w:val="multilevel"/>
    <w:tmpl w:val="51F326BD"/>
    <w:lvl w:ilvl="0" w:tentative="1">
      <w:start w:val="1"/>
      <w:numFmt w:val="decimal"/>
      <w:lvlText w:val="%1."/>
      <w:lvlJc w:val="left"/>
      <w:pPr>
        <w:ind w:left="846" w:hanging="420"/>
      </w:pPr>
      <w:rPr>
        <w:rFonts w:cs="Times New Roman"/>
      </w:rPr>
    </w:lvl>
    <w:lvl w:ilvl="1" w:tentative="1">
      <w:start w:val="1"/>
      <w:numFmt w:val="lowerLetter"/>
      <w:lvlText w:val="%2)"/>
      <w:lvlJc w:val="left"/>
      <w:pPr>
        <w:ind w:left="1264" w:hanging="420"/>
      </w:pPr>
      <w:rPr>
        <w:rFonts w:cs="Times New Roman"/>
      </w:rPr>
    </w:lvl>
    <w:lvl w:ilvl="2" w:tentative="1">
      <w:start w:val="1"/>
      <w:numFmt w:val="lowerRoman"/>
      <w:lvlText w:val="%3."/>
      <w:lvlJc w:val="right"/>
      <w:pPr>
        <w:ind w:left="1684" w:hanging="420"/>
      </w:pPr>
      <w:rPr>
        <w:rFonts w:cs="Times New Roman"/>
      </w:rPr>
    </w:lvl>
    <w:lvl w:ilvl="3" w:tentative="1">
      <w:start w:val="1"/>
      <w:numFmt w:val="decimal"/>
      <w:lvlText w:val="%4."/>
      <w:lvlJc w:val="left"/>
      <w:pPr>
        <w:ind w:left="2104" w:hanging="420"/>
      </w:pPr>
      <w:rPr>
        <w:rFonts w:cs="Times New Roman"/>
      </w:rPr>
    </w:lvl>
    <w:lvl w:ilvl="4" w:tentative="1">
      <w:start w:val="1"/>
      <w:numFmt w:val="lowerLetter"/>
      <w:lvlText w:val="%5)"/>
      <w:lvlJc w:val="left"/>
      <w:pPr>
        <w:ind w:left="2524" w:hanging="420"/>
      </w:pPr>
      <w:rPr>
        <w:rFonts w:cs="Times New Roman"/>
      </w:rPr>
    </w:lvl>
    <w:lvl w:ilvl="5" w:tentative="1">
      <w:start w:val="1"/>
      <w:numFmt w:val="lowerRoman"/>
      <w:lvlText w:val="%6."/>
      <w:lvlJc w:val="right"/>
      <w:pPr>
        <w:ind w:left="2944" w:hanging="420"/>
      </w:pPr>
      <w:rPr>
        <w:rFonts w:cs="Times New Roman"/>
      </w:rPr>
    </w:lvl>
    <w:lvl w:ilvl="6" w:tentative="1">
      <w:start w:val="1"/>
      <w:numFmt w:val="decimal"/>
      <w:lvlText w:val="%7."/>
      <w:lvlJc w:val="left"/>
      <w:pPr>
        <w:ind w:left="3364" w:hanging="420"/>
      </w:pPr>
      <w:rPr>
        <w:rFonts w:cs="Times New Roman"/>
      </w:rPr>
    </w:lvl>
    <w:lvl w:ilvl="7" w:tentative="1">
      <w:start w:val="1"/>
      <w:numFmt w:val="lowerLetter"/>
      <w:lvlText w:val="%8)"/>
      <w:lvlJc w:val="left"/>
      <w:pPr>
        <w:ind w:left="3784" w:hanging="420"/>
      </w:pPr>
      <w:rPr>
        <w:rFonts w:cs="Times New Roman"/>
      </w:rPr>
    </w:lvl>
    <w:lvl w:ilvl="8" w:tentative="1">
      <w:start w:val="1"/>
      <w:numFmt w:val="lowerRoman"/>
      <w:lvlText w:val="%9."/>
      <w:lvlJc w:val="right"/>
      <w:pPr>
        <w:ind w:left="4204" w:hanging="420"/>
      </w:pPr>
      <w:rPr>
        <w:rFonts w:cs="Times New Roman"/>
      </w:rPr>
    </w:lvl>
  </w:abstractNum>
  <w:abstractNum w:abstractNumId="1599559050">
    <w:nsid w:val="5F57558A"/>
    <w:multiLevelType w:val="multilevel"/>
    <w:tmpl w:val="5F57558A"/>
    <w:lvl w:ilvl="0" w:tentative="1">
      <w:start w:val="1"/>
      <w:numFmt w:val="decimal"/>
      <w:lvlText w:val="%1."/>
      <w:lvlJc w:val="left"/>
      <w:pPr>
        <w:ind w:left="844" w:hanging="420"/>
      </w:pPr>
      <w:rPr>
        <w:rFonts w:cs="Times New Roman"/>
      </w:rPr>
    </w:lvl>
    <w:lvl w:ilvl="1" w:tentative="1">
      <w:start w:val="1"/>
      <w:numFmt w:val="lowerLetter"/>
      <w:lvlText w:val="%2)"/>
      <w:lvlJc w:val="left"/>
      <w:pPr>
        <w:ind w:left="1264" w:hanging="420"/>
      </w:pPr>
      <w:rPr>
        <w:rFonts w:cs="Times New Roman"/>
      </w:rPr>
    </w:lvl>
    <w:lvl w:ilvl="2" w:tentative="1">
      <w:start w:val="1"/>
      <w:numFmt w:val="lowerRoman"/>
      <w:lvlText w:val="%3."/>
      <w:lvlJc w:val="right"/>
      <w:pPr>
        <w:ind w:left="1684" w:hanging="420"/>
      </w:pPr>
      <w:rPr>
        <w:rFonts w:cs="Times New Roman"/>
      </w:rPr>
    </w:lvl>
    <w:lvl w:ilvl="3" w:tentative="1">
      <w:start w:val="1"/>
      <w:numFmt w:val="decimal"/>
      <w:lvlText w:val="%4."/>
      <w:lvlJc w:val="left"/>
      <w:pPr>
        <w:ind w:left="2104" w:hanging="420"/>
      </w:pPr>
      <w:rPr>
        <w:rFonts w:cs="Times New Roman"/>
      </w:rPr>
    </w:lvl>
    <w:lvl w:ilvl="4" w:tentative="1">
      <w:start w:val="1"/>
      <w:numFmt w:val="lowerLetter"/>
      <w:lvlText w:val="%5)"/>
      <w:lvlJc w:val="left"/>
      <w:pPr>
        <w:ind w:left="2524" w:hanging="420"/>
      </w:pPr>
      <w:rPr>
        <w:rFonts w:cs="Times New Roman"/>
      </w:rPr>
    </w:lvl>
    <w:lvl w:ilvl="5" w:tentative="1">
      <w:start w:val="1"/>
      <w:numFmt w:val="lowerRoman"/>
      <w:lvlText w:val="%6."/>
      <w:lvlJc w:val="right"/>
      <w:pPr>
        <w:ind w:left="2944" w:hanging="420"/>
      </w:pPr>
      <w:rPr>
        <w:rFonts w:cs="Times New Roman"/>
      </w:rPr>
    </w:lvl>
    <w:lvl w:ilvl="6" w:tentative="1">
      <w:start w:val="1"/>
      <w:numFmt w:val="decimal"/>
      <w:lvlText w:val="%7."/>
      <w:lvlJc w:val="left"/>
      <w:pPr>
        <w:ind w:left="3364" w:hanging="420"/>
      </w:pPr>
      <w:rPr>
        <w:rFonts w:cs="Times New Roman"/>
      </w:rPr>
    </w:lvl>
    <w:lvl w:ilvl="7" w:tentative="1">
      <w:start w:val="1"/>
      <w:numFmt w:val="lowerLetter"/>
      <w:lvlText w:val="%8)"/>
      <w:lvlJc w:val="left"/>
      <w:pPr>
        <w:ind w:left="3784" w:hanging="420"/>
      </w:pPr>
      <w:rPr>
        <w:rFonts w:cs="Times New Roman"/>
      </w:rPr>
    </w:lvl>
    <w:lvl w:ilvl="8" w:tentative="1">
      <w:start w:val="1"/>
      <w:numFmt w:val="lowerRoman"/>
      <w:lvlText w:val="%9."/>
      <w:lvlJc w:val="right"/>
      <w:pPr>
        <w:ind w:left="4204" w:hanging="420"/>
      </w:pPr>
      <w:rPr>
        <w:rFonts w:cs="Times New Roman"/>
      </w:rPr>
    </w:lvl>
  </w:abstractNum>
  <w:abstractNum w:abstractNumId="1637107820">
    <w:nsid w:val="6194486C"/>
    <w:multiLevelType w:val="multilevel"/>
    <w:tmpl w:val="6194486C"/>
    <w:lvl w:ilvl="0" w:tentative="1">
      <w:start w:val="1"/>
      <w:numFmt w:val="chineseCountingThousand"/>
      <w:lvlText w:val="%1"/>
      <w:lvlJc w:val="left"/>
      <w:pPr>
        <w:ind w:left="844" w:hanging="420"/>
      </w:pPr>
      <w:rPr>
        <w:rFonts w:hint="default" w:cs="Times New Roman"/>
        <w:b/>
      </w:rPr>
    </w:lvl>
    <w:lvl w:ilvl="1" w:tentative="1">
      <w:start w:val="1"/>
      <w:numFmt w:val="lowerLetter"/>
      <w:lvlText w:val="%2)"/>
      <w:lvlJc w:val="left"/>
      <w:pPr>
        <w:ind w:left="1264" w:hanging="420"/>
      </w:pPr>
      <w:rPr>
        <w:rFonts w:cs="Times New Roman"/>
      </w:rPr>
    </w:lvl>
    <w:lvl w:ilvl="2" w:tentative="1">
      <w:start w:val="1"/>
      <w:numFmt w:val="lowerRoman"/>
      <w:lvlText w:val="%3."/>
      <w:lvlJc w:val="right"/>
      <w:pPr>
        <w:ind w:left="1684" w:hanging="420"/>
      </w:pPr>
      <w:rPr>
        <w:rFonts w:cs="Times New Roman"/>
      </w:rPr>
    </w:lvl>
    <w:lvl w:ilvl="3" w:tentative="1">
      <w:start w:val="1"/>
      <w:numFmt w:val="decimal"/>
      <w:lvlText w:val="%4."/>
      <w:lvlJc w:val="left"/>
      <w:pPr>
        <w:ind w:left="2104" w:hanging="420"/>
      </w:pPr>
      <w:rPr>
        <w:rFonts w:cs="Times New Roman"/>
      </w:rPr>
    </w:lvl>
    <w:lvl w:ilvl="4" w:tentative="1">
      <w:start w:val="1"/>
      <w:numFmt w:val="lowerLetter"/>
      <w:lvlText w:val="%5)"/>
      <w:lvlJc w:val="left"/>
      <w:pPr>
        <w:ind w:left="2524" w:hanging="420"/>
      </w:pPr>
      <w:rPr>
        <w:rFonts w:cs="Times New Roman"/>
      </w:rPr>
    </w:lvl>
    <w:lvl w:ilvl="5" w:tentative="1">
      <w:start w:val="1"/>
      <w:numFmt w:val="lowerRoman"/>
      <w:lvlText w:val="%6."/>
      <w:lvlJc w:val="right"/>
      <w:pPr>
        <w:ind w:left="2944" w:hanging="420"/>
      </w:pPr>
      <w:rPr>
        <w:rFonts w:cs="Times New Roman"/>
      </w:rPr>
    </w:lvl>
    <w:lvl w:ilvl="6" w:tentative="1">
      <w:start w:val="1"/>
      <w:numFmt w:val="decimal"/>
      <w:lvlText w:val="%7."/>
      <w:lvlJc w:val="left"/>
      <w:pPr>
        <w:ind w:left="3364" w:hanging="420"/>
      </w:pPr>
      <w:rPr>
        <w:rFonts w:cs="Times New Roman"/>
      </w:rPr>
    </w:lvl>
    <w:lvl w:ilvl="7" w:tentative="1">
      <w:start w:val="1"/>
      <w:numFmt w:val="lowerLetter"/>
      <w:lvlText w:val="%8)"/>
      <w:lvlJc w:val="left"/>
      <w:pPr>
        <w:ind w:left="3784" w:hanging="420"/>
      </w:pPr>
      <w:rPr>
        <w:rFonts w:cs="Times New Roman"/>
      </w:rPr>
    </w:lvl>
    <w:lvl w:ilvl="8" w:tentative="1">
      <w:start w:val="1"/>
      <w:numFmt w:val="lowerRoman"/>
      <w:lvlText w:val="%9."/>
      <w:lvlJc w:val="right"/>
      <w:pPr>
        <w:ind w:left="4204" w:hanging="420"/>
      </w:pPr>
      <w:rPr>
        <w:rFonts w:cs="Times New Roman"/>
      </w:rPr>
    </w:lvl>
  </w:abstractNum>
  <w:abstractNum w:abstractNumId="1655602846">
    <w:nsid w:val="62AE7E9E"/>
    <w:multiLevelType w:val="multilevel"/>
    <w:tmpl w:val="62AE7E9E"/>
    <w:lvl w:ilvl="0" w:tentative="1">
      <w:start w:val="1"/>
      <w:numFmt w:val="chineseCountingThousand"/>
      <w:lvlText w:val="%1"/>
      <w:lvlJc w:val="left"/>
      <w:pPr>
        <w:ind w:left="844" w:hanging="420"/>
      </w:pPr>
      <w:rPr>
        <w:rFonts w:hint="default" w:cs="Times New Roman"/>
        <w:b/>
      </w:rPr>
    </w:lvl>
    <w:lvl w:ilvl="1" w:tentative="1">
      <w:start w:val="1"/>
      <w:numFmt w:val="lowerLetter"/>
      <w:lvlText w:val="%2)"/>
      <w:lvlJc w:val="left"/>
      <w:pPr>
        <w:ind w:left="1264" w:hanging="420"/>
      </w:pPr>
      <w:rPr>
        <w:rFonts w:cs="Times New Roman"/>
      </w:rPr>
    </w:lvl>
    <w:lvl w:ilvl="2" w:tentative="1">
      <w:start w:val="1"/>
      <w:numFmt w:val="lowerRoman"/>
      <w:lvlText w:val="%3."/>
      <w:lvlJc w:val="right"/>
      <w:pPr>
        <w:ind w:left="1684" w:hanging="420"/>
      </w:pPr>
      <w:rPr>
        <w:rFonts w:cs="Times New Roman"/>
      </w:rPr>
    </w:lvl>
    <w:lvl w:ilvl="3" w:tentative="1">
      <w:start w:val="1"/>
      <w:numFmt w:val="decimal"/>
      <w:lvlText w:val="%4."/>
      <w:lvlJc w:val="left"/>
      <w:pPr>
        <w:ind w:left="2104" w:hanging="420"/>
      </w:pPr>
      <w:rPr>
        <w:rFonts w:cs="Times New Roman"/>
      </w:rPr>
    </w:lvl>
    <w:lvl w:ilvl="4" w:tentative="1">
      <w:start w:val="1"/>
      <w:numFmt w:val="lowerLetter"/>
      <w:lvlText w:val="%5)"/>
      <w:lvlJc w:val="left"/>
      <w:pPr>
        <w:ind w:left="2524" w:hanging="420"/>
      </w:pPr>
      <w:rPr>
        <w:rFonts w:cs="Times New Roman"/>
      </w:rPr>
    </w:lvl>
    <w:lvl w:ilvl="5" w:tentative="1">
      <w:start w:val="1"/>
      <w:numFmt w:val="lowerRoman"/>
      <w:lvlText w:val="%6."/>
      <w:lvlJc w:val="right"/>
      <w:pPr>
        <w:ind w:left="2944" w:hanging="420"/>
      </w:pPr>
      <w:rPr>
        <w:rFonts w:cs="Times New Roman"/>
      </w:rPr>
    </w:lvl>
    <w:lvl w:ilvl="6" w:tentative="1">
      <w:start w:val="1"/>
      <w:numFmt w:val="decimal"/>
      <w:lvlText w:val="%7."/>
      <w:lvlJc w:val="left"/>
      <w:pPr>
        <w:ind w:left="3364" w:hanging="420"/>
      </w:pPr>
      <w:rPr>
        <w:rFonts w:cs="Times New Roman"/>
      </w:rPr>
    </w:lvl>
    <w:lvl w:ilvl="7" w:tentative="1">
      <w:start w:val="1"/>
      <w:numFmt w:val="lowerLetter"/>
      <w:lvlText w:val="%8)"/>
      <w:lvlJc w:val="left"/>
      <w:pPr>
        <w:ind w:left="3784" w:hanging="420"/>
      </w:pPr>
      <w:rPr>
        <w:rFonts w:cs="Times New Roman"/>
      </w:rPr>
    </w:lvl>
    <w:lvl w:ilvl="8" w:tentative="1">
      <w:start w:val="1"/>
      <w:numFmt w:val="lowerRoman"/>
      <w:lvlText w:val="%9."/>
      <w:lvlJc w:val="right"/>
      <w:pPr>
        <w:ind w:left="4204" w:hanging="420"/>
      </w:pPr>
      <w:rPr>
        <w:rFonts w:cs="Times New Roman"/>
      </w:rPr>
    </w:lvl>
  </w:abstractNum>
  <w:abstractNum w:abstractNumId="1871454571">
    <w:nsid w:val="6F8C216B"/>
    <w:multiLevelType w:val="multilevel"/>
    <w:tmpl w:val="6F8C216B"/>
    <w:lvl w:ilvl="0" w:tentative="1">
      <w:start w:val="1"/>
      <w:numFmt w:val="chineseCountingThousand"/>
      <w:lvlText w:val="（%1）"/>
      <w:lvlJc w:val="left"/>
      <w:pPr>
        <w:ind w:left="648" w:hanging="364"/>
      </w:pPr>
      <w:rPr>
        <w:rFonts w:hint="eastAsia" w:cs="Times New Roman"/>
      </w:rPr>
    </w:lvl>
    <w:lvl w:ilvl="1" w:tentative="1">
      <w:start w:val="1"/>
      <w:numFmt w:val="lowerLetter"/>
      <w:lvlText w:val="%2)"/>
      <w:lvlJc w:val="left"/>
      <w:pPr>
        <w:ind w:left="868" w:hanging="420"/>
      </w:pPr>
      <w:rPr>
        <w:rFonts w:cs="Times New Roman"/>
      </w:rPr>
    </w:lvl>
    <w:lvl w:ilvl="2" w:tentative="1">
      <w:start w:val="1"/>
      <w:numFmt w:val="lowerRoman"/>
      <w:lvlText w:val="%3."/>
      <w:lvlJc w:val="right"/>
      <w:pPr>
        <w:ind w:left="1288" w:hanging="420"/>
      </w:pPr>
      <w:rPr>
        <w:rFonts w:cs="Times New Roman"/>
      </w:rPr>
    </w:lvl>
    <w:lvl w:ilvl="3" w:tentative="1">
      <w:start w:val="1"/>
      <w:numFmt w:val="decimal"/>
      <w:lvlText w:val="%4."/>
      <w:lvlJc w:val="left"/>
      <w:pPr>
        <w:ind w:left="1708" w:hanging="420"/>
      </w:pPr>
      <w:rPr>
        <w:rFonts w:cs="Times New Roman"/>
      </w:rPr>
    </w:lvl>
    <w:lvl w:ilvl="4" w:tentative="1">
      <w:start w:val="1"/>
      <w:numFmt w:val="lowerLetter"/>
      <w:lvlText w:val="%5)"/>
      <w:lvlJc w:val="left"/>
      <w:pPr>
        <w:ind w:left="2128" w:hanging="420"/>
      </w:pPr>
      <w:rPr>
        <w:rFonts w:cs="Times New Roman"/>
      </w:rPr>
    </w:lvl>
    <w:lvl w:ilvl="5" w:tentative="1">
      <w:start w:val="1"/>
      <w:numFmt w:val="lowerRoman"/>
      <w:lvlText w:val="%6."/>
      <w:lvlJc w:val="right"/>
      <w:pPr>
        <w:ind w:left="2548" w:hanging="420"/>
      </w:pPr>
      <w:rPr>
        <w:rFonts w:cs="Times New Roman"/>
      </w:rPr>
    </w:lvl>
    <w:lvl w:ilvl="6" w:tentative="1">
      <w:start w:val="1"/>
      <w:numFmt w:val="decimal"/>
      <w:lvlText w:val="%7."/>
      <w:lvlJc w:val="left"/>
      <w:pPr>
        <w:ind w:left="2968" w:hanging="420"/>
      </w:pPr>
      <w:rPr>
        <w:rFonts w:cs="Times New Roman"/>
      </w:rPr>
    </w:lvl>
    <w:lvl w:ilvl="7" w:tentative="1">
      <w:start w:val="1"/>
      <w:numFmt w:val="lowerLetter"/>
      <w:lvlText w:val="%8)"/>
      <w:lvlJc w:val="left"/>
      <w:pPr>
        <w:ind w:left="3388" w:hanging="420"/>
      </w:pPr>
      <w:rPr>
        <w:rFonts w:cs="Times New Roman"/>
      </w:rPr>
    </w:lvl>
    <w:lvl w:ilvl="8" w:tentative="1">
      <w:start w:val="1"/>
      <w:numFmt w:val="lowerRoman"/>
      <w:lvlText w:val="%9."/>
      <w:lvlJc w:val="right"/>
      <w:pPr>
        <w:ind w:left="3808" w:hanging="420"/>
      </w:pPr>
      <w:rPr>
        <w:rFonts w:cs="Times New Roman"/>
      </w:rPr>
    </w:lvl>
  </w:abstractNum>
  <w:abstractNum w:abstractNumId="1930305729">
    <w:nsid w:val="730E20C1"/>
    <w:multiLevelType w:val="multilevel"/>
    <w:tmpl w:val="730E20C1"/>
    <w:lvl w:ilvl="0" w:tentative="1">
      <w:start w:val="1"/>
      <w:numFmt w:val="chineseCountingThousand"/>
      <w:lvlText w:val="%1"/>
      <w:lvlJc w:val="left"/>
      <w:pPr>
        <w:ind w:left="844" w:hanging="420"/>
      </w:pPr>
      <w:rPr>
        <w:rFonts w:hint="default" w:cs="Times New Roman"/>
        <w:b/>
      </w:rPr>
    </w:lvl>
    <w:lvl w:ilvl="1" w:tentative="1">
      <w:start w:val="1"/>
      <w:numFmt w:val="lowerLetter"/>
      <w:lvlText w:val="%2)"/>
      <w:lvlJc w:val="left"/>
      <w:pPr>
        <w:ind w:left="1264" w:hanging="420"/>
      </w:pPr>
      <w:rPr>
        <w:rFonts w:cs="Times New Roman"/>
      </w:rPr>
    </w:lvl>
    <w:lvl w:ilvl="2" w:tentative="1">
      <w:start w:val="1"/>
      <w:numFmt w:val="lowerRoman"/>
      <w:lvlText w:val="%3."/>
      <w:lvlJc w:val="right"/>
      <w:pPr>
        <w:ind w:left="1684" w:hanging="420"/>
      </w:pPr>
      <w:rPr>
        <w:rFonts w:cs="Times New Roman"/>
      </w:rPr>
    </w:lvl>
    <w:lvl w:ilvl="3" w:tentative="1">
      <w:start w:val="1"/>
      <w:numFmt w:val="decimal"/>
      <w:lvlText w:val="%4."/>
      <w:lvlJc w:val="left"/>
      <w:pPr>
        <w:ind w:left="2104" w:hanging="420"/>
      </w:pPr>
      <w:rPr>
        <w:rFonts w:cs="Times New Roman"/>
      </w:rPr>
    </w:lvl>
    <w:lvl w:ilvl="4" w:tentative="1">
      <w:start w:val="1"/>
      <w:numFmt w:val="lowerLetter"/>
      <w:lvlText w:val="%5)"/>
      <w:lvlJc w:val="left"/>
      <w:pPr>
        <w:ind w:left="2524" w:hanging="420"/>
      </w:pPr>
      <w:rPr>
        <w:rFonts w:cs="Times New Roman"/>
      </w:rPr>
    </w:lvl>
    <w:lvl w:ilvl="5" w:tentative="1">
      <w:start w:val="1"/>
      <w:numFmt w:val="lowerRoman"/>
      <w:lvlText w:val="%6."/>
      <w:lvlJc w:val="right"/>
      <w:pPr>
        <w:ind w:left="2944" w:hanging="420"/>
      </w:pPr>
      <w:rPr>
        <w:rFonts w:cs="Times New Roman"/>
      </w:rPr>
    </w:lvl>
    <w:lvl w:ilvl="6" w:tentative="1">
      <w:start w:val="1"/>
      <w:numFmt w:val="decimal"/>
      <w:lvlText w:val="%7."/>
      <w:lvlJc w:val="left"/>
      <w:pPr>
        <w:ind w:left="3364" w:hanging="420"/>
      </w:pPr>
      <w:rPr>
        <w:rFonts w:cs="Times New Roman"/>
      </w:rPr>
    </w:lvl>
    <w:lvl w:ilvl="7" w:tentative="1">
      <w:start w:val="1"/>
      <w:numFmt w:val="lowerLetter"/>
      <w:lvlText w:val="%8)"/>
      <w:lvlJc w:val="left"/>
      <w:pPr>
        <w:ind w:left="3784" w:hanging="420"/>
      </w:pPr>
      <w:rPr>
        <w:rFonts w:cs="Times New Roman"/>
      </w:rPr>
    </w:lvl>
    <w:lvl w:ilvl="8" w:tentative="1">
      <w:start w:val="1"/>
      <w:numFmt w:val="lowerRoman"/>
      <w:lvlText w:val="%9."/>
      <w:lvlJc w:val="right"/>
      <w:pPr>
        <w:ind w:left="4204" w:hanging="420"/>
      </w:pPr>
      <w:rPr>
        <w:rFonts w:cs="Times New Roman"/>
      </w:rPr>
    </w:lvl>
  </w:abstractNum>
  <w:abstractNum w:abstractNumId="2067025134">
    <w:nsid w:val="7B344CEE"/>
    <w:multiLevelType w:val="multilevel"/>
    <w:tmpl w:val="7B344CEE"/>
    <w:lvl w:ilvl="0" w:tentative="1">
      <w:start w:val="1"/>
      <w:numFmt w:val="decimal"/>
      <w:lvlText w:val="%1."/>
      <w:lvlJc w:val="left"/>
      <w:pPr>
        <w:ind w:left="844" w:hanging="420"/>
      </w:pPr>
      <w:rPr>
        <w:rFonts w:cs="Times New Roman"/>
        <w:b w:val="0"/>
        <w:sz w:val="21"/>
        <w:szCs w:val="21"/>
      </w:rPr>
    </w:lvl>
    <w:lvl w:ilvl="1" w:tentative="1">
      <w:start w:val="1"/>
      <w:numFmt w:val="lowerLetter"/>
      <w:lvlText w:val="%2)"/>
      <w:lvlJc w:val="left"/>
      <w:pPr>
        <w:ind w:left="1264" w:hanging="420"/>
      </w:pPr>
      <w:rPr>
        <w:rFonts w:cs="Times New Roman"/>
      </w:rPr>
    </w:lvl>
    <w:lvl w:ilvl="2" w:tentative="1">
      <w:start w:val="1"/>
      <w:numFmt w:val="lowerRoman"/>
      <w:lvlText w:val="%3."/>
      <w:lvlJc w:val="right"/>
      <w:pPr>
        <w:ind w:left="1684" w:hanging="420"/>
      </w:pPr>
      <w:rPr>
        <w:rFonts w:cs="Times New Roman"/>
      </w:rPr>
    </w:lvl>
    <w:lvl w:ilvl="3" w:tentative="1">
      <w:start w:val="1"/>
      <w:numFmt w:val="decimal"/>
      <w:lvlText w:val="%4."/>
      <w:lvlJc w:val="left"/>
      <w:pPr>
        <w:ind w:left="2104" w:hanging="420"/>
      </w:pPr>
      <w:rPr>
        <w:rFonts w:cs="Times New Roman"/>
      </w:rPr>
    </w:lvl>
    <w:lvl w:ilvl="4" w:tentative="1">
      <w:start w:val="1"/>
      <w:numFmt w:val="lowerLetter"/>
      <w:lvlText w:val="%5)"/>
      <w:lvlJc w:val="left"/>
      <w:pPr>
        <w:ind w:left="2524" w:hanging="420"/>
      </w:pPr>
      <w:rPr>
        <w:rFonts w:cs="Times New Roman"/>
      </w:rPr>
    </w:lvl>
    <w:lvl w:ilvl="5" w:tentative="1">
      <w:start w:val="1"/>
      <w:numFmt w:val="lowerRoman"/>
      <w:lvlText w:val="%6."/>
      <w:lvlJc w:val="right"/>
      <w:pPr>
        <w:ind w:left="2944" w:hanging="420"/>
      </w:pPr>
      <w:rPr>
        <w:rFonts w:cs="Times New Roman"/>
      </w:rPr>
    </w:lvl>
    <w:lvl w:ilvl="6" w:tentative="1">
      <w:start w:val="1"/>
      <w:numFmt w:val="decimal"/>
      <w:lvlText w:val="%7."/>
      <w:lvlJc w:val="left"/>
      <w:pPr>
        <w:ind w:left="3364" w:hanging="420"/>
      </w:pPr>
      <w:rPr>
        <w:rFonts w:cs="Times New Roman"/>
      </w:rPr>
    </w:lvl>
    <w:lvl w:ilvl="7" w:tentative="1">
      <w:start w:val="1"/>
      <w:numFmt w:val="lowerLetter"/>
      <w:lvlText w:val="%8)"/>
      <w:lvlJc w:val="left"/>
      <w:pPr>
        <w:ind w:left="3784" w:hanging="420"/>
      </w:pPr>
      <w:rPr>
        <w:rFonts w:cs="Times New Roman"/>
      </w:rPr>
    </w:lvl>
    <w:lvl w:ilvl="8" w:tentative="1">
      <w:start w:val="1"/>
      <w:numFmt w:val="lowerRoman"/>
      <w:lvlText w:val="%9."/>
      <w:lvlJc w:val="right"/>
      <w:pPr>
        <w:ind w:left="4204" w:hanging="420"/>
      </w:pPr>
      <w:rPr>
        <w:rFonts w:cs="Times New Roman"/>
      </w:rPr>
    </w:lvl>
  </w:abstractNum>
  <w:abstractNum w:abstractNumId="2085642508">
    <w:nsid w:val="7C50610C"/>
    <w:multiLevelType w:val="multilevel"/>
    <w:tmpl w:val="7C50610C"/>
    <w:lvl w:ilvl="0" w:tentative="1">
      <w:start w:val="1"/>
      <w:numFmt w:val="decimal"/>
      <w:lvlText w:val="%1."/>
      <w:lvlJc w:val="left"/>
      <w:pPr>
        <w:ind w:left="844" w:hanging="420"/>
      </w:pPr>
      <w:rPr>
        <w:rFonts w:cs="Times New Roman"/>
        <w:b w:val="0"/>
        <w:sz w:val="21"/>
        <w:szCs w:val="21"/>
      </w:rPr>
    </w:lvl>
    <w:lvl w:ilvl="1" w:tentative="1">
      <w:start w:val="1"/>
      <w:numFmt w:val="lowerLetter"/>
      <w:lvlText w:val="%2)"/>
      <w:lvlJc w:val="left"/>
      <w:pPr>
        <w:ind w:left="1264" w:hanging="420"/>
      </w:pPr>
      <w:rPr>
        <w:rFonts w:cs="Times New Roman"/>
      </w:rPr>
    </w:lvl>
    <w:lvl w:ilvl="2" w:tentative="1">
      <w:start w:val="1"/>
      <w:numFmt w:val="lowerRoman"/>
      <w:lvlText w:val="%3."/>
      <w:lvlJc w:val="right"/>
      <w:pPr>
        <w:ind w:left="1684" w:hanging="420"/>
      </w:pPr>
      <w:rPr>
        <w:rFonts w:cs="Times New Roman"/>
      </w:rPr>
    </w:lvl>
    <w:lvl w:ilvl="3" w:tentative="1">
      <w:start w:val="1"/>
      <w:numFmt w:val="decimal"/>
      <w:lvlText w:val="%4."/>
      <w:lvlJc w:val="left"/>
      <w:pPr>
        <w:ind w:left="2104" w:hanging="420"/>
      </w:pPr>
      <w:rPr>
        <w:rFonts w:cs="Times New Roman"/>
      </w:rPr>
    </w:lvl>
    <w:lvl w:ilvl="4" w:tentative="1">
      <w:start w:val="1"/>
      <w:numFmt w:val="lowerLetter"/>
      <w:lvlText w:val="%5)"/>
      <w:lvlJc w:val="left"/>
      <w:pPr>
        <w:ind w:left="2524" w:hanging="420"/>
      </w:pPr>
      <w:rPr>
        <w:rFonts w:cs="Times New Roman"/>
      </w:rPr>
    </w:lvl>
    <w:lvl w:ilvl="5" w:tentative="1">
      <w:start w:val="1"/>
      <w:numFmt w:val="lowerRoman"/>
      <w:lvlText w:val="%6."/>
      <w:lvlJc w:val="right"/>
      <w:pPr>
        <w:ind w:left="2944" w:hanging="420"/>
      </w:pPr>
      <w:rPr>
        <w:rFonts w:cs="Times New Roman"/>
      </w:rPr>
    </w:lvl>
    <w:lvl w:ilvl="6" w:tentative="1">
      <w:start w:val="1"/>
      <w:numFmt w:val="decimal"/>
      <w:lvlText w:val="%7."/>
      <w:lvlJc w:val="left"/>
      <w:pPr>
        <w:ind w:left="3364" w:hanging="420"/>
      </w:pPr>
      <w:rPr>
        <w:rFonts w:cs="Times New Roman"/>
      </w:rPr>
    </w:lvl>
    <w:lvl w:ilvl="7" w:tentative="1">
      <w:start w:val="1"/>
      <w:numFmt w:val="lowerLetter"/>
      <w:lvlText w:val="%8)"/>
      <w:lvlJc w:val="left"/>
      <w:pPr>
        <w:ind w:left="3784" w:hanging="420"/>
      </w:pPr>
      <w:rPr>
        <w:rFonts w:cs="Times New Roman"/>
      </w:rPr>
    </w:lvl>
    <w:lvl w:ilvl="8" w:tentative="1">
      <w:start w:val="1"/>
      <w:numFmt w:val="lowerRoman"/>
      <w:lvlText w:val="%9."/>
      <w:lvlJc w:val="right"/>
      <w:pPr>
        <w:ind w:left="4204" w:hanging="420"/>
      </w:pPr>
      <w:rPr>
        <w:rFonts w:cs="Times New Roman"/>
      </w:rPr>
    </w:lvl>
  </w:abstractNum>
  <w:abstractNum w:abstractNumId="2106881702">
    <w:nsid w:val="7D9476A6"/>
    <w:multiLevelType w:val="multilevel"/>
    <w:tmpl w:val="7D9476A6"/>
    <w:lvl w:ilvl="0" w:tentative="1">
      <w:start w:val="1"/>
      <w:numFmt w:val="decimal"/>
      <w:lvlText w:val="%1."/>
      <w:lvlJc w:val="left"/>
      <w:pPr>
        <w:ind w:left="844" w:hanging="420"/>
      </w:pPr>
      <w:rPr>
        <w:rFonts w:cs="Times New Roman"/>
      </w:rPr>
    </w:lvl>
    <w:lvl w:ilvl="1" w:tentative="1">
      <w:start w:val="1"/>
      <w:numFmt w:val="lowerLetter"/>
      <w:lvlText w:val="%2)"/>
      <w:lvlJc w:val="left"/>
      <w:pPr>
        <w:ind w:left="1264" w:hanging="420"/>
      </w:pPr>
      <w:rPr>
        <w:rFonts w:cs="Times New Roman"/>
      </w:rPr>
    </w:lvl>
    <w:lvl w:ilvl="2" w:tentative="1">
      <w:start w:val="1"/>
      <w:numFmt w:val="lowerRoman"/>
      <w:lvlText w:val="%3."/>
      <w:lvlJc w:val="right"/>
      <w:pPr>
        <w:ind w:left="1684" w:hanging="420"/>
      </w:pPr>
      <w:rPr>
        <w:rFonts w:cs="Times New Roman"/>
      </w:rPr>
    </w:lvl>
    <w:lvl w:ilvl="3" w:tentative="1">
      <w:start w:val="1"/>
      <w:numFmt w:val="decimal"/>
      <w:lvlText w:val="%4."/>
      <w:lvlJc w:val="left"/>
      <w:pPr>
        <w:ind w:left="2104" w:hanging="420"/>
      </w:pPr>
      <w:rPr>
        <w:rFonts w:cs="Times New Roman"/>
      </w:rPr>
    </w:lvl>
    <w:lvl w:ilvl="4" w:tentative="1">
      <w:start w:val="1"/>
      <w:numFmt w:val="lowerLetter"/>
      <w:lvlText w:val="%5)"/>
      <w:lvlJc w:val="left"/>
      <w:pPr>
        <w:ind w:left="2524" w:hanging="420"/>
      </w:pPr>
      <w:rPr>
        <w:rFonts w:cs="Times New Roman"/>
      </w:rPr>
    </w:lvl>
    <w:lvl w:ilvl="5" w:tentative="1">
      <w:start w:val="1"/>
      <w:numFmt w:val="lowerRoman"/>
      <w:lvlText w:val="%6."/>
      <w:lvlJc w:val="right"/>
      <w:pPr>
        <w:ind w:left="2944" w:hanging="420"/>
      </w:pPr>
      <w:rPr>
        <w:rFonts w:cs="Times New Roman"/>
      </w:rPr>
    </w:lvl>
    <w:lvl w:ilvl="6" w:tentative="1">
      <w:start w:val="1"/>
      <w:numFmt w:val="decimal"/>
      <w:lvlText w:val="%7."/>
      <w:lvlJc w:val="left"/>
      <w:pPr>
        <w:ind w:left="3364" w:hanging="420"/>
      </w:pPr>
      <w:rPr>
        <w:rFonts w:cs="Times New Roman"/>
      </w:rPr>
    </w:lvl>
    <w:lvl w:ilvl="7" w:tentative="1">
      <w:start w:val="1"/>
      <w:numFmt w:val="lowerLetter"/>
      <w:lvlText w:val="%8)"/>
      <w:lvlJc w:val="left"/>
      <w:pPr>
        <w:ind w:left="3784" w:hanging="420"/>
      </w:pPr>
      <w:rPr>
        <w:rFonts w:cs="Times New Roman"/>
      </w:rPr>
    </w:lvl>
    <w:lvl w:ilvl="8" w:tentative="1">
      <w:start w:val="1"/>
      <w:numFmt w:val="lowerRoman"/>
      <w:lvlText w:val="%9."/>
      <w:lvlJc w:val="right"/>
      <w:pPr>
        <w:ind w:left="4204" w:hanging="420"/>
      </w:pPr>
      <w:rPr>
        <w:rFonts w:cs="Times New Roman"/>
      </w:rPr>
    </w:lvl>
  </w:abstractNum>
  <w:num w:numId="1">
    <w:abstractNumId w:val="274856212"/>
  </w:num>
  <w:num w:numId="2">
    <w:abstractNumId w:val="3"/>
    <w:lvlOverride w:ilvl="0">
      <w:startOverride w:val="1"/>
    </w:lvlOverride>
  </w:num>
  <w:num w:numId="3">
    <w:abstractNumId w:val="2"/>
  </w:num>
  <w:num w:numId="4">
    <w:abstractNumId w:val="200092229"/>
  </w:num>
  <w:num w:numId="5">
    <w:abstractNumId w:val="763460013"/>
  </w:num>
  <w:num w:numId="6">
    <w:abstractNumId w:val="951471914"/>
  </w:num>
  <w:num w:numId="7">
    <w:abstractNumId w:val="1297250894"/>
  </w:num>
  <w:num w:numId="8">
    <w:abstractNumId w:val="261376123"/>
  </w:num>
  <w:num w:numId="9">
    <w:abstractNumId w:val="199318632"/>
  </w:num>
  <w:num w:numId="10">
    <w:abstractNumId w:val="1159611045"/>
  </w:num>
  <w:num w:numId="11">
    <w:abstractNumId w:val="59057836"/>
  </w:num>
  <w:num w:numId="12">
    <w:abstractNumId w:val="1018851757"/>
  </w:num>
  <w:num w:numId="13">
    <w:abstractNumId w:val="846940997"/>
  </w:num>
  <w:num w:numId="14">
    <w:abstractNumId w:val="871694977"/>
  </w:num>
  <w:num w:numId="15">
    <w:abstractNumId w:val="149443961"/>
  </w:num>
  <w:num w:numId="16">
    <w:abstractNumId w:val="1218008514"/>
  </w:num>
  <w:num w:numId="17">
    <w:abstractNumId w:val="95489763"/>
  </w:num>
  <w:num w:numId="18">
    <w:abstractNumId w:val="902449453"/>
  </w:num>
  <w:num w:numId="19">
    <w:abstractNumId w:val="1374889661"/>
  </w:num>
  <w:num w:numId="20">
    <w:abstractNumId w:val="750001793"/>
  </w:num>
  <w:num w:numId="21">
    <w:abstractNumId w:val="834758281"/>
  </w:num>
  <w:num w:numId="22">
    <w:abstractNumId w:val="846359687"/>
  </w:num>
  <w:num w:numId="23">
    <w:abstractNumId w:val="1599559050"/>
  </w:num>
  <w:num w:numId="24">
    <w:abstractNumId w:val="474680809"/>
  </w:num>
  <w:num w:numId="25">
    <w:abstractNumId w:val="400831688"/>
  </w:num>
  <w:num w:numId="26">
    <w:abstractNumId w:val="1930305729"/>
  </w:num>
  <w:num w:numId="27">
    <w:abstractNumId w:val="2085642508"/>
  </w:num>
  <w:num w:numId="28">
    <w:abstractNumId w:val="1062678363"/>
  </w:num>
  <w:num w:numId="29">
    <w:abstractNumId w:val="2067025134"/>
  </w:num>
  <w:num w:numId="30">
    <w:abstractNumId w:val="1637107820"/>
  </w:num>
  <w:num w:numId="31">
    <w:abstractNumId w:val="570310184"/>
  </w:num>
  <w:num w:numId="32">
    <w:abstractNumId w:val="884409946"/>
  </w:num>
  <w:num w:numId="33">
    <w:abstractNumId w:val="548608567"/>
  </w:num>
  <w:num w:numId="34">
    <w:abstractNumId w:val="2106881702"/>
  </w:num>
  <w:num w:numId="35">
    <w:abstractNumId w:val="719671043"/>
  </w:num>
  <w:num w:numId="36">
    <w:abstractNumId w:val="1655602846"/>
  </w:num>
  <w:num w:numId="37">
    <w:abstractNumId w:val="871764331"/>
  </w:num>
  <w:num w:numId="38">
    <w:abstractNumId w:val="187145457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284B9D"/>
    <w:rsid w:val="00006A7E"/>
    <w:rsid w:val="0001006E"/>
    <w:rsid w:val="00014934"/>
    <w:rsid w:val="00022804"/>
    <w:rsid w:val="00024443"/>
    <w:rsid w:val="00025A14"/>
    <w:rsid w:val="000262A7"/>
    <w:rsid w:val="00026A5E"/>
    <w:rsid w:val="0004003F"/>
    <w:rsid w:val="00044B0E"/>
    <w:rsid w:val="0004536E"/>
    <w:rsid w:val="00045EFE"/>
    <w:rsid w:val="00047BCF"/>
    <w:rsid w:val="0005335C"/>
    <w:rsid w:val="0005353B"/>
    <w:rsid w:val="00056C1C"/>
    <w:rsid w:val="00067847"/>
    <w:rsid w:val="00070DE0"/>
    <w:rsid w:val="000724B5"/>
    <w:rsid w:val="00076F99"/>
    <w:rsid w:val="00077540"/>
    <w:rsid w:val="00077E40"/>
    <w:rsid w:val="0008083D"/>
    <w:rsid w:val="00082D22"/>
    <w:rsid w:val="00091BDF"/>
    <w:rsid w:val="0009328B"/>
    <w:rsid w:val="000A19C3"/>
    <w:rsid w:val="000A29F2"/>
    <w:rsid w:val="000A4361"/>
    <w:rsid w:val="000A62BC"/>
    <w:rsid w:val="000A74E2"/>
    <w:rsid w:val="000B0C5F"/>
    <w:rsid w:val="000B2158"/>
    <w:rsid w:val="000B243D"/>
    <w:rsid w:val="000B4668"/>
    <w:rsid w:val="000B5A43"/>
    <w:rsid w:val="000B64F6"/>
    <w:rsid w:val="000C0806"/>
    <w:rsid w:val="000C38D6"/>
    <w:rsid w:val="000C4651"/>
    <w:rsid w:val="000C4D8A"/>
    <w:rsid w:val="000C5E61"/>
    <w:rsid w:val="000D1FEC"/>
    <w:rsid w:val="000D2578"/>
    <w:rsid w:val="000D25D0"/>
    <w:rsid w:val="000D41E0"/>
    <w:rsid w:val="000D55AF"/>
    <w:rsid w:val="000D6A78"/>
    <w:rsid w:val="000D7E2E"/>
    <w:rsid w:val="000E27E4"/>
    <w:rsid w:val="000E2B79"/>
    <w:rsid w:val="000E5602"/>
    <w:rsid w:val="000E5EF4"/>
    <w:rsid w:val="000F168E"/>
    <w:rsid w:val="000F33C7"/>
    <w:rsid w:val="000F7A7E"/>
    <w:rsid w:val="0010004F"/>
    <w:rsid w:val="00107A4F"/>
    <w:rsid w:val="00110728"/>
    <w:rsid w:val="00111102"/>
    <w:rsid w:val="00115864"/>
    <w:rsid w:val="0012060A"/>
    <w:rsid w:val="00122D2C"/>
    <w:rsid w:val="001251C7"/>
    <w:rsid w:val="001261CB"/>
    <w:rsid w:val="00126C4B"/>
    <w:rsid w:val="0012712F"/>
    <w:rsid w:val="001279D2"/>
    <w:rsid w:val="00132091"/>
    <w:rsid w:val="00133530"/>
    <w:rsid w:val="001344E6"/>
    <w:rsid w:val="00136BA7"/>
    <w:rsid w:val="001449EC"/>
    <w:rsid w:val="00152510"/>
    <w:rsid w:val="00153A4C"/>
    <w:rsid w:val="0015464C"/>
    <w:rsid w:val="00155C6A"/>
    <w:rsid w:val="00156DFA"/>
    <w:rsid w:val="001604BE"/>
    <w:rsid w:val="00160783"/>
    <w:rsid w:val="00162854"/>
    <w:rsid w:val="001642AD"/>
    <w:rsid w:val="00164558"/>
    <w:rsid w:val="00166B15"/>
    <w:rsid w:val="00170993"/>
    <w:rsid w:val="00173DA9"/>
    <w:rsid w:val="00174BBF"/>
    <w:rsid w:val="001940A6"/>
    <w:rsid w:val="00194CBF"/>
    <w:rsid w:val="001A2075"/>
    <w:rsid w:val="001A209B"/>
    <w:rsid w:val="001A4E0A"/>
    <w:rsid w:val="001B33F3"/>
    <w:rsid w:val="001B683E"/>
    <w:rsid w:val="001B7174"/>
    <w:rsid w:val="001C02B3"/>
    <w:rsid w:val="001C1439"/>
    <w:rsid w:val="001C2EE9"/>
    <w:rsid w:val="001C5617"/>
    <w:rsid w:val="001C5DF2"/>
    <w:rsid w:val="001C6FA6"/>
    <w:rsid w:val="001D0491"/>
    <w:rsid w:val="001D078F"/>
    <w:rsid w:val="001D6DD4"/>
    <w:rsid w:val="001E0A21"/>
    <w:rsid w:val="001E2500"/>
    <w:rsid w:val="001E63BA"/>
    <w:rsid w:val="001E6612"/>
    <w:rsid w:val="001F1B30"/>
    <w:rsid w:val="001F3923"/>
    <w:rsid w:val="001F5434"/>
    <w:rsid w:val="001F5AAD"/>
    <w:rsid w:val="00203F43"/>
    <w:rsid w:val="00206FEB"/>
    <w:rsid w:val="00216C5A"/>
    <w:rsid w:val="002218B5"/>
    <w:rsid w:val="00224423"/>
    <w:rsid w:val="00225DB3"/>
    <w:rsid w:val="00226291"/>
    <w:rsid w:val="00227847"/>
    <w:rsid w:val="00231295"/>
    <w:rsid w:val="00231978"/>
    <w:rsid w:val="002326B4"/>
    <w:rsid w:val="00240822"/>
    <w:rsid w:val="00240C72"/>
    <w:rsid w:val="00242C05"/>
    <w:rsid w:val="00244AB1"/>
    <w:rsid w:val="00244D2F"/>
    <w:rsid w:val="00246A3A"/>
    <w:rsid w:val="00250025"/>
    <w:rsid w:val="0025310D"/>
    <w:rsid w:val="00254CE1"/>
    <w:rsid w:val="00255B3C"/>
    <w:rsid w:val="00263B3D"/>
    <w:rsid w:val="00264C9A"/>
    <w:rsid w:val="00267AC2"/>
    <w:rsid w:val="002730E3"/>
    <w:rsid w:val="0027367B"/>
    <w:rsid w:val="00274ED1"/>
    <w:rsid w:val="00284312"/>
    <w:rsid w:val="00284B9D"/>
    <w:rsid w:val="002865A8"/>
    <w:rsid w:val="00287400"/>
    <w:rsid w:val="002918C8"/>
    <w:rsid w:val="00291907"/>
    <w:rsid w:val="002A0AB5"/>
    <w:rsid w:val="002A2118"/>
    <w:rsid w:val="002A3769"/>
    <w:rsid w:val="002A5E3C"/>
    <w:rsid w:val="002A7914"/>
    <w:rsid w:val="002B3C80"/>
    <w:rsid w:val="002B7549"/>
    <w:rsid w:val="002C26C5"/>
    <w:rsid w:val="002C2940"/>
    <w:rsid w:val="002C57FE"/>
    <w:rsid w:val="002D0D29"/>
    <w:rsid w:val="002D13EF"/>
    <w:rsid w:val="002D262B"/>
    <w:rsid w:val="002D3804"/>
    <w:rsid w:val="002D5BA7"/>
    <w:rsid w:val="002D5F51"/>
    <w:rsid w:val="002E2C1C"/>
    <w:rsid w:val="002F1655"/>
    <w:rsid w:val="002F43B1"/>
    <w:rsid w:val="003011D5"/>
    <w:rsid w:val="00306D6E"/>
    <w:rsid w:val="003146DB"/>
    <w:rsid w:val="00315BD8"/>
    <w:rsid w:val="003163BA"/>
    <w:rsid w:val="00322C11"/>
    <w:rsid w:val="00323098"/>
    <w:rsid w:val="003232CF"/>
    <w:rsid w:val="00323832"/>
    <w:rsid w:val="003258F7"/>
    <w:rsid w:val="00334550"/>
    <w:rsid w:val="00335F47"/>
    <w:rsid w:val="00337C63"/>
    <w:rsid w:val="00342869"/>
    <w:rsid w:val="00342FE4"/>
    <w:rsid w:val="00345DFC"/>
    <w:rsid w:val="00345FF5"/>
    <w:rsid w:val="003513DC"/>
    <w:rsid w:val="00351D96"/>
    <w:rsid w:val="00353380"/>
    <w:rsid w:val="00353CDD"/>
    <w:rsid w:val="00356A7F"/>
    <w:rsid w:val="00362B13"/>
    <w:rsid w:val="00364420"/>
    <w:rsid w:val="00365B79"/>
    <w:rsid w:val="00365EDC"/>
    <w:rsid w:val="00370E8C"/>
    <w:rsid w:val="00372CA8"/>
    <w:rsid w:val="003742BE"/>
    <w:rsid w:val="00374325"/>
    <w:rsid w:val="00374A3A"/>
    <w:rsid w:val="00380E72"/>
    <w:rsid w:val="00381425"/>
    <w:rsid w:val="003849BD"/>
    <w:rsid w:val="00387422"/>
    <w:rsid w:val="003901E7"/>
    <w:rsid w:val="00396495"/>
    <w:rsid w:val="0039670B"/>
    <w:rsid w:val="003A17A7"/>
    <w:rsid w:val="003A1DEF"/>
    <w:rsid w:val="003B21AC"/>
    <w:rsid w:val="003B3548"/>
    <w:rsid w:val="003B4FA2"/>
    <w:rsid w:val="003B6962"/>
    <w:rsid w:val="003C26BD"/>
    <w:rsid w:val="003C7A55"/>
    <w:rsid w:val="003D0535"/>
    <w:rsid w:val="003D0EE0"/>
    <w:rsid w:val="003D1E3A"/>
    <w:rsid w:val="003D4840"/>
    <w:rsid w:val="003D6CC3"/>
    <w:rsid w:val="003E4804"/>
    <w:rsid w:val="003E766A"/>
    <w:rsid w:val="003E7D5D"/>
    <w:rsid w:val="003F02ED"/>
    <w:rsid w:val="003F5E5F"/>
    <w:rsid w:val="004017C3"/>
    <w:rsid w:val="00405EEB"/>
    <w:rsid w:val="00411609"/>
    <w:rsid w:val="0041294F"/>
    <w:rsid w:val="00413948"/>
    <w:rsid w:val="004177D8"/>
    <w:rsid w:val="00420D7B"/>
    <w:rsid w:val="00421802"/>
    <w:rsid w:val="004219E8"/>
    <w:rsid w:val="00423979"/>
    <w:rsid w:val="0042519B"/>
    <w:rsid w:val="00426D87"/>
    <w:rsid w:val="00435B6B"/>
    <w:rsid w:val="0044394C"/>
    <w:rsid w:val="00444321"/>
    <w:rsid w:val="00446AB7"/>
    <w:rsid w:val="0045026A"/>
    <w:rsid w:val="00451443"/>
    <w:rsid w:val="0045238F"/>
    <w:rsid w:val="00452795"/>
    <w:rsid w:val="00453499"/>
    <w:rsid w:val="00453C9F"/>
    <w:rsid w:val="00453CC3"/>
    <w:rsid w:val="0046262C"/>
    <w:rsid w:val="00463245"/>
    <w:rsid w:val="00465C3B"/>
    <w:rsid w:val="00476704"/>
    <w:rsid w:val="00486355"/>
    <w:rsid w:val="00486E4D"/>
    <w:rsid w:val="0049576C"/>
    <w:rsid w:val="00497CD5"/>
    <w:rsid w:val="004A3BF1"/>
    <w:rsid w:val="004A59FF"/>
    <w:rsid w:val="004A5B24"/>
    <w:rsid w:val="004A7D73"/>
    <w:rsid w:val="004B19EE"/>
    <w:rsid w:val="004B53AA"/>
    <w:rsid w:val="004B540C"/>
    <w:rsid w:val="004C0165"/>
    <w:rsid w:val="004C7741"/>
    <w:rsid w:val="004C7B85"/>
    <w:rsid w:val="004D296F"/>
    <w:rsid w:val="004D33ED"/>
    <w:rsid w:val="004D4CA7"/>
    <w:rsid w:val="004D55D0"/>
    <w:rsid w:val="004D5A90"/>
    <w:rsid w:val="004D5ADE"/>
    <w:rsid w:val="004D6624"/>
    <w:rsid w:val="004E26EF"/>
    <w:rsid w:val="004E6ECD"/>
    <w:rsid w:val="004E70B5"/>
    <w:rsid w:val="004E79F0"/>
    <w:rsid w:val="004F3FAE"/>
    <w:rsid w:val="004F41A7"/>
    <w:rsid w:val="00500D3E"/>
    <w:rsid w:val="00502BCA"/>
    <w:rsid w:val="00504ACD"/>
    <w:rsid w:val="00505BAB"/>
    <w:rsid w:val="005111B3"/>
    <w:rsid w:val="00512BDD"/>
    <w:rsid w:val="00512EB9"/>
    <w:rsid w:val="005166A4"/>
    <w:rsid w:val="00516BD5"/>
    <w:rsid w:val="005210A1"/>
    <w:rsid w:val="00522D85"/>
    <w:rsid w:val="005250B2"/>
    <w:rsid w:val="0052682A"/>
    <w:rsid w:val="00526957"/>
    <w:rsid w:val="005302A0"/>
    <w:rsid w:val="005321CC"/>
    <w:rsid w:val="00533DB6"/>
    <w:rsid w:val="00534F55"/>
    <w:rsid w:val="00537612"/>
    <w:rsid w:val="00541582"/>
    <w:rsid w:val="00546793"/>
    <w:rsid w:val="00553AAF"/>
    <w:rsid w:val="00560AB0"/>
    <w:rsid w:val="00561A1E"/>
    <w:rsid w:val="00562D00"/>
    <w:rsid w:val="005708A1"/>
    <w:rsid w:val="0057645D"/>
    <w:rsid w:val="00577AA5"/>
    <w:rsid w:val="00581442"/>
    <w:rsid w:val="00583EA4"/>
    <w:rsid w:val="00585B12"/>
    <w:rsid w:val="0058692A"/>
    <w:rsid w:val="00586FA5"/>
    <w:rsid w:val="00590955"/>
    <w:rsid w:val="005933C1"/>
    <w:rsid w:val="00596622"/>
    <w:rsid w:val="005972C5"/>
    <w:rsid w:val="005A081C"/>
    <w:rsid w:val="005A2870"/>
    <w:rsid w:val="005A304E"/>
    <w:rsid w:val="005A4BFE"/>
    <w:rsid w:val="005A5880"/>
    <w:rsid w:val="005A6C13"/>
    <w:rsid w:val="005B23F5"/>
    <w:rsid w:val="005C0815"/>
    <w:rsid w:val="005C098D"/>
    <w:rsid w:val="005C21FB"/>
    <w:rsid w:val="005C3761"/>
    <w:rsid w:val="005C3DFB"/>
    <w:rsid w:val="005C599F"/>
    <w:rsid w:val="005C70FC"/>
    <w:rsid w:val="005D0885"/>
    <w:rsid w:val="005D3454"/>
    <w:rsid w:val="005D4CD3"/>
    <w:rsid w:val="005D7697"/>
    <w:rsid w:val="005E01D1"/>
    <w:rsid w:val="005E0EB9"/>
    <w:rsid w:val="005E3BE9"/>
    <w:rsid w:val="005E3E88"/>
    <w:rsid w:val="005F06A6"/>
    <w:rsid w:val="005F11C0"/>
    <w:rsid w:val="005F4D97"/>
    <w:rsid w:val="005F54DB"/>
    <w:rsid w:val="0060736C"/>
    <w:rsid w:val="00611771"/>
    <w:rsid w:val="00621D31"/>
    <w:rsid w:val="006253AD"/>
    <w:rsid w:val="00633E15"/>
    <w:rsid w:val="006342CE"/>
    <w:rsid w:val="0063464E"/>
    <w:rsid w:val="00634685"/>
    <w:rsid w:val="00635257"/>
    <w:rsid w:val="006403D9"/>
    <w:rsid w:val="00640DF3"/>
    <w:rsid w:val="00652341"/>
    <w:rsid w:val="00656A6C"/>
    <w:rsid w:val="006601F9"/>
    <w:rsid w:val="00660D5F"/>
    <w:rsid w:val="00663827"/>
    <w:rsid w:val="00664E3D"/>
    <w:rsid w:val="00667375"/>
    <w:rsid w:val="00674FB6"/>
    <w:rsid w:val="0067756A"/>
    <w:rsid w:val="0069035D"/>
    <w:rsid w:val="006973BA"/>
    <w:rsid w:val="006A0EA7"/>
    <w:rsid w:val="006A1DFD"/>
    <w:rsid w:val="006A2675"/>
    <w:rsid w:val="006B6BEB"/>
    <w:rsid w:val="006C61F6"/>
    <w:rsid w:val="006C65EC"/>
    <w:rsid w:val="006C6863"/>
    <w:rsid w:val="006C6B55"/>
    <w:rsid w:val="006C79F7"/>
    <w:rsid w:val="006D355A"/>
    <w:rsid w:val="006D6389"/>
    <w:rsid w:val="006E1F02"/>
    <w:rsid w:val="006E2F19"/>
    <w:rsid w:val="006E66BE"/>
    <w:rsid w:val="006F0D68"/>
    <w:rsid w:val="006F367A"/>
    <w:rsid w:val="006F5DC2"/>
    <w:rsid w:val="006F7EA5"/>
    <w:rsid w:val="00703FBA"/>
    <w:rsid w:val="00704A83"/>
    <w:rsid w:val="00704E96"/>
    <w:rsid w:val="00706248"/>
    <w:rsid w:val="00706906"/>
    <w:rsid w:val="00710509"/>
    <w:rsid w:val="00711B31"/>
    <w:rsid w:val="0071774D"/>
    <w:rsid w:val="00720BB1"/>
    <w:rsid w:val="007266C2"/>
    <w:rsid w:val="0072770C"/>
    <w:rsid w:val="00732421"/>
    <w:rsid w:val="0073280E"/>
    <w:rsid w:val="00736AE7"/>
    <w:rsid w:val="007413B8"/>
    <w:rsid w:val="007418BE"/>
    <w:rsid w:val="00741A64"/>
    <w:rsid w:val="00741C0F"/>
    <w:rsid w:val="007434A4"/>
    <w:rsid w:val="00744CD4"/>
    <w:rsid w:val="0075243D"/>
    <w:rsid w:val="00755E80"/>
    <w:rsid w:val="00757963"/>
    <w:rsid w:val="00761CDC"/>
    <w:rsid w:val="00761DA7"/>
    <w:rsid w:val="00766B8C"/>
    <w:rsid w:val="0077069A"/>
    <w:rsid w:val="007715B6"/>
    <w:rsid w:val="007735F2"/>
    <w:rsid w:val="00781B3E"/>
    <w:rsid w:val="00784F1D"/>
    <w:rsid w:val="00785D15"/>
    <w:rsid w:val="00787226"/>
    <w:rsid w:val="0079026F"/>
    <w:rsid w:val="00791504"/>
    <w:rsid w:val="0079548C"/>
    <w:rsid w:val="00797179"/>
    <w:rsid w:val="00797AF9"/>
    <w:rsid w:val="007A07EE"/>
    <w:rsid w:val="007A1D57"/>
    <w:rsid w:val="007A75BF"/>
    <w:rsid w:val="007B0946"/>
    <w:rsid w:val="007B409A"/>
    <w:rsid w:val="007B4ADB"/>
    <w:rsid w:val="007B65AD"/>
    <w:rsid w:val="007C243B"/>
    <w:rsid w:val="007C41A7"/>
    <w:rsid w:val="007C5156"/>
    <w:rsid w:val="007C5183"/>
    <w:rsid w:val="007C5B02"/>
    <w:rsid w:val="007C69B5"/>
    <w:rsid w:val="007D3380"/>
    <w:rsid w:val="007D4355"/>
    <w:rsid w:val="007D57E9"/>
    <w:rsid w:val="007D6D10"/>
    <w:rsid w:val="007D7D90"/>
    <w:rsid w:val="007E31B5"/>
    <w:rsid w:val="007E3E83"/>
    <w:rsid w:val="007F08F9"/>
    <w:rsid w:val="007F2DE8"/>
    <w:rsid w:val="007F4579"/>
    <w:rsid w:val="007F485B"/>
    <w:rsid w:val="007F4B0E"/>
    <w:rsid w:val="007F4F73"/>
    <w:rsid w:val="0080035D"/>
    <w:rsid w:val="00804B4E"/>
    <w:rsid w:val="00806B00"/>
    <w:rsid w:val="0081199F"/>
    <w:rsid w:val="00811D4D"/>
    <w:rsid w:val="00815A0C"/>
    <w:rsid w:val="00817BB8"/>
    <w:rsid w:val="00823F29"/>
    <w:rsid w:val="00824E25"/>
    <w:rsid w:val="00827445"/>
    <w:rsid w:val="008303E9"/>
    <w:rsid w:val="00833F18"/>
    <w:rsid w:val="008402AA"/>
    <w:rsid w:val="0084300C"/>
    <w:rsid w:val="00843216"/>
    <w:rsid w:val="00844906"/>
    <w:rsid w:val="00846786"/>
    <w:rsid w:val="008479E9"/>
    <w:rsid w:val="00847F7C"/>
    <w:rsid w:val="00853C36"/>
    <w:rsid w:val="008545A2"/>
    <w:rsid w:val="00855A6A"/>
    <w:rsid w:val="008561DA"/>
    <w:rsid w:val="0086498D"/>
    <w:rsid w:val="00864A82"/>
    <w:rsid w:val="008653D6"/>
    <w:rsid w:val="00865535"/>
    <w:rsid w:val="00870C5B"/>
    <w:rsid w:val="0087444E"/>
    <w:rsid w:val="0088054B"/>
    <w:rsid w:val="00880E20"/>
    <w:rsid w:val="00884EE6"/>
    <w:rsid w:val="00891DA6"/>
    <w:rsid w:val="008966E4"/>
    <w:rsid w:val="00897B53"/>
    <w:rsid w:val="008B11B6"/>
    <w:rsid w:val="008B5714"/>
    <w:rsid w:val="008B5E36"/>
    <w:rsid w:val="008B7EF4"/>
    <w:rsid w:val="008C0613"/>
    <w:rsid w:val="008C0EC8"/>
    <w:rsid w:val="008C4852"/>
    <w:rsid w:val="008D18AC"/>
    <w:rsid w:val="008D526F"/>
    <w:rsid w:val="008D79D6"/>
    <w:rsid w:val="008D7E39"/>
    <w:rsid w:val="008E0575"/>
    <w:rsid w:val="008F332B"/>
    <w:rsid w:val="00905B6A"/>
    <w:rsid w:val="00906BFE"/>
    <w:rsid w:val="00920CA6"/>
    <w:rsid w:val="00922BCC"/>
    <w:rsid w:val="00923014"/>
    <w:rsid w:val="00923AC6"/>
    <w:rsid w:val="00926525"/>
    <w:rsid w:val="00932DFE"/>
    <w:rsid w:val="00933669"/>
    <w:rsid w:val="0093492B"/>
    <w:rsid w:val="009356CE"/>
    <w:rsid w:val="00942A6F"/>
    <w:rsid w:val="0094317B"/>
    <w:rsid w:val="00944D53"/>
    <w:rsid w:val="00946BC7"/>
    <w:rsid w:val="00946F2D"/>
    <w:rsid w:val="00950747"/>
    <w:rsid w:val="009513F4"/>
    <w:rsid w:val="00953410"/>
    <w:rsid w:val="00953F88"/>
    <w:rsid w:val="0095459D"/>
    <w:rsid w:val="009641E3"/>
    <w:rsid w:val="00967562"/>
    <w:rsid w:val="00974A5F"/>
    <w:rsid w:val="009800F1"/>
    <w:rsid w:val="00983778"/>
    <w:rsid w:val="009837DD"/>
    <w:rsid w:val="00984983"/>
    <w:rsid w:val="00984A09"/>
    <w:rsid w:val="0099206B"/>
    <w:rsid w:val="0099571A"/>
    <w:rsid w:val="009968D6"/>
    <w:rsid w:val="00997FC4"/>
    <w:rsid w:val="009B0E96"/>
    <w:rsid w:val="009B20B0"/>
    <w:rsid w:val="009B403D"/>
    <w:rsid w:val="009B5AA2"/>
    <w:rsid w:val="009B7482"/>
    <w:rsid w:val="009C4AFD"/>
    <w:rsid w:val="009D374F"/>
    <w:rsid w:val="009D42B7"/>
    <w:rsid w:val="009E0DA6"/>
    <w:rsid w:val="009E17EE"/>
    <w:rsid w:val="009E596E"/>
    <w:rsid w:val="009E67D0"/>
    <w:rsid w:val="009E708E"/>
    <w:rsid w:val="009E7C33"/>
    <w:rsid w:val="009F2350"/>
    <w:rsid w:val="009F446B"/>
    <w:rsid w:val="009F465E"/>
    <w:rsid w:val="00A024B0"/>
    <w:rsid w:val="00A05C11"/>
    <w:rsid w:val="00A061D3"/>
    <w:rsid w:val="00A10EF4"/>
    <w:rsid w:val="00A17B14"/>
    <w:rsid w:val="00A209E5"/>
    <w:rsid w:val="00A23C6F"/>
    <w:rsid w:val="00A2409D"/>
    <w:rsid w:val="00A2422F"/>
    <w:rsid w:val="00A277DD"/>
    <w:rsid w:val="00A27A9F"/>
    <w:rsid w:val="00A32B05"/>
    <w:rsid w:val="00A3543C"/>
    <w:rsid w:val="00A36BBA"/>
    <w:rsid w:val="00A42765"/>
    <w:rsid w:val="00A50156"/>
    <w:rsid w:val="00A51596"/>
    <w:rsid w:val="00A5292B"/>
    <w:rsid w:val="00A530EE"/>
    <w:rsid w:val="00A5383F"/>
    <w:rsid w:val="00A579EE"/>
    <w:rsid w:val="00A655FF"/>
    <w:rsid w:val="00A73368"/>
    <w:rsid w:val="00A8134A"/>
    <w:rsid w:val="00A82B69"/>
    <w:rsid w:val="00A85A67"/>
    <w:rsid w:val="00A873BC"/>
    <w:rsid w:val="00A91087"/>
    <w:rsid w:val="00A94075"/>
    <w:rsid w:val="00AA09CB"/>
    <w:rsid w:val="00AA21A0"/>
    <w:rsid w:val="00AA22F3"/>
    <w:rsid w:val="00AA5A73"/>
    <w:rsid w:val="00AA67C1"/>
    <w:rsid w:val="00AA729A"/>
    <w:rsid w:val="00AB2F5D"/>
    <w:rsid w:val="00AB522A"/>
    <w:rsid w:val="00AD20E8"/>
    <w:rsid w:val="00AD2A48"/>
    <w:rsid w:val="00AD4BF0"/>
    <w:rsid w:val="00AD59B5"/>
    <w:rsid w:val="00AD6CD7"/>
    <w:rsid w:val="00AE09F0"/>
    <w:rsid w:val="00AE1FEF"/>
    <w:rsid w:val="00AE40E8"/>
    <w:rsid w:val="00AE75B5"/>
    <w:rsid w:val="00AE7F42"/>
    <w:rsid w:val="00AF0878"/>
    <w:rsid w:val="00AF3A46"/>
    <w:rsid w:val="00AF5CC8"/>
    <w:rsid w:val="00B004ED"/>
    <w:rsid w:val="00B01730"/>
    <w:rsid w:val="00B01E8C"/>
    <w:rsid w:val="00B0511D"/>
    <w:rsid w:val="00B10684"/>
    <w:rsid w:val="00B12C12"/>
    <w:rsid w:val="00B12E36"/>
    <w:rsid w:val="00B14003"/>
    <w:rsid w:val="00B14EAD"/>
    <w:rsid w:val="00B15CB0"/>
    <w:rsid w:val="00B23980"/>
    <w:rsid w:val="00B23CAA"/>
    <w:rsid w:val="00B23E00"/>
    <w:rsid w:val="00B2637A"/>
    <w:rsid w:val="00B309E3"/>
    <w:rsid w:val="00B321E0"/>
    <w:rsid w:val="00B34D84"/>
    <w:rsid w:val="00B36C95"/>
    <w:rsid w:val="00B43A06"/>
    <w:rsid w:val="00B45C10"/>
    <w:rsid w:val="00B47B51"/>
    <w:rsid w:val="00B53D55"/>
    <w:rsid w:val="00B548E2"/>
    <w:rsid w:val="00B601D9"/>
    <w:rsid w:val="00B61B74"/>
    <w:rsid w:val="00B63B3E"/>
    <w:rsid w:val="00B648FB"/>
    <w:rsid w:val="00B65714"/>
    <w:rsid w:val="00B660BD"/>
    <w:rsid w:val="00B73549"/>
    <w:rsid w:val="00B75960"/>
    <w:rsid w:val="00B845E6"/>
    <w:rsid w:val="00B8589B"/>
    <w:rsid w:val="00B870FC"/>
    <w:rsid w:val="00B9005F"/>
    <w:rsid w:val="00B9762F"/>
    <w:rsid w:val="00B976F9"/>
    <w:rsid w:val="00BA6673"/>
    <w:rsid w:val="00BA6B92"/>
    <w:rsid w:val="00BA7ECB"/>
    <w:rsid w:val="00BB1BFE"/>
    <w:rsid w:val="00BB289D"/>
    <w:rsid w:val="00BC29CE"/>
    <w:rsid w:val="00BC5483"/>
    <w:rsid w:val="00BD21A0"/>
    <w:rsid w:val="00BD32C1"/>
    <w:rsid w:val="00BD3C60"/>
    <w:rsid w:val="00BD5C38"/>
    <w:rsid w:val="00BD615D"/>
    <w:rsid w:val="00BE0D45"/>
    <w:rsid w:val="00BE136A"/>
    <w:rsid w:val="00BE2BA0"/>
    <w:rsid w:val="00BE6E21"/>
    <w:rsid w:val="00BE702B"/>
    <w:rsid w:val="00BF07A1"/>
    <w:rsid w:val="00BF0E7C"/>
    <w:rsid w:val="00BF2045"/>
    <w:rsid w:val="00BF3720"/>
    <w:rsid w:val="00C11C6F"/>
    <w:rsid w:val="00C124AE"/>
    <w:rsid w:val="00C16089"/>
    <w:rsid w:val="00C17AD0"/>
    <w:rsid w:val="00C17D88"/>
    <w:rsid w:val="00C202D7"/>
    <w:rsid w:val="00C27B0B"/>
    <w:rsid w:val="00C3064E"/>
    <w:rsid w:val="00C33EA0"/>
    <w:rsid w:val="00C402A1"/>
    <w:rsid w:val="00C4097A"/>
    <w:rsid w:val="00C415BB"/>
    <w:rsid w:val="00C466A6"/>
    <w:rsid w:val="00C479AE"/>
    <w:rsid w:val="00C55A79"/>
    <w:rsid w:val="00C55A85"/>
    <w:rsid w:val="00C61842"/>
    <w:rsid w:val="00C6236C"/>
    <w:rsid w:val="00C66A34"/>
    <w:rsid w:val="00C67672"/>
    <w:rsid w:val="00C7386C"/>
    <w:rsid w:val="00C775EC"/>
    <w:rsid w:val="00C8648C"/>
    <w:rsid w:val="00C96AA8"/>
    <w:rsid w:val="00C97AD1"/>
    <w:rsid w:val="00CA0975"/>
    <w:rsid w:val="00CA0DD5"/>
    <w:rsid w:val="00CA2A54"/>
    <w:rsid w:val="00CA3796"/>
    <w:rsid w:val="00CA44AB"/>
    <w:rsid w:val="00CA60B4"/>
    <w:rsid w:val="00CA71A2"/>
    <w:rsid w:val="00CA76F3"/>
    <w:rsid w:val="00CB35C0"/>
    <w:rsid w:val="00CB736B"/>
    <w:rsid w:val="00CC0406"/>
    <w:rsid w:val="00CC4441"/>
    <w:rsid w:val="00CD168F"/>
    <w:rsid w:val="00CD3214"/>
    <w:rsid w:val="00CE7003"/>
    <w:rsid w:val="00CF03F1"/>
    <w:rsid w:val="00CF0B7E"/>
    <w:rsid w:val="00CF0CD1"/>
    <w:rsid w:val="00CF2140"/>
    <w:rsid w:val="00CF2F71"/>
    <w:rsid w:val="00CF3F38"/>
    <w:rsid w:val="00CF60CD"/>
    <w:rsid w:val="00CF631D"/>
    <w:rsid w:val="00D01D96"/>
    <w:rsid w:val="00D05AFA"/>
    <w:rsid w:val="00D12A08"/>
    <w:rsid w:val="00D15CEC"/>
    <w:rsid w:val="00D166BA"/>
    <w:rsid w:val="00D245B9"/>
    <w:rsid w:val="00D24C4E"/>
    <w:rsid w:val="00D25A16"/>
    <w:rsid w:val="00D27B80"/>
    <w:rsid w:val="00D3142C"/>
    <w:rsid w:val="00D318C2"/>
    <w:rsid w:val="00D325F6"/>
    <w:rsid w:val="00D3276F"/>
    <w:rsid w:val="00D33970"/>
    <w:rsid w:val="00D346EC"/>
    <w:rsid w:val="00D36D07"/>
    <w:rsid w:val="00D37233"/>
    <w:rsid w:val="00D41E73"/>
    <w:rsid w:val="00D42FEF"/>
    <w:rsid w:val="00D50B9D"/>
    <w:rsid w:val="00D54377"/>
    <w:rsid w:val="00D60207"/>
    <w:rsid w:val="00D6537D"/>
    <w:rsid w:val="00D66FC8"/>
    <w:rsid w:val="00D674A6"/>
    <w:rsid w:val="00D76168"/>
    <w:rsid w:val="00D77227"/>
    <w:rsid w:val="00D7733B"/>
    <w:rsid w:val="00D8119A"/>
    <w:rsid w:val="00D8159A"/>
    <w:rsid w:val="00D81AAD"/>
    <w:rsid w:val="00D8463E"/>
    <w:rsid w:val="00D8589B"/>
    <w:rsid w:val="00D86935"/>
    <w:rsid w:val="00D93671"/>
    <w:rsid w:val="00D94EBC"/>
    <w:rsid w:val="00D95633"/>
    <w:rsid w:val="00DA0BCD"/>
    <w:rsid w:val="00DA5736"/>
    <w:rsid w:val="00DB11D0"/>
    <w:rsid w:val="00DB3126"/>
    <w:rsid w:val="00DB3C43"/>
    <w:rsid w:val="00DB4C44"/>
    <w:rsid w:val="00DB7CC9"/>
    <w:rsid w:val="00DC62DA"/>
    <w:rsid w:val="00DD0836"/>
    <w:rsid w:val="00DD3119"/>
    <w:rsid w:val="00DD4EFB"/>
    <w:rsid w:val="00DD52D1"/>
    <w:rsid w:val="00DE3191"/>
    <w:rsid w:val="00DE384C"/>
    <w:rsid w:val="00DE58A7"/>
    <w:rsid w:val="00DE71A1"/>
    <w:rsid w:val="00DF30C4"/>
    <w:rsid w:val="00DF6EC8"/>
    <w:rsid w:val="00DF7CB2"/>
    <w:rsid w:val="00E00576"/>
    <w:rsid w:val="00E04443"/>
    <w:rsid w:val="00E046BA"/>
    <w:rsid w:val="00E05083"/>
    <w:rsid w:val="00E06732"/>
    <w:rsid w:val="00E106CE"/>
    <w:rsid w:val="00E10C86"/>
    <w:rsid w:val="00E11613"/>
    <w:rsid w:val="00E131F6"/>
    <w:rsid w:val="00E13533"/>
    <w:rsid w:val="00E20183"/>
    <w:rsid w:val="00E20284"/>
    <w:rsid w:val="00E31150"/>
    <w:rsid w:val="00E318C6"/>
    <w:rsid w:val="00E31E98"/>
    <w:rsid w:val="00E3513D"/>
    <w:rsid w:val="00E401E7"/>
    <w:rsid w:val="00E414BF"/>
    <w:rsid w:val="00E41F3B"/>
    <w:rsid w:val="00E52CE2"/>
    <w:rsid w:val="00E54C2D"/>
    <w:rsid w:val="00E54E99"/>
    <w:rsid w:val="00E56E90"/>
    <w:rsid w:val="00E57300"/>
    <w:rsid w:val="00E62B3F"/>
    <w:rsid w:val="00E66FCD"/>
    <w:rsid w:val="00E72D38"/>
    <w:rsid w:val="00E74C4A"/>
    <w:rsid w:val="00E75368"/>
    <w:rsid w:val="00E7780A"/>
    <w:rsid w:val="00E77C03"/>
    <w:rsid w:val="00E83B73"/>
    <w:rsid w:val="00E83EBC"/>
    <w:rsid w:val="00E84D5A"/>
    <w:rsid w:val="00E876EA"/>
    <w:rsid w:val="00E87C2C"/>
    <w:rsid w:val="00E92905"/>
    <w:rsid w:val="00E94A37"/>
    <w:rsid w:val="00EA3F1F"/>
    <w:rsid w:val="00EB2B40"/>
    <w:rsid w:val="00EB41B1"/>
    <w:rsid w:val="00EB6067"/>
    <w:rsid w:val="00EC2A57"/>
    <w:rsid w:val="00EC36AF"/>
    <w:rsid w:val="00ED2DAC"/>
    <w:rsid w:val="00ED4A08"/>
    <w:rsid w:val="00ED4C8C"/>
    <w:rsid w:val="00ED6389"/>
    <w:rsid w:val="00EE0598"/>
    <w:rsid w:val="00EE191E"/>
    <w:rsid w:val="00EE2040"/>
    <w:rsid w:val="00EF0016"/>
    <w:rsid w:val="00EF1B8B"/>
    <w:rsid w:val="00EF24AA"/>
    <w:rsid w:val="00EF4BF7"/>
    <w:rsid w:val="00EF72F8"/>
    <w:rsid w:val="00F0358E"/>
    <w:rsid w:val="00F038D2"/>
    <w:rsid w:val="00F065CE"/>
    <w:rsid w:val="00F13173"/>
    <w:rsid w:val="00F13C8F"/>
    <w:rsid w:val="00F14120"/>
    <w:rsid w:val="00F14988"/>
    <w:rsid w:val="00F156DB"/>
    <w:rsid w:val="00F210C5"/>
    <w:rsid w:val="00F223BA"/>
    <w:rsid w:val="00F22CDF"/>
    <w:rsid w:val="00F242A2"/>
    <w:rsid w:val="00F27102"/>
    <w:rsid w:val="00F314EE"/>
    <w:rsid w:val="00F352BD"/>
    <w:rsid w:val="00F371BE"/>
    <w:rsid w:val="00F41107"/>
    <w:rsid w:val="00F42430"/>
    <w:rsid w:val="00F42B83"/>
    <w:rsid w:val="00F44B22"/>
    <w:rsid w:val="00F46203"/>
    <w:rsid w:val="00F465B7"/>
    <w:rsid w:val="00F47E6F"/>
    <w:rsid w:val="00F506D4"/>
    <w:rsid w:val="00F5070A"/>
    <w:rsid w:val="00F50E39"/>
    <w:rsid w:val="00F558C6"/>
    <w:rsid w:val="00F56E6E"/>
    <w:rsid w:val="00F57E04"/>
    <w:rsid w:val="00F61A42"/>
    <w:rsid w:val="00F624A3"/>
    <w:rsid w:val="00F62524"/>
    <w:rsid w:val="00F808D0"/>
    <w:rsid w:val="00F913E3"/>
    <w:rsid w:val="00FA16A8"/>
    <w:rsid w:val="00FA6945"/>
    <w:rsid w:val="00FB075E"/>
    <w:rsid w:val="00FB3DAC"/>
    <w:rsid w:val="00FB48EE"/>
    <w:rsid w:val="00FC1DED"/>
    <w:rsid w:val="00FC305C"/>
    <w:rsid w:val="00FC55F3"/>
    <w:rsid w:val="00FC6530"/>
    <w:rsid w:val="00FD01EE"/>
    <w:rsid w:val="00FD2C5A"/>
    <w:rsid w:val="00FD632E"/>
    <w:rsid w:val="00FD7E7A"/>
    <w:rsid w:val="00FD7FE8"/>
    <w:rsid w:val="00FE2649"/>
    <w:rsid w:val="00FE43AE"/>
    <w:rsid w:val="00FF026C"/>
    <w:rsid w:val="00FF129A"/>
    <w:rsid w:val="00FF44AB"/>
    <w:rsid w:val="00FF6260"/>
    <w:rsid w:val="00FF7B9E"/>
    <w:rsid w:val="043920D3"/>
    <w:rsid w:val="0501567A"/>
    <w:rsid w:val="08390CA9"/>
    <w:rsid w:val="0C7C7955"/>
    <w:rsid w:val="136E31A1"/>
    <w:rsid w:val="147F0F00"/>
    <w:rsid w:val="15AF388A"/>
    <w:rsid w:val="15C26EE1"/>
    <w:rsid w:val="18383A5C"/>
    <w:rsid w:val="18794F0D"/>
    <w:rsid w:val="18D73526"/>
    <w:rsid w:val="1D286649"/>
    <w:rsid w:val="1D3413D0"/>
    <w:rsid w:val="1D432AF0"/>
    <w:rsid w:val="1D4E22B6"/>
    <w:rsid w:val="1D5E4247"/>
    <w:rsid w:val="20125442"/>
    <w:rsid w:val="22062117"/>
    <w:rsid w:val="22893C39"/>
    <w:rsid w:val="23067EE5"/>
    <w:rsid w:val="2516571A"/>
    <w:rsid w:val="258C6865"/>
    <w:rsid w:val="27F149F4"/>
    <w:rsid w:val="28D10FEA"/>
    <w:rsid w:val="2C507F51"/>
    <w:rsid w:val="317F35EC"/>
    <w:rsid w:val="35E63A53"/>
    <w:rsid w:val="373B49C5"/>
    <w:rsid w:val="3803791B"/>
    <w:rsid w:val="3DF44353"/>
    <w:rsid w:val="3EDA2572"/>
    <w:rsid w:val="41514741"/>
    <w:rsid w:val="42345B85"/>
    <w:rsid w:val="4377250C"/>
    <w:rsid w:val="43E24CF1"/>
    <w:rsid w:val="45E6568A"/>
    <w:rsid w:val="470F2FA2"/>
    <w:rsid w:val="493A07FA"/>
    <w:rsid w:val="4D070FA2"/>
    <w:rsid w:val="4D964B3A"/>
    <w:rsid w:val="4F7F5CB6"/>
    <w:rsid w:val="534418FF"/>
    <w:rsid w:val="537F6874"/>
    <w:rsid w:val="559002CA"/>
    <w:rsid w:val="568149E0"/>
    <w:rsid w:val="57112E63"/>
    <w:rsid w:val="590512A0"/>
    <w:rsid w:val="596B6743"/>
    <w:rsid w:val="5A3C5034"/>
    <w:rsid w:val="5C1D51D7"/>
    <w:rsid w:val="60E91115"/>
    <w:rsid w:val="6641354F"/>
    <w:rsid w:val="675900F3"/>
    <w:rsid w:val="68D11763"/>
    <w:rsid w:val="6ED45F71"/>
    <w:rsid w:val="74EF23AB"/>
    <w:rsid w:val="77B846B1"/>
    <w:rsid w:val="793D7090"/>
    <w:rsid w:val="794231B3"/>
    <w:rsid w:val="7A39547E"/>
    <w:rsid w:val="7B1A0C5B"/>
    <w:rsid w:val="7CE94A7C"/>
    <w:rsid w:val="7E205431"/>
    <w:rsid w:val="7EC42CDC"/>
    <w:rsid w:val="7FAA232E"/>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2"/>
    <w:basedOn w:val="1"/>
    <w:next w:val="1"/>
    <w:link w:val="26"/>
    <w:qFormat/>
    <w:uiPriority w:val="0"/>
    <w:pPr>
      <w:keepNext/>
      <w:keepLines/>
      <w:spacing w:before="260" w:after="260" w:line="412" w:lineRule="auto"/>
      <w:outlineLvl w:val="1"/>
    </w:pPr>
    <w:rPr>
      <w:rFonts w:ascii="Arial" w:hAnsi="Arial" w:eastAsia="黑体" w:cs="Arial"/>
      <w:b/>
      <w:bCs/>
      <w:sz w:val="32"/>
      <w:szCs w:val="32"/>
    </w:rPr>
  </w:style>
  <w:style w:type="character" w:default="1" w:styleId="14">
    <w:name w:val="Default Paragraph Font"/>
    <w:unhideWhenUsed/>
    <w:uiPriority w:val="1"/>
  </w:style>
  <w:style w:type="table" w:default="1" w:styleId="16">
    <w:name w:val="Normal Table"/>
    <w:unhideWhenUsed/>
    <w:qFormat/>
    <w:uiPriority w:val="99"/>
    <w:tblPr>
      <w:tblStyle w:val="16"/>
      <w:tblLayout w:type="fixed"/>
      <w:tblCellMar>
        <w:top w:w="0" w:type="dxa"/>
        <w:left w:w="108" w:type="dxa"/>
        <w:bottom w:w="0" w:type="dxa"/>
        <w:right w:w="108" w:type="dxa"/>
      </w:tblCellMar>
    </w:tblPr>
    <w:tcPr>
      <w:textDirection w:val="lrTb"/>
    </w:tcPr>
  </w:style>
  <w:style w:type="paragraph" w:styleId="3">
    <w:name w:val="annotation text"/>
    <w:basedOn w:val="1"/>
    <w:link w:val="33"/>
    <w:qFormat/>
    <w:uiPriority w:val="0"/>
    <w:pPr>
      <w:jc w:val="left"/>
    </w:pPr>
    <w:rPr>
      <w:szCs w:val="24"/>
    </w:rPr>
  </w:style>
  <w:style w:type="paragraph" w:styleId="4">
    <w:name w:val="Body Text"/>
    <w:basedOn w:val="1"/>
    <w:link w:val="32"/>
    <w:qFormat/>
    <w:uiPriority w:val="0"/>
    <w:pPr>
      <w:jc w:val="left"/>
    </w:pPr>
    <w:rPr>
      <w:rFonts w:ascii="Arial" w:hAnsi="Arial" w:eastAsia="黑体" w:cs="Arial"/>
      <w:b/>
      <w:bCs/>
      <w:sz w:val="32"/>
      <w:szCs w:val="32"/>
    </w:rPr>
  </w:style>
  <w:style w:type="paragraph" w:styleId="5">
    <w:name w:val="Body Text Indent"/>
    <w:basedOn w:val="1"/>
    <w:link w:val="29"/>
    <w:qFormat/>
    <w:uiPriority w:val="0"/>
    <w:pPr>
      <w:ind w:firstLine="630"/>
    </w:pPr>
    <w:rPr>
      <w:sz w:val="32"/>
      <w:szCs w:val="20"/>
    </w:rPr>
  </w:style>
  <w:style w:type="paragraph" w:styleId="6">
    <w:name w:val="Plain Text"/>
    <w:basedOn w:val="1"/>
    <w:link w:val="31"/>
    <w:qFormat/>
    <w:uiPriority w:val="0"/>
    <w:rPr>
      <w:rFonts w:ascii="宋体" w:hAnsi="Courier New"/>
    </w:rPr>
  </w:style>
  <w:style w:type="paragraph" w:styleId="7">
    <w:name w:val="Date"/>
    <w:basedOn w:val="1"/>
    <w:next w:val="1"/>
    <w:link w:val="30"/>
    <w:qFormat/>
    <w:uiPriority w:val="0"/>
    <w:rPr>
      <w:rFonts w:ascii="仿宋_GB2312" w:eastAsia="仿宋_GB2312" w:cs="仿宋_GB2312"/>
      <w:sz w:val="30"/>
      <w:szCs w:val="30"/>
    </w:rPr>
  </w:style>
  <w:style w:type="paragraph" w:styleId="8">
    <w:name w:val="footer"/>
    <w:basedOn w:val="1"/>
    <w:link w:val="25"/>
    <w:qFormat/>
    <w:uiPriority w:val="0"/>
    <w:pPr>
      <w:tabs>
        <w:tab w:val="center" w:pos="4153"/>
        <w:tab w:val="right" w:pos="8306"/>
      </w:tabs>
      <w:snapToGrid w:val="0"/>
      <w:jc w:val="left"/>
    </w:pPr>
    <w:rPr>
      <w:sz w:val="18"/>
      <w:szCs w:val="18"/>
    </w:rPr>
  </w:style>
  <w:style w:type="paragraph" w:styleId="9">
    <w:name w:val="header"/>
    <w:basedOn w:val="1"/>
    <w:link w:val="24"/>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Body Text 2"/>
    <w:basedOn w:val="1"/>
    <w:link w:val="34"/>
    <w:qFormat/>
    <w:uiPriority w:val="0"/>
    <w:pPr>
      <w:spacing w:after="120" w:line="480" w:lineRule="auto"/>
    </w:pPr>
  </w:style>
  <w:style w:type="paragraph" w:styleId="13">
    <w:name w:val="Normal (Web)"/>
    <w:basedOn w:val="1"/>
    <w:qFormat/>
    <w:uiPriority w:val="0"/>
    <w:rPr>
      <w:rFonts w:ascii="Calibri" w:hAnsi="Calibri" w:cs="Calibri"/>
      <w:sz w:val="24"/>
      <w:szCs w:val="24"/>
    </w:rPr>
  </w:style>
  <w:style w:type="character" w:styleId="15">
    <w:name w:val="Strong"/>
    <w:qFormat/>
    <w:uiPriority w:val="0"/>
    <w:rPr>
      <w:rFonts w:ascii="Times New Roman" w:hAnsi="Times New Roman" w:eastAsia="宋体" w:cs="Times New Roman"/>
      <w:b/>
      <w:bCs/>
    </w:rPr>
  </w:style>
  <w:style w:type="paragraph" w:customStyle="1" w:styleId="17">
    <w:name w:val="样式"/>
    <w:link w:val="27"/>
    <w:qFormat/>
    <w:uiPriority w:val="0"/>
    <w:pPr>
      <w:widowControl w:val="0"/>
      <w:autoSpaceDE w:val="0"/>
      <w:autoSpaceDN w:val="0"/>
      <w:adjustRightInd w:val="0"/>
    </w:pPr>
    <w:rPr>
      <w:rFonts w:ascii="宋体" w:hAnsi="宋体" w:eastAsia="宋体" w:cs="Times New Roman"/>
      <w:sz w:val="24"/>
      <w:lang w:val="en-US" w:eastAsia="zh-CN" w:bidi="ar-SA"/>
    </w:rPr>
  </w:style>
  <w:style w:type="paragraph" w:customStyle="1" w:styleId="18">
    <w:name w:val="001大标题"/>
    <w:basedOn w:val="1"/>
    <w:qFormat/>
    <w:uiPriority w:val="0"/>
    <w:pPr>
      <w:tabs>
        <w:tab w:val="left" w:pos="1080"/>
      </w:tabs>
      <w:jc w:val="center"/>
    </w:pPr>
    <w:rPr>
      <w:rFonts w:ascii="宋体" w:hAnsi="宋体" w:cs="宋体"/>
      <w:b/>
      <w:bCs/>
      <w:sz w:val="30"/>
      <w:szCs w:val="30"/>
    </w:rPr>
  </w:style>
  <w:style w:type="paragraph" w:customStyle="1" w:styleId="19">
    <w:name w:val="002标题"/>
    <w:basedOn w:val="1"/>
    <w:qFormat/>
    <w:uiPriority w:val="0"/>
    <w:pPr>
      <w:jc w:val="center"/>
    </w:pPr>
    <w:rPr>
      <w:sz w:val="30"/>
      <w:szCs w:val="30"/>
    </w:rPr>
  </w:style>
  <w:style w:type="paragraph" w:customStyle="1" w:styleId="20">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1">
    <w:name w:val="List Paragraph"/>
    <w:basedOn w:val="1"/>
    <w:qFormat/>
    <w:uiPriority w:val="34"/>
    <w:pPr>
      <w:ind w:firstLine="420" w:firstLineChars="200"/>
    </w:pPr>
  </w:style>
  <w:style w:type="paragraph" w:customStyle="1" w:styleId="22">
    <w:name w:val="段"/>
    <w:link w:val="35"/>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23">
    <w:name w:val="二级无"/>
    <w:basedOn w:val="1"/>
    <w:qFormat/>
    <w:uiPriority w:val="0"/>
    <w:pPr>
      <w:widowControl/>
      <w:tabs>
        <w:tab w:val="left" w:pos="360"/>
      </w:tabs>
      <w:jc w:val="left"/>
      <w:outlineLvl w:val="3"/>
    </w:pPr>
    <w:rPr>
      <w:rFonts w:ascii="宋体"/>
      <w:kern w:val="0"/>
    </w:rPr>
  </w:style>
  <w:style w:type="character" w:customStyle="1" w:styleId="24">
    <w:name w:val="页眉 Char"/>
    <w:basedOn w:val="14"/>
    <w:link w:val="9"/>
    <w:qFormat/>
    <w:uiPriority w:val="0"/>
    <w:rPr>
      <w:kern w:val="2"/>
      <w:sz w:val="18"/>
      <w:szCs w:val="18"/>
    </w:rPr>
  </w:style>
  <w:style w:type="character" w:customStyle="1" w:styleId="25">
    <w:name w:val="页脚 Char"/>
    <w:basedOn w:val="14"/>
    <w:link w:val="8"/>
    <w:qFormat/>
    <w:uiPriority w:val="0"/>
    <w:rPr>
      <w:kern w:val="2"/>
      <w:sz w:val="18"/>
      <w:szCs w:val="18"/>
    </w:rPr>
  </w:style>
  <w:style w:type="character" w:customStyle="1" w:styleId="26">
    <w:name w:val="标题 2 Char"/>
    <w:basedOn w:val="14"/>
    <w:link w:val="2"/>
    <w:qFormat/>
    <w:uiPriority w:val="0"/>
    <w:rPr>
      <w:rFonts w:ascii="Arial" w:hAnsi="Arial" w:eastAsia="黑体" w:cs="Arial"/>
      <w:b/>
      <w:bCs/>
      <w:kern w:val="2"/>
      <w:sz w:val="32"/>
      <w:szCs w:val="32"/>
    </w:rPr>
  </w:style>
  <w:style w:type="character" w:customStyle="1" w:styleId="27">
    <w:name w:val="样式 Char Char"/>
    <w:link w:val="17"/>
    <w:qFormat/>
    <w:uiPriority w:val="0"/>
    <w:rPr>
      <w:rFonts w:ascii="宋体" w:hAnsi="宋体"/>
      <w:sz w:val="24"/>
    </w:rPr>
  </w:style>
  <w:style w:type="character" w:customStyle="1" w:styleId="28">
    <w:name w:val="纯文本 Char"/>
    <w:basedOn w:val="14"/>
    <w:link w:val="6"/>
    <w:qFormat/>
    <w:uiPriority w:val="0"/>
    <w:rPr>
      <w:rFonts w:ascii="宋体" w:hAnsi="Courier New"/>
      <w:kern w:val="2"/>
      <w:sz w:val="21"/>
      <w:szCs w:val="21"/>
    </w:rPr>
  </w:style>
  <w:style w:type="character" w:customStyle="1" w:styleId="29">
    <w:name w:val="正文文本缩进 Char"/>
    <w:basedOn w:val="14"/>
    <w:link w:val="5"/>
    <w:qFormat/>
    <w:uiPriority w:val="0"/>
    <w:rPr>
      <w:kern w:val="2"/>
      <w:sz w:val="32"/>
    </w:rPr>
  </w:style>
  <w:style w:type="character" w:customStyle="1" w:styleId="30">
    <w:name w:val="日期 Char"/>
    <w:basedOn w:val="14"/>
    <w:link w:val="7"/>
    <w:qFormat/>
    <w:uiPriority w:val="0"/>
    <w:rPr>
      <w:rFonts w:ascii="仿宋_GB2312" w:eastAsia="仿宋_GB2312" w:cs="仿宋_GB2312"/>
      <w:kern w:val="2"/>
      <w:sz w:val="30"/>
      <w:szCs w:val="30"/>
    </w:rPr>
  </w:style>
  <w:style w:type="character" w:customStyle="1" w:styleId="31">
    <w:name w:val="纯文本 Char1"/>
    <w:basedOn w:val="14"/>
    <w:link w:val="6"/>
    <w:qFormat/>
    <w:uiPriority w:val="0"/>
    <w:rPr>
      <w:rFonts w:ascii="宋体" w:hAnsi="Courier New" w:cs="Courier New"/>
      <w:kern w:val="2"/>
      <w:sz w:val="21"/>
      <w:szCs w:val="21"/>
    </w:rPr>
  </w:style>
  <w:style w:type="character" w:customStyle="1" w:styleId="32">
    <w:name w:val="正文文本 Char"/>
    <w:basedOn w:val="14"/>
    <w:link w:val="4"/>
    <w:qFormat/>
    <w:uiPriority w:val="0"/>
    <w:rPr>
      <w:rFonts w:ascii="Arial" w:hAnsi="Arial" w:eastAsia="黑体" w:cs="Arial"/>
      <w:b/>
      <w:bCs/>
      <w:kern w:val="2"/>
      <w:sz w:val="32"/>
      <w:szCs w:val="32"/>
    </w:rPr>
  </w:style>
  <w:style w:type="character" w:customStyle="1" w:styleId="33">
    <w:name w:val="批注文字 Char"/>
    <w:basedOn w:val="14"/>
    <w:link w:val="3"/>
    <w:qFormat/>
    <w:uiPriority w:val="0"/>
    <w:rPr>
      <w:kern w:val="2"/>
      <w:sz w:val="21"/>
      <w:szCs w:val="24"/>
    </w:rPr>
  </w:style>
  <w:style w:type="character" w:customStyle="1" w:styleId="34">
    <w:name w:val="正文文本 2 Char"/>
    <w:basedOn w:val="14"/>
    <w:link w:val="12"/>
    <w:qFormat/>
    <w:uiPriority w:val="0"/>
    <w:rPr>
      <w:kern w:val="2"/>
      <w:sz w:val="21"/>
      <w:szCs w:val="21"/>
    </w:rPr>
  </w:style>
  <w:style w:type="character" w:customStyle="1" w:styleId="35">
    <w:name w:val="段 Char"/>
    <w:link w:val="22"/>
    <w:qFormat/>
    <w:uiPriority w:val="0"/>
    <w:rPr>
      <w:rFonts w:ascii="宋体"/>
      <w:sz w:val="21"/>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26</Pages>
  <Words>2377</Words>
  <Characters>13552</Characters>
  <Lines>112</Lines>
  <Paragraphs>31</Paragraphs>
  <TotalTime>0</TotalTime>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2019-05-22T02:24:00Z</dcterms:created>
  <dc:creator>NTKO</dc:creator>
  <cp:lastModifiedBy>acer</cp:lastModifiedBy>
  <cp:lastPrinted>2019-05-24T01:41:00Z</cp:lastPrinted>
  <dcterms:modified xsi:type="dcterms:W3CDTF">2020-06-08T07:26:27Z</dcterms:modified>
  <dc:title>铜陵学院毕业生就业第三方评价项目</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