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spacing w:before="0" w:after="0" w:line="240" w:lineRule="auto"/>
        <w:ind w:right="0" w:firstLine="0"/>
        <w:jc w:val="center"/>
        <w:rPr>
          <w:rFonts w:hint="default" w:ascii="宋体" w:hAnsi="宋体" w:eastAsia="宋体"/>
          <w:b/>
          <w:color w:val="auto"/>
          <w:position w:val="0"/>
          <w:sz w:val="52"/>
          <w:szCs w:val="52"/>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52"/>
          <w:szCs w:val="52"/>
        </w:rPr>
      </w:pPr>
      <w:r>
        <w:rPr>
          <w:rFonts w:hint="default" w:ascii="宋体" w:hAnsi="Times New Roman" w:eastAsia="Times New Roman"/>
          <w:b/>
          <w:color w:val="auto"/>
          <w:position w:val="0"/>
          <w:sz w:val="52"/>
          <w:szCs w:val="52"/>
        </w:rPr>
        <w:t>铜陵学院风雨操场智能化系统深化设计项目</w:t>
      </w:r>
    </w:p>
    <w:p>
      <w:pPr>
        <w:numPr>
          <w:ilvl w:val="0"/>
          <w:numId w:val="0"/>
        </w:numPr>
        <w:autoSpaceDE/>
        <w:autoSpaceDN/>
        <w:spacing w:before="0" w:after="0" w:line="360" w:lineRule="auto"/>
        <w:ind w:right="0" w:firstLine="0"/>
        <w:jc w:val="center"/>
        <w:rPr>
          <w:rFonts w:hint="default" w:ascii="宋体" w:hAnsi="宋体" w:eastAsia="宋体"/>
          <w:b/>
          <w:color w:val="auto"/>
          <w:position w:val="0"/>
          <w:sz w:val="52"/>
          <w:szCs w:val="52"/>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52"/>
          <w:szCs w:val="52"/>
        </w:rPr>
      </w:pPr>
      <w:r>
        <w:rPr>
          <w:rFonts w:hint="default" w:ascii="宋体" w:hAnsi="Times New Roman" w:eastAsia="Times New Roman"/>
          <w:b/>
          <w:color w:val="auto"/>
          <w:position w:val="0"/>
          <w:sz w:val="52"/>
          <w:szCs w:val="52"/>
        </w:rPr>
        <w:t>竞争性磋商文件</w:t>
      </w:r>
    </w:p>
    <w:p>
      <w:pPr>
        <w:pStyle w:val="2"/>
        <w:numPr>
          <w:ilvl w:val="0"/>
          <w:numId w:val="0"/>
        </w:numPr>
        <w:autoSpaceDE/>
        <w:autoSpaceDN/>
        <w:spacing w:before="0" w:after="0" w:line="240" w:lineRule="auto"/>
        <w:ind w:right="0" w:firstLine="640"/>
        <w:jc w:val="both"/>
        <w:rPr>
          <w:rFonts w:hint="default" w:ascii="Times New Roman" w:hAnsi="Times New Roman" w:eastAsia="Times New Roman"/>
          <w:color w:val="auto"/>
          <w:position w:val="0"/>
          <w:sz w:val="32"/>
          <w:szCs w:val="32"/>
        </w:rPr>
      </w:pPr>
    </w:p>
    <w:p>
      <w:pPr>
        <w:pStyle w:val="2"/>
        <w:numPr>
          <w:ilvl w:val="0"/>
          <w:numId w:val="0"/>
        </w:numPr>
        <w:autoSpaceDE/>
        <w:autoSpaceDN/>
        <w:spacing w:before="0" w:after="0" w:line="240" w:lineRule="auto"/>
        <w:ind w:right="0" w:firstLine="640"/>
        <w:jc w:val="both"/>
        <w:rPr>
          <w:rFonts w:hint="default" w:ascii="Times New Roman" w:hAnsi="Times New Roman" w:eastAsia="Times New Roman"/>
          <w:color w:val="auto"/>
          <w:position w:val="0"/>
          <w:sz w:val="32"/>
          <w:szCs w:val="32"/>
        </w:rPr>
      </w:pPr>
    </w:p>
    <w:p>
      <w:pPr>
        <w:numPr>
          <w:ilvl w:val="0"/>
          <w:numId w:val="0"/>
        </w:numPr>
        <w:shd w:val="clear" w:color="000000" w:fill="FFFFFF"/>
        <w:autoSpaceDE/>
        <w:autoSpaceDN/>
        <w:spacing w:before="0" w:after="600" w:line="360" w:lineRule="auto"/>
        <w:ind w:right="0" w:firstLine="1885"/>
        <w:jc w:val="both"/>
        <w:rPr>
          <w:rFonts w:hint="default" w:ascii="宋体" w:hAnsi="Times New Roman" w:eastAsia="Times New Roman"/>
          <w:b/>
          <w:color w:val="auto"/>
          <w:position w:val="0"/>
          <w:sz w:val="48"/>
          <w:szCs w:val="48"/>
        </w:rPr>
      </w:pPr>
      <w:r>
        <w:rPr>
          <w:rFonts w:hint="default" w:ascii="宋体" w:hAnsi="Times New Roman" w:eastAsia="Times New Roman"/>
          <w:b/>
          <w:color w:val="auto"/>
          <w:position w:val="0"/>
          <w:sz w:val="30"/>
          <w:szCs w:val="30"/>
        </w:rPr>
        <w:t>项目编号：</w:t>
      </w:r>
      <w:r>
        <w:rPr>
          <w:rFonts w:hint="default" w:ascii="仿宋_GB2312" w:hAnsi="仿宋_GB2312" w:eastAsia="仿宋_GB2312"/>
          <w:b/>
          <w:color w:val="auto"/>
          <w:position w:val="0"/>
          <w:sz w:val="32"/>
          <w:szCs w:val="32"/>
        </w:rPr>
        <w:t>兴业招采【2020】002</w:t>
      </w:r>
    </w:p>
    <w:p>
      <w:pPr>
        <w:numPr>
          <w:ilvl w:val="0"/>
          <w:numId w:val="0"/>
        </w:numPr>
        <w:autoSpaceDE/>
        <w:autoSpaceDN/>
        <w:spacing w:before="0" w:after="0" w:line="240" w:lineRule="auto"/>
        <w:ind w:right="0" w:firstLine="0"/>
        <w:jc w:val="both"/>
        <w:rPr>
          <w:rFonts w:hint="default" w:ascii="宋体" w:hAnsi="Times New Roman" w:eastAsia="Times New Roman"/>
          <w:b/>
          <w:color w:val="auto"/>
          <w:position w:val="0"/>
          <w:sz w:val="30"/>
          <w:szCs w:val="30"/>
        </w:rPr>
      </w:pPr>
    </w:p>
    <w:p>
      <w:pPr>
        <w:numPr>
          <w:ilvl w:val="0"/>
          <w:numId w:val="0"/>
        </w:numPr>
        <w:autoSpaceDE/>
        <w:autoSpaceDN/>
        <w:spacing w:before="0" w:after="0" w:line="240" w:lineRule="auto"/>
        <w:ind w:right="0" w:firstLine="0"/>
        <w:jc w:val="both"/>
        <w:rPr>
          <w:rFonts w:hint="default" w:ascii="宋体" w:hAnsi="Times New Roman" w:eastAsia="Times New Roman"/>
          <w:b/>
          <w:color w:val="auto"/>
          <w:position w:val="0"/>
          <w:sz w:val="30"/>
          <w:szCs w:val="30"/>
        </w:rPr>
      </w:pPr>
    </w:p>
    <w:tbl>
      <w:tblPr>
        <w:tblStyle w:val="33"/>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64"/>
        <w:gridCol w:w="486"/>
        <w:gridCol w:w="6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jc w:val="center"/>
        </w:trPr>
        <w:tc>
          <w:tcPr>
            <w:tcW w:w="2164" w:type="dxa"/>
            <w:vAlign w:val="center"/>
          </w:tcPr>
          <w:p>
            <w:pPr>
              <w:pStyle w:val="20"/>
              <w:numPr>
                <w:ilvl w:val="0"/>
                <w:numId w:val="0"/>
              </w:numPr>
              <w:wordWrap w:val="0"/>
              <w:autoSpaceDE/>
              <w:autoSpaceDN/>
              <w:snapToGrid w:val="0"/>
              <w:spacing w:before="0" w:after="0" w:line="312" w:lineRule="auto"/>
              <w:ind w:right="0" w:firstLine="0"/>
              <w:jc w:val="distribute"/>
              <w:rPr>
                <w:rFonts w:hint="default" w:ascii="仿宋_GB2312" w:hAnsi="仿宋_GB2312" w:eastAsia="仿宋_GB2312"/>
                <w:b/>
                <w:color w:val="auto"/>
                <w:spacing w:val="-20"/>
                <w:position w:val="0"/>
                <w:sz w:val="32"/>
                <w:szCs w:val="32"/>
              </w:rPr>
            </w:pPr>
            <w:r>
              <w:rPr>
                <w:rFonts w:hint="default" w:ascii="仿宋_GB2312" w:hAnsi="仿宋_GB2312" w:eastAsia="仿宋_GB2312"/>
                <w:b/>
                <w:color w:val="auto"/>
                <w:spacing w:val="-20"/>
                <w:position w:val="0"/>
                <w:sz w:val="32"/>
                <w:szCs w:val="32"/>
              </w:rPr>
              <w:t>采购人</w:t>
            </w:r>
          </w:p>
        </w:tc>
        <w:tc>
          <w:tcPr>
            <w:tcW w:w="486" w:type="dxa"/>
            <w:vAlign w:val="center"/>
          </w:tcPr>
          <w:p>
            <w:pPr>
              <w:pStyle w:val="20"/>
              <w:numPr>
                <w:ilvl w:val="0"/>
                <w:numId w:val="0"/>
              </w:numPr>
              <w:wordWrap w:val="0"/>
              <w:autoSpaceDE/>
              <w:autoSpaceDN/>
              <w:snapToGrid w:val="0"/>
              <w:spacing w:before="0" w:after="0" w:line="312" w:lineRule="auto"/>
              <w:ind w:right="0" w:firstLine="0"/>
              <w:jc w:val="center"/>
              <w:rPr>
                <w:rFonts w:hint="default" w:ascii="仿宋_GB2312" w:hAnsi="仿宋_GB2312" w:eastAsia="仿宋_GB2312"/>
                <w:b/>
                <w:color w:val="auto"/>
                <w:position w:val="0"/>
                <w:sz w:val="32"/>
                <w:szCs w:val="32"/>
              </w:rPr>
            </w:pPr>
            <w:r>
              <w:rPr>
                <w:rFonts w:hint="default" w:ascii="仿宋_GB2312" w:hAnsi="仿宋_GB2312" w:eastAsia="仿宋_GB2312"/>
                <w:b/>
                <w:color w:val="auto"/>
                <w:spacing w:val="60"/>
                <w:position w:val="0"/>
                <w:sz w:val="32"/>
                <w:szCs w:val="32"/>
              </w:rPr>
              <w:t>：</w:t>
            </w:r>
          </w:p>
        </w:tc>
        <w:tc>
          <w:tcPr>
            <w:tcW w:w="6350" w:type="dxa"/>
            <w:vAlign w:val="center"/>
          </w:tcPr>
          <w:p>
            <w:pPr>
              <w:pStyle w:val="20"/>
              <w:numPr>
                <w:ilvl w:val="0"/>
                <w:numId w:val="0"/>
              </w:numPr>
              <w:wordWrap w:val="0"/>
              <w:autoSpaceDE/>
              <w:autoSpaceDN/>
              <w:snapToGrid w:val="0"/>
              <w:spacing w:before="0" w:after="0" w:line="312" w:lineRule="auto"/>
              <w:ind w:right="0" w:firstLine="0"/>
              <w:jc w:val="center"/>
              <w:rPr>
                <w:rFonts w:hint="default" w:ascii="仿宋_GB2312" w:hAnsi="仿宋_GB2312" w:eastAsia="仿宋_GB2312"/>
                <w:b/>
                <w:color w:val="auto"/>
                <w:position w:val="0"/>
                <w:sz w:val="32"/>
                <w:szCs w:val="32"/>
              </w:rPr>
            </w:pPr>
            <w:r>
              <w:rPr>
                <w:rFonts w:hint="default" w:ascii="仿宋_GB2312" w:hAnsi="仿宋_GB2312" w:eastAsia="仿宋_GB2312"/>
                <w:b/>
                <w:color w:val="auto"/>
                <w:position w:val="0"/>
                <w:sz w:val="32"/>
                <w:szCs w:val="32"/>
              </w:rPr>
              <w:t>铜陵学院（盖章）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2164" w:type="dxa"/>
            <w:vAlign w:val="center"/>
          </w:tcPr>
          <w:p>
            <w:pPr>
              <w:pStyle w:val="20"/>
              <w:numPr>
                <w:ilvl w:val="0"/>
                <w:numId w:val="0"/>
              </w:numPr>
              <w:wordWrap w:val="0"/>
              <w:autoSpaceDE/>
              <w:autoSpaceDN/>
              <w:snapToGrid w:val="0"/>
              <w:spacing w:before="0" w:after="0" w:line="312" w:lineRule="auto"/>
              <w:ind w:right="0" w:firstLine="0"/>
              <w:jc w:val="distribute"/>
              <w:rPr>
                <w:rFonts w:hint="default" w:ascii="仿宋_GB2312" w:hAnsi="仿宋_GB2312" w:eastAsia="仿宋_GB2312"/>
                <w:b/>
                <w:color w:val="auto"/>
                <w:spacing w:val="-20"/>
                <w:position w:val="0"/>
                <w:sz w:val="32"/>
                <w:szCs w:val="32"/>
              </w:rPr>
            </w:pPr>
            <w:r>
              <w:rPr>
                <w:rFonts w:hint="default" w:ascii="仿宋_GB2312" w:hAnsi="仿宋_GB2312" w:eastAsia="仿宋_GB2312"/>
                <w:b/>
                <w:color w:val="auto"/>
                <w:spacing w:val="-20"/>
                <w:position w:val="0"/>
                <w:sz w:val="32"/>
                <w:szCs w:val="32"/>
              </w:rPr>
              <w:t>采购代理机构</w:t>
            </w:r>
          </w:p>
        </w:tc>
        <w:tc>
          <w:tcPr>
            <w:tcW w:w="486" w:type="dxa"/>
            <w:vAlign w:val="center"/>
          </w:tcPr>
          <w:p>
            <w:pPr>
              <w:pStyle w:val="20"/>
              <w:numPr>
                <w:ilvl w:val="0"/>
                <w:numId w:val="0"/>
              </w:numPr>
              <w:wordWrap w:val="0"/>
              <w:autoSpaceDE/>
              <w:autoSpaceDN/>
              <w:snapToGrid w:val="0"/>
              <w:spacing w:before="0" w:after="0" w:line="312" w:lineRule="auto"/>
              <w:ind w:right="0" w:firstLine="0"/>
              <w:jc w:val="center"/>
              <w:rPr>
                <w:rFonts w:hint="default" w:ascii="仿宋_GB2312" w:hAnsi="仿宋_GB2312" w:eastAsia="仿宋_GB2312"/>
                <w:b/>
                <w:color w:val="auto"/>
                <w:position w:val="0"/>
                <w:sz w:val="32"/>
                <w:szCs w:val="32"/>
              </w:rPr>
            </w:pPr>
            <w:r>
              <w:rPr>
                <w:rFonts w:hint="default" w:ascii="仿宋_GB2312" w:hAnsi="仿宋_GB2312" w:eastAsia="仿宋_GB2312"/>
                <w:b/>
                <w:color w:val="auto"/>
                <w:spacing w:val="-20"/>
                <w:position w:val="0"/>
                <w:sz w:val="32"/>
                <w:szCs w:val="32"/>
              </w:rPr>
              <w:t>：</w:t>
            </w:r>
          </w:p>
        </w:tc>
        <w:tc>
          <w:tcPr>
            <w:tcW w:w="6350" w:type="dxa"/>
            <w:vAlign w:val="center"/>
          </w:tcPr>
          <w:p>
            <w:pPr>
              <w:pStyle w:val="20"/>
              <w:numPr>
                <w:ilvl w:val="0"/>
                <w:numId w:val="0"/>
              </w:numPr>
              <w:wordWrap w:val="0"/>
              <w:autoSpaceDE/>
              <w:autoSpaceDN/>
              <w:snapToGrid w:val="0"/>
              <w:spacing w:before="0" w:after="0" w:line="312" w:lineRule="auto"/>
              <w:ind w:right="0" w:firstLine="0"/>
              <w:jc w:val="center"/>
              <w:rPr>
                <w:rFonts w:hint="default" w:ascii="仿宋_GB2312" w:hAnsi="仿宋_GB2312" w:eastAsia="仿宋_GB2312"/>
                <w:b/>
                <w:color w:val="auto"/>
                <w:position w:val="0"/>
                <w:sz w:val="32"/>
                <w:szCs w:val="32"/>
              </w:rPr>
            </w:pPr>
            <w:r>
              <w:rPr>
                <w:rFonts w:hint="default" w:ascii="仿宋_GB2312" w:hAnsi="仿宋_GB2312" w:eastAsia="仿宋_GB2312"/>
                <w:b/>
                <w:color w:val="auto"/>
                <w:position w:val="0"/>
                <w:sz w:val="32"/>
                <w:szCs w:val="32"/>
              </w:rPr>
              <w:t>浙江兴业建设项目管理有限公司（盖章）</w:t>
            </w:r>
          </w:p>
        </w:tc>
      </w:tr>
    </w:tbl>
    <w:p>
      <w:pPr>
        <w:numPr>
          <w:ilvl w:val="0"/>
          <w:numId w:val="0"/>
        </w:numPr>
        <w:autoSpaceDE/>
        <w:autoSpaceDN/>
        <w:spacing w:before="0" w:after="0" w:line="24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240" w:lineRule="auto"/>
        <w:ind w:right="0" w:firstLine="0"/>
        <w:jc w:val="center"/>
        <w:rPr>
          <w:rFonts w:hint="default" w:ascii="宋体" w:hAnsi="Times New Roman" w:eastAsia="Times New Roman"/>
          <w:b/>
          <w:color w:val="auto"/>
          <w:position w:val="0"/>
          <w:sz w:val="30"/>
          <w:szCs w:val="30"/>
        </w:rPr>
      </w:pPr>
      <w:r>
        <w:rPr>
          <w:rFonts w:hint="default" w:ascii="宋体" w:hAnsi="Times New Roman" w:eastAsia="Times New Roman"/>
          <w:b/>
          <w:color w:val="auto"/>
          <w:position w:val="0"/>
          <w:sz w:val="30"/>
          <w:szCs w:val="30"/>
        </w:rPr>
        <w:t>二〇二〇年</w:t>
      </w:r>
      <w:r>
        <w:rPr>
          <w:rFonts w:hint="eastAsia" w:ascii="宋体" w:eastAsia="宋体"/>
          <w:b/>
          <w:color w:val="auto"/>
          <w:position w:val="0"/>
          <w:sz w:val="30"/>
          <w:szCs w:val="30"/>
          <w:lang w:eastAsia="zh-CN"/>
        </w:rPr>
        <w:t>八</w:t>
      </w:r>
      <w:r>
        <w:rPr>
          <w:rFonts w:hint="default" w:ascii="宋体" w:hAnsi="Times New Roman" w:eastAsia="Times New Roman"/>
          <w:b/>
          <w:color w:val="auto"/>
          <w:position w:val="0"/>
          <w:sz w:val="30"/>
          <w:szCs w:val="30"/>
        </w:rPr>
        <w:t>月</w:t>
      </w:r>
    </w:p>
    <w:p>
      <w:pPr>
        <w:numPr>
          <w:ilvl w:val="0"/>
          <w:numId w:val="0"/>
        </w:numPr>
        <w:autoSpaceDE/>
        <w:autoSpaceDN/>
        <w:spacing w:before="0" w:after="0" w:line="240" w:lineRule="auto"/>
        <w:ind w:right="0" w:firstLine="0"/>
        <w:jc w:val="center"/>
        <w:rPr>
          <w:rFonts w:hint="default" w:ascii="宋体" w:hAnsi="Times New Roman" w:eastAsia="Times New Roman"/>
          <w:b/>
          <w:color w:val="auto"/>
          <w:position w:val="0"/>
          <w:sz w:val="30"/>
          <w:szCs w:val="30"/>
        </w:rPr>
        <w:sectPr>
          <w:pgSz w:w="11906" w:h="16838"/>
          <w:pgMar w:top="1440" w:right="1800" w:bottom="1440" w:left="1800" w:header="851" w:footer="992" w:gutter="0"/>
          <w:pgNumType w:fmt="decimal"/>
          <w:docGrid w:type="lines" w:linePitch="312" w:charSpace="0"/>
        </w:sectPr>
      </w:pPr>
    </w:p>
    <w:p>
      <w:pPr>
        <w:numPr>
          <w:ilvl w:val="0"/>
          <w:numId w:val="0"/>
        </w:numPr>
        <w:shd w:val="clear" w:color="000000" w:fill="FFFFFF"/>
        <w:autoSpaceDE/>
        <w:autoSpaceDN/>
        <w:spacing w:before="0" w:after="0" w:line="360" w:lineRule="auto"/>
        <w:ind w:right="0" w:firstLine="361"/>
        <w:jc w:val="center"/>
        <w:rPr>
          <w:rFonts w:hint="default" w:ascii="宋体" w:hAnsi="宋体" w:eastAsia="宋体"/>
          <w:b/>
          <w:color w:val="333333"/>
          <w:position w:val="0"/>
          <w:sz w:val="36"/>
          <w:szCs w:val="36"/>
        </w:rPr>
      </w:pPr>
      <w:r>
        <w:rPr>
          <w:rFonts w:hint="default" w:ascii="宋体" w:hAnsi="Times New Roman" w:eastAsia="Times New Roman"/>
          <w:b/>
          <w:color w:val="333333"/>
          <w:position w:val="0"/>
          <w:sz w:val="36"/>
          <w:szCs w:val="36"/>
        </w:rPr>
        <w:t>铜陵学院风雨操场智能化系统深化设计项目</w:t>
      </w:r>
    </w:p>
    <w:p>
      <w:pPr>
        <w:numPr>
          <w:ilvl w:val="0"/>
          <w:numId w:val="0"/>
        </w:numPr>
        <w:shd w:val="clear" w:color="000000" w:fill="FFFFFF"/>
        <w:autoSpaceDE/>
        <w:autoSpaceDN/>
        <w:spacing w:before="0" w:after="0" w:line="360" w:lineRule="auto"/>
        <w:ind w:right="0" w:firstLine="361"/>
        <w:jc w:val="center"/>
        <w:rPr>
          <w:rFonts w:hint="default" w:ascii="宋体" w:hAnsi="宋体" w:eastAsia="宋体"/>
          <w:b/>
          <w:color w:val="333333"/>
          <w:position w:val="0"/>
          <w:sz w:val="36"/>
          <w:szCs w:val="36"/>
        </w:rPr>
      </w:pPr>
      <w:r>
        <w:rPr>
          <w:rFonts w:hint="default" w:ascii="宋体" w:hAnsi="Times New Roman" w:eastAsia="Times New Roman"/>
          <w:b/>
          <w:color w:val="333333"/>
          <w:position w:val="0"/>
          <w:sz w:val="36"/>
          <w:szCs w:val="36"/>
        </w:rPr>
        <w:t>竞争性磋商公告</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u w:val="single"/>
        </w:rPr>
        <w:t>浙江兴业建设项目管理有限公司</w:t>
      </w:r>
      <w:r>
        <w:rPr>
          <w:rFonts w:hint="default" w:ascii="宋体" w:hAnsi="Times New Roman" w:eastAsia="Times New Roman"/>
          <w:color w:val="333333"/>
          <w:position w:val="0"/>
          <w:sz w:val="24"/>
          <w:szCs w:val="24"/>
        </w:rPr>
        <w:t>受</w:t>
      </w:r>
      <w:r>
        <w:rPr>
          <w:rFonts w:hint="default" w:ascii="宋体" w:hAnsi="Times New Roman" w:eastAsia="Times New Roman"/>
          <w:color w:val="333333"/>
          <w:position w:val="0"/>
          <w:sz w:val="24"/>
          <w:szCs w:val="24"/>
          <w:u w:val="single"/>
        </w:rPr>
        <w:t>铜陵学院</w:t>
      </w:r>
      <w:r>
        <w:rPr>
          <w:rFonts w:hint="default" w:ascii="宋体" w:hAnsi="Times New Roman" w:eastAsia="Times New Roman"/>
          <w:color w:val="333333"/>
          <w:position w:val="0"/>
          <w:sz w:val="24"/>
          <w:szCs w:val="24"/>
        </w:rPr>
        <w:t>的委托，现对</w:t>
      </w:r>
      <w:r>
        <w:rPr>
          <w:rFonts w:hint="default" w:ascii="宋体" w:hAnsi="Times New Roman" w:eastAsia="Times New Roman"/>
          <w:color w:val="333333"/>
          <w:position w:val="0"/>
          <w:sz w:val="24"/>
          <w:szCs w:val="24"/>
          <w:u w:val="single"/>
        </w:rPr>
        <w:t>铜陵学院风雨操场智能化系统深化设计项目</w:t>
      </w:r>
      <w:r>
        <w:rPr>
          <w:rFonts w:hint="default" w:ascii="宋体" w:hAnsi="Times New Roman" w:eastAsia="Times New Roman"/>
          <w:color w:val="333333"/>
          <w:position w:val="0"/>
          <w:sz w:val="24"/>
          <w:szCs w:val="24"/>
        </w:rPr>
        <w:t>进行竞争性磋商，欢迎具备条件的国内供应商参加磋商。</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8"/>
          <w:szCs w:val="28"/>
        </w:rPr>
      </w:pPr>
      <w:r>
        <w:rPr>
          <w:rFonts w:hint="default" w:ascii="宋体" w:hAnsi="Times New Roman" w:eastAsia="Times New Roman"/>
          <w:b/>
          <w:color w:val="333333"/>
          <w:position w:val="0"/>
          <w:sz w:val="28"/>
          <w:szCs w:val="28"/>
        </w:rPr>
        <w:t>一、项目名称及内容</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1、项目编号：兴业招采【2020】002</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2、项目名称：铜陵学院风雨操场智能化系统深化设计项目</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3、项目单位：铜陵学院</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4、资金来源：专项资金 </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5、项目预算：29.8万元</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6、最高投标限价：29.8万元</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7、项目概况：铜陵学院风雨操场集室内体育馆和室内游泳馆于一体，主要满足学校体育教学和体育训练需要，亦能承办单项国家级比赛，按丙级馆标准设计。该项目占地面积1824.96平方米，地下二层为室内游泳馆，地下建筑面积为4201.33平方米，设有50*25*2(m)标准泳池，地上四层为室内体育馆，建筑面积为10085.83平方米，能容纳5000人观看比赛，建筑总高度20.55m。</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本项目为铜陵学院风雨操场智能化系统深化设计，深化后的设计图纸应满足招标及施工要求。</w:t>
      </w:r>
    </w:p>
    <w:p>
      <w:pPr>
        <w:numPr>
          <w:ilvl w:val="0"/>
          <w:numId w:val="0"/>
        </w:numPr>
        <w:shd w:val="clear" w:color="000000" w:fill="FFFFFF"/>
        <w:autoSpaceDE/>
        <w:autoSpaceDN/>
        <w:spacing w:before="0" w:after="0" w:line="360" w:lineRule="auto"/>
        <w:ind w:right="0" w:firstLine="480"/>
        <w:jc w:val="left"/>
        <w:rPr>
          <w:rFonts w:hint="default" w:ascii="宋体" w:hAnsi="Times New Roman" w:eastAsia="Times New Roman"/>
          <w:color w:val="000000" w:themeColor="text1"/>
          <w:position w:val="0"/>
          <w:sz w:val="24"/>
          <w:szCs w:val="24"/>
          <w:highlight w:val="none"/>
          <w14:textFill>
            <w14:solidFill>
              <w14:schemeClr w14:val="tx1"/>
            </w14:solidFill>
          </w14:textFill>
        </w:rPr>
      </w:pPr>
      <w:r>
        <w:rPr>
          <w:rFonts w:hint="default" w:ascii="宋体" w:hAnsi="Times New Roman" w:eastAsia="Times New Roman"/>
          <w:color w:val="000000" w:themeColor="text1"/>
          <w:position w:val="0"/>
          <w:sz w:val="24"/>
          <w:szCs w:val="24"/>
          <w:highlight w:val="none"/>
          <w14:textFill>
            <w14:solidFill>
              <w14:schemeClr w14:val="tx1"/>
            </w14:solidFill>
          </w14:textFill>
        </w:rPr>
        <w:t>8、招标范围：风雨操场项目的智能化系统：包括变电所电能管理分系统、能量计量系统</w:t>
      </w:r>
      <w:r>
        <w:rPr>
          <w:rFonts w:hint="eastAsia" w:ascii="宋体" w:hAnsi="Times New Roman" w:eastAsia="Times New Roman"/>
          <w:color w:val="000000" w:themeColor="text1"/>
          <w:position w:val="0"/>
          <w:sz w:val="24"/>
          <w:szCs w:val="24"/>
          <w:highlight w:val="none"/>
          <w:lang w:eastAsia="zh-CN"/>
          <w14:textFill>
            <w14:solidFill>
              <w14:schemeClr w14:val="tx1"/>
            </w14:solidFill>
          </w14:textFill>
        </w:rPr>
        <w:t>、</w:t>
      </w:r>
      <w:r>
        <w:rPr>
          <w:rFonts w:hint="default" w:ascii="宋体" w:hAnsi="Times New Roman" w:eastAsia="Times New Roman"/>
          <w:color w:val="000000" w:themeColor="text1"/>
          <w:position w:val="0"/>
          <w:sz w:val="24"/>
          <w:szCs w:val="24"/>
          <w:highlight w:val="none"/>
          <w14:textFill>
            <w14:solidFill>
              <w14:schemeClr w14:val="tx1"/>
            </w14:solidFill>
          </w14:textFill>
        </w:rPr>
        <w:t>综合布线系统、有线电视系统、校园广播系统、电教室扩音系统、</w:t>
      </w:r>
      <w:r>
        <w:rPr>
          <w:rFonts w:hint="eastAsia" w:ascii="宋体" w:hAnsi="Times New Roman" w:eastAsia="Times New Roman"/>
          <w:color w:val="000000" w:themeColor="text1"/>
          <w:position w:val="0"/>
          <w:sz w:val="24"/>
          <w:szCs w:val="24"/>
          <w:highlight w:val="none"/>
          <w:lang w:eastAsia="zh-CN"/>
          <w14:textFill>
            <w14:solidFill>
              <w14:schemeClr w14:val="tx1"/>
            </w14:solidFill>
          </w14:textFill>
        </w:rPr>
        <w:t>比赛扩音系统、</w:t>
      </w:r>
      <w:r>
        <w:rPr>
          <w:rFonts w:hint="default" w:ascii="宋体" w:hAnsi="Times New Roman" w:eastAsia="Times New Roman"/>
          <w:color w:val="000000" w:themeColor="text1"/>
          <w:position w:val="0"/>
          <w:sz w:val="24"/>
          <w:szCs w:val="24"/>
          <w:highlight w:val="none"/>
          <w14:textFill>
            <w14:solidFill>
              <w14:schemeClr w14:val="tx1"/>
            </w14:solidFill>
          </w14:textFill>
        </w:rPr>
        <w:t>校园一卡通管理系统、计时计分系统、</w:t>
      </w:r>
      <w:r>
        <w:rPr>
          <w:rFonts w:hint="eastAsia" w:ascii="宋体" w:hAnsi="Times New Roman" w:eastAsia="Times New Roman"/>
          <w:color w:val="000000" w:themeColor="text1"/>
          <w:position w:val="0"/>
          <w:sz w:val="24"/>
          <w:szCs w:val="24"/>
          <w:highlight w:val="none"/>
          <w:lang w:eastAsia="zh-CN"/>
          <w14:textFill>
            <w14:solidFill>
              <w14:schemeClr w14:val="tx1"/>
            </w14:solidFill>
          </w14:textFill>
        </w:rPr>
        <w:t>高清大屏幕显示系统、专业照明系统、全自动升旗系统、售票检票系统等</w:t>
      </w:r>
      <w:r>
        <w:rPr>
          <w:rFonts w:hint="default" w:ascii="宋体" w:hAnsi="Times New Roman" w:eastAsia="Times New Roman"/>
          <w:color w:val="000000" w:themeColor="text1"/>
          <w:position w:val="0"/>
          <w:sz w:val="24"/>
          <w:szCs w:val="24"/>
          <w:highlight w:val="none"/>
          <w14:textFill>
            <w14:solidFill>
              <w14:schemeClr w14:val="tx1"/>
            </w14:solidFill>
          </w14:textFill>
        </w:rPr>
        <w:t>，详见施工图纸。</w:t>
      </w:r>
    </w:p>
    <w:p>
      <w:pPr>
        <w:numPr>
          <w:ilvl w:val="0"/>
          <w:numId w:val="0"/>
        </w:numPr>
        <w:shd w:val="clear" w:color="000000" w:fill="FFFFFF"/>
        <w:autoSpaceDE/>
        <w:autoSpaceDN/>
        <w:spacing w:before="0" w:after="0" w:line="360" w:lineRule="auto"/>
        <w:ind w:right="0" w:firstLine="48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9、标段（包别）划分：一个标段</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8"/>
          <w:szCs w:val="28"/>
        </w:rPr>
      </w:pPr>
      <w:r>
        <w:rPr>
          <w:rFonts w:hint="default" w:ascii="宋体" w:hAnsi="Times New Roman" w:eastAsia="Times New Roman"/>
          <w:b/>
          <w:color w:val="333333"/>
          <w:position w:val="0"/>
          <w:sz w:val="28"/>
          <w:szCs w:val="28"/>
        </w:rPr>
        <w:t>二、供应商资格</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auto"/>
          <w:position w:val="0"/>
          <w:sz w:val="24"/>
          <w:szCs w:val="24"/>
        </w:rPr>
      </w:pPr>
      <w:r>
        <w:rPr>
          <w:rFonts w:hint="default" w:ascii="宋体" w:hAnsi="Times New Roman" w:eastAsia="Times New Roman"/>
          <w:color w:val="auto"/>
          <w:position w:val="0"/>
          <w:sz w:val="24"/>
          <w:szCs w:val="24"/>
        </w:rPr>
        <w:t>1、符合《中华人民共和国政府采购法》第二十二条的规定，具有独立法人资格，具有有效的营业执照且营业执照中具有从事本项目的经营范围和能力。</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2、投标人资质要求：具备工程设计综合甲级资质或建筑行业（建筑工程）乙级（含）及以上设计资质（可承担范围须包含建筑智能化系统设计）或建筑智能化系统设计专项乙级及以上资质； </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3、拟派项目负责人：需同时提供：①具有电气相关专业高级（含）以上工程师技术职称。②开标截止时间前半年内在该投标单位连续三个月的社保缴纳证明。</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auto"/>
          <w:position w:val="0"/>
          <w:sz w:val="24"/>
          <w:szCs w:val="24"/>
        </w:rPr>
      </w:pPr>
      <w:r>
        <w:rPr>
          <w:rFonts w:hint="default" w:ascii="宋体" w:hAnsi="Times New Roman" w:eastAsia="Times New Roman"/>
          <w:color w:val="auto"/>
          <w:position w:val="0"/>
          <w:sz w:val="24"/>
          <w:szCs w:val="24"/>
        </w:rPr>
        <w:t>4、业绩要求：拟派项目负责人近6年来具有(能容纳5000个座位及以上或建筑面积达到1万m2及以上)的室内体育馆智能化设计或总包(含智能化)设计业绩的；</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auto"/>
          <w:position w:val="0"/>
          <w:sz w:val="24"/>
          <w:szCs w:val="24"/>
        </w:rPr>
      </w:pPr>
      <w:r>
        <w:rPr>
          <w:rFonts w:hint="default" w:ascii="宋体" w:hAnsi="Times New Roman" w:eastAsia="Times New Roman"/>
          <w:color w:val="auto"/>
          <w:position w:val="0"/>
          <w:sz w:val="24"/>
          <w:szCs w:val="24"/>
        </w:rPr>
        <w:t>5、本项目不接受联合体磋商； </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auto"/>
          <w:position w:val="0"/>
          <w:sz w:val="24"/>
          <w:szCs w:val="24"/>
        </w:rPr>
        <w:t>6、供应商存在以下不良信用记录情形之一的，不得推荐为</w:t>
      </w:r>
      <w:r>
        <w:rPr>
          <w:rFonts w:hint="default" w:ascii="宋体" w:hAnsi="Times New Roman" w:eastAsia="Times New Roman"/>
          <w:color w:val="333333"/>
          <w:position w:val="0"/>
          <w:sz w:val="24"/>
          <w:szCs w:val="24"/>
        </w:rPr>
        <w:t>中标候选供应商，不得确定为中标供应商：</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(1）供应商被人民法院列入失信被执行人的；</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(2）供应商或其法定代表人或拟派项目经理（项目负责人）被人民检察院列入行贿犯罪档案的；</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(3）供应商被工商行政管理部门列入企业经营异常名录的；</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(4）供应商被税务部门列入重大税收违法案件当事人名单的；</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(5）供应商被政府采购监管部门列入政府采购严重违法失信行为记录名单的。</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7、在安徽省内受到市级（仅指地级市）及以上招投标行政主管部门限制投标处罚的，至投标截止之日仍在处罚期内的投标人不得参与投标。</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333333"/>
          <w:position w:val="0"/>
          <w:sz w:val="28"/>
          <w:szCs w:val="28"/>
        </w:rPr>
      </w:pPr>
      <w:r>
        <w:rPr>
          <w:rFonts w:hint="default" w:ascii="宋体" w:hAnsi="Times New Roman" w:eastAsia="Times New Roman"/>
          <w:b/>
          <w:color w:val="333333"/>
          <w:position w:val="0"/>
          <w:sz w:val="28"/>
          <w:szCs w:val="28"/>
        </w:rPr>
        <w:t>三、报名事项：</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000000" w:themeColor="text1"/>
          <w:position w:val="0"/>
          <w:sz w:val="24"/>
          <w:szCs w:val="24"/>
          <w14:textFill>
            <w14:solidFill>
              <w14:schemeClr w14:val="tx1"/>
            </w14:solidFill>
          </w14:textFill>
        </w:rPr>
      </w:pPr>
      <w:r>
        <w:rPr>
          <w:rFonts w:hint="default" w:ascii="宋体" w:hAnsi="Times New Roman" w:eastAsia="Times New Roman"/>
          <w:color w:val="000000" w:themeColor="text1"/>
          <w:position w:val="0"/>
          <w:sz w:val="24"/>
          <w:szCs w:val="24"/>
          <w14:textFill>
            <w14:solidFill>
              <w14:schemeClr w14:val="tx1"/>
            </w14:solidFill>
          </w14:textFill>
        </w:rPr>
        <w:t>1、报名时间：</w:t>
      </w:r>
      <w:r>
        <w:rPr>
          <w:rFonts w:hint="default" w:ascii="宋体" w:hAnsi="Times New Roman" w:eastAsia="Times New Roman"/>
          <w:color w:val="000000" w:themeColor="text1"/>
          <w:position w:val="0"/>
          <w:sz w:val="24"/>
          <w:szCs w:val="24"/>
          <w:u w:val="single"/>
          <w14:textFill>
            <w14:solidFill>
              <w14:schemeClr w14:val="tx1"/>
            </w14:solidFill>
          </w14:textFill>
        </w:rPr>
        <w:t>2020</w:t>
      </w:r>
      <w:r>
        <w:rPr>
          <w:rFonts w:hint="default" w:ascii="宋体" w:hAnsi="Times New Roman" w:eastAsia="Times New Roman"/>
          <w:color w:val="000000" w:themeColor="text1"/>
          <w:position w:val="0"/>
          <w:sz w:val="24"/>
          <w:szCs w:val="24"/>
          <w14:textFill>
            <w14:solidFill>
              <w14:schemeClr w14:val="tx1"/>
            </w14:solidFill>
          </w14:textFill>
        </w:rPr>
        <w:t>年</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eastAsia" w:ascii="宋体" w:eastAsia="宋体"/>
          <w:color w:val="000000" w:themeColor="text1"/>
          <w:position w:val="0"/>
          <w:sz w:val="24"/>
          <w:szCs w:val="24"/>
          <w:u w:val="single"/>
          <w:lang w:val="en-US" w:eastAsia="zh-CN"/>
          <w14:textFill>
            <w14:solidFill>
              <w14:schemeClr w14:val="tx1"/>
            </w14:solidFill>
          </w14:textFill>
        </w:rPr>
        <w:t>08</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default" w:ascii="宋体" w:hAnsi="Times New Roman" w:eastAsia="Times New Roman"/>
          <w:color w:val="000000" w:themeColor="text1"/>
          <w:position w:val="0"/>
          <w:sz w:val="24"/>
          <w:szCs w:val="24"/>
          <w14:textFill>
            <w14:solidFill>
              <w14:schemeClr w14:val="tx1"/>
            </w14:solidFill>
          </w14:textFill>
        </w:rPr>
        <w:t>月</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eastAsia" w:ascii="宋体" w:eastAsia="宋体"/>
          <w:color w:val="000000" w:themeColor="text1"/>
          <w:position w:val="0"/>
          <w:sz w:val="24"/>
          <w:szCs w:val="24"/>
          <w:u w:val="single"/>
          <w:lang w:val="en-US" w:eastAsia="zh-CN"/>
          <w14:textFill>
            <w14:solidFill>
              <w14:schemeClr w14:val="tx1"/>
            </w14:solidFill>
          </w14:textFill>
        </w:rPr>
        <w:t>20</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default" w:ascii="宋体" w:hAnsi="Times New Roman" w:eastAsia="Times New Roman"/>
          <w:color w:val="000000" w:themeColor="text1"/>
          <w:position w:val="0"/>
          <w:sz w:val="24"/>
          <w:szCs w:val="24"/>
          <w14:textFill>
            <w14:solidFill>
              <w14:schemeClr w14:val="tx1"/>
            </w14:solidFill>
          </w14:textFill>
        </w:rPr>
        <w:t>日至</w:t>
      </w:r>
      <w:r>
        <w:rPr>
          <w:rFonts w:hint="default" w:ascii="宋体" w:hAnsi="Times New Roman" w:eastAsia="Times New Roman"/>
          <w:color w:val="000000" w:themeColor="text1"/>
          <w:position w:val="0"/>
          <w:sz w:val="24"/>
          <w:szCs w:val="24"/>
          <w:u w:val="single"/>
          <w14:textFill>
            <w14:solidFill>
              <w14:schemeClr w14:val="tx1"/>
            </w14:solidFill>
          </w14:textFill>
        </w:rPr>
        <w:t>2020</w:t>
      </w:r>
      <w:r>
        <w:rPr>
          <w:rFonts w:hint="default" w:ascii="宋体" w:hAnsi="Times New Roman" w:eastAsia="Times New Roman"/>
          <w:color w:val="000000" w:themeColor="text1"/>
          <w:position w:val="0"/>
          <w:sz w:val="24"/>
          <w:szCs w:val="24"/>
          <w14:textFill>
            <w14:solidFill>
              <w14:schemeClr w14:val="tx1"/>
            </w14:solidFill>
          </w14:textFill>
        </w:rPr>
        <w:t>年</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0</w:t>
      </w:r>
      <w:r>
        <w:rPr>
          <w:rFonts w:hint="eastAsia" w:ascii="宋体" w:eastAsia="宋体"/>
          <w:color w:val="000000" w:themeColor="text1"/>
          <w:position w:val="0"/>
          <w:sz w:val="24"/>
          <w:szCs w:val="24"/>
          <w:u w:val="single"/>
          <w:lang w:val="en-US" w:eastAsia="zh-CN"/>
          <w14:textFill>
            <w14:solidFill>
              <w14:schemeClr w14:val="tx1"/>
            </w14:solidFill>
          </w14:textFill>
        </w:rPr>
        <w:t>8</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default" w:ascii="宋体" w:hAnsi="Times New Roman" w:eastAsia="Times New Roman"/>
          <w:color w:val="000000" w:themeColor="text1"/>
          <w:position w:val="0"/>
          <w:sz w:val="24"/>
          <w:szCs w:val="24"/>
          <w14:textFill>
            <w14:solidFill>
              <w14:schemeClr w14:val="tx1"/>
            </w14:solidFill>
          </w14:textFill>
        </w:rPr>
        <w:t>月</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eastAsia" w:ascii="宋体" w:eastAsia="宋体"/>
          <w:color w:val="000000" w:themeColor="text1"/>
          <w:position w:val="0"/>
          <w:sz w:val="24"/>
          <w:szCs w:val="24"/>
          <w:u w:val="single"/>
          <w:lang w:val="en-US" w:eastAsia="zh-CN"/>
          <w14:textFill>
            <w14:solidFill>
              <w14:schemeClr w14:val="tx1"/>
            </w14:solidFill>
          </w14:textFill>
        </w:rPr>
        <w:t>26</w:t>
      </w:r>
      <w:r>
        <w:rPr>
          <w:rFonts w:hint="default" w:ascii="宋体" w:hAnsi="Times New Roman" w:eastAsia="Times New Roman"/>
          <w:color w:val="000000" w:themeColor="text1"/>
          <w:position w:val="0"/>
          <w:sz w:val="24"/>
          <w:szCs w:val="24"/>
          <w:u w:val="single"/>
          <w14:textFill>
            <w14:solidFill>
              <w14:schemeClr w14:val="tx1"/>
            </w14:solidFill>
          </w14:textFill>
        </w:rPr>
        <w:t xml:space="preserve"> </w:t>
      </w:r>
      <w:r>
        <w:rPr>
          <w:rFonts w:hint="default" w:ascii="宋体" w:hAnsi="Times New Roman" w:eastAsia="Times New Roman"/>
          <w:color w:val="000000" w:themeColor="text1"/>
          <w:position w:val="0"/>
          <w:sz w:val="24"/>
          <w:szCs w:val="24"/>
          <w14:textFill>
            <w14:solidFill>
              <w14:schemeClr w14:val="tx1"/>
            </w14:solidFill>
          </w14:textFill>
        </w:rPr>
        <w:t>日每日上午9时至12时。下午2时至6 时 （北京时间，下同）。</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2、报名地点：浙江兴业建设项目管理有限公司（铜冠商务大厦1016室）。</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3、电子磋商文件工本费：300元/份。</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4、投标截止时间：同磋商时间</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地点：浙江兴业建设项目管理有限公司</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5、报名资料：企业介绍信、授权书原件、被授权人身份证原件及复印件，复印件需加盖公章。</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000000" w:themeColor="text1"/>
          <w:position w:val="0"/>
          <w:sz w:val="28"/>
          <w:szCs w:val="28"/>
          <w14:textFill>
            <w14:solidFill>
              <w14:schemeClr w14:val="tx1"/>
            </w14:solidFill>
          </w14:textFill>
        </w:rPr>
      </w:pPr>
      <w:r>
        <w:rPr>
          <w:rFonts w:hint="default" w:ascii="宋体" w:hAnsi="Times New Roman" w:eastAsia="Times New Roman"/>
          <w:color w:val="000000" w:themeColor="text1"/>
          <w:position w:val="0"/>
          <w:sz w:val="24"/>
          <w:szCs w:val="24"/>
          <w14:textFill>
            <w14:solidFill>
              <w14:schemeClr w14:val="tx1"/>
            </w14:solidFill>
          </w14:textFill>
        </w:rPr>
        <w:t>6、本次磋商公告同时在铜陵学院网(http://www.tlu.edu.cn)、筑脸网（www.buildface.net）、中国政府采购网（http://</w:t>
      </w:r>
      <w:r>
        <w:fldChar w:fldCharType="begin"/>
      </w:r>
      <w:r>
        <w:instrText xml:space="preserve"> HYPERLINK "http://www.ccgp.gov.cn/" \h </w:instrText>
      </w:r>
      <w:r>
        <w:fldChar w:fldCharType="separate"/>
      </w:r>
      <w:r>
        <w:rPr>
          <w:rFonts w:hint="default" w:ascii="宋体" w:hAnsi="Times New Roman" w:eastAsia="Times New Roman"/>
          <w:color w:val="000000" w:themeColor="text1"/>
          <w:position w:val="0"/>
          <w:sz w:val="24"/>
          <w:szCs w:val="24"/>
          <w14:textFill>
            <w14:solidFill>
              <w14:schemeClr w14:val="tx1"/>
            </w14:solidFill>
          </w14:textFill>
        </w:rPr>
        <w:t>www.ccgp.gov.cn</w:t>
      </w:r>
      <w:r>
        <w:rPr>
          <w:rFonts w:hint="default" w:ascii="宋体" w:hAnsi="Times New Roman" w:eastAsia="Times New Roman"/>
          <w:color w:val="000000" w:themeColor="text1"/>
          <w:position w:val="0"/>
          <w:sz w:val="24"/>
          <w:szCs w:val="24"/>
          <w14:textFill>
            <w14:solidFill>
              <w14:schemeClr w14:val="tx1"/>
            </w14:solidFill>
          </w14:textFill>
        </w:rPr>
        <w:fldChar w:fldCharType="end"/>
      </w:r>
      <w:r>
        <w:rPr>
          <w:rFonts w:hint="default" w:ascii="宋体" w:hAnsi="Times New Roman" w:eastAsia="Times New Roman"/>
          <w:color w:val="000000" w:themeColor="text1"/>
          <w:position w:val="0"/>
          <w:sz w:val="24"/>
          <w:szCs w:val="24"/>
          <w14:textFill>
            <w14:solidFill>
              <w14:schemeClr w14:val="tx1"/>
            </w14:solidFill>
          </w14:textFill>
        </w:rPr>
        <w:t>）发布。</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333333"/>
          <w:position w:val="0"/>
          <w:sz w:val="28"/>
          <w:szCs w:val="28"/>
        </w:rPr>
      </w:pPr>
      <w:r>
        <w:rPr>
          <w:rFonts w:hint="default" w:ascii="宋体" w:hAnsi="Times New Roman" w:eastAsia="Times New Roman"/>
          <w:b/>
          <w:color w:val="333333"/>
          <w:position w:val="0"/>
          <w:sz w:val="28"/>
          <w:szCs w:val="28"/>
        </w:rPr>
        <w:t>四、磋商时间及地点</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1、磋商时间：</w:t>
      </w:r>
      <w:r>
        <w:rPr>
          <w:rFonts w:hint="default" w:ascii="宋体" w:hAnsi="Times New Roman" w:eastAsia="Times New Roman"/>
          <w:color w:val="333333"/>
          <w:position w:val="0"/>
          <w:sz w:val="24"/>
          <w:szCs w:val="24"/>
          <w:u w:val="single"/>
        </w:rPr>
        <w:t>2020</w:t>
      </w:r>
      <w:r>
        <w:rPr>
          <w:rFonts w:hint="default" w:ascii="宋体" w:hAnsi="Times New Roman" w:eastAsia="Times New Roman"/>
          <w:color w:val="333333"/>
          <w:position w:val="0"/>
          <w:sz w:val="24"/>
          <w:szCs w:val="24"/>
        </w:rPr>
        <w:t>年</w:t>
      </w:r>
      <w:r>
        <w:rPr>
          <w:rFonts w:hint="default" w:ascii="宋体" w:hAnsi="Times New Roman" w:eastAsia="Times New Roman"/>
          <w:color w:val="333333"/>
          <w:position w:val="0"/>
          <w:sz w:val="24"/>
          <w:szCs w:val="24"/>
          <w:u w:val="single"/>
        </w:rPr>
        <w:t xml:space="preserve">  0</w:t>
      </w:r>
      <w:r>
        <w:rPr>
          <w:rFonts w:hint="eastAsia" w:ascii="宋体" w:eastAsia="宋体"/>
          <w:color w:val="333333"/>
          <w:position w:val="0"/>
          <w:sz w:val="24"/>
          <w:szCs w:val="24"/>
          <w:u w:val="single"/>
          <w:lang w:val="en-US" w:eastAsia="zh-CN"/>
        </w:rPr>
        <w:t>9</w:t>
      </w:r>
      <w:r>
        <w:rPr>
          <w:rFonts w:hint="default" w:ascii="宋体" w:hAnsi="Times New Roman" w:eastAsia="Times New Roman"/>
          <w:color w:val="333333"/>
          <w:position w:val="0"/>
          <w:sz w:val="24"/>
          <w:szCs w:val="24"/>
          <w:u w:val="single"/>
        </w:rPr>
        <w:t xml:space="preserve"> </w:t>
      </w:r>
      <w:r>
        <w:rPr>
          <w:rFonts w:hint="default" w:ascii="宋体" w:hAnsi="Times New Roman" w:eastAsia="Times New Roman"/>
          <w:color w:val="333333"/>
          <w:position w:val="0"/>
          <w:sz w:val="24"/>
          <w:szCs w:val="24"/>
        </w:rPr>
        <w:t>月</w:t>
      </w:r>
      <w:r>
        <w:rPr>
          <w:rFonts w:hint="default" w:ascii="宋体" w:hAnsi="Times New Roman" w:eastAsia="Times New Roman"/>
          <w:color w:val="333333"/>
          <w:position w:val="0"/>
          <w:sz w:val="24"/>
          <w:szCs w:val="24"/>
          <w:u w:val="single"/>
        </w:rPr>
        <w:t xml:space="preserve">  2 </w:t>
      </w:r>
      <w:r>
        <w:rPr>
          <w:rFonts w:hint="default" w:ascii="宋体" w:hAnsi="Times New Roman" w:eastAsia="Times New Roman"/>
          <w:color w:val="333333"/>
          <w:position w:val="0"/>
          <w:sz w:val="24"/>
          <w:szCs w:val="24"/>
        </w:rPr>
        <w:t>日</w:t>
      </w:r>
      <w:r>
        <w:rPr>
          <w:rFonts w:hint="eastAsia" w:ascii="宋体" w:eastAsia="宋体"/>
          <w:color w:val="333333"/>
          <w:position w:val="0"/>
          <w:sz w:val="24"/>
          <w:szCs w:val="24"/>
          <w:lang w:eastAsia="zh-CN"/>
        </w:rPr>
        <w:t>下</w:t>
      </w:r>
      <w:r>
        <w:rPr>
          <w:rFonts w:hint="default" w:ascii="宋体" w:hAnsi="Times New Roman" w:eastAsia="Times New Roman"/>
          <w:color w:val="333333"/>
          <w:position w:val="0"/>
          <w:sz w:val="24"/>
          <w:szCs w:val="24"/>
        </w:rPr>
        <w:t>午</w:t>
      </w:r>
      <w:r>
        <w:rPr>
          <w:rFonts w:hint="eastAsia" w:ascii="宋体" w:eastAsia="宋体"/>
          <w:color w:val="333333"/>
          <w:position w:val="0"/>
          <w:sz w:val="24"/>
          <w:szCs w:val="24"/>
          <w:u w:val="single"/>
          <w:lang w:val="en-US" w:eastAsia="zh-CN"/>
        </w:rPr>
        <w:t>15</w:t>
      </w:r>
      <w:r>
        <w:rPr>
          <w:rFonts w:hint="default" w:ascii="宋体" w:hAnsi="Times New Roman" w:eastAsia="Times New Roman"/>
          <w:color w:val="333333"/>
          <w:position w:val="0"/>
          <w:sz w:val="24"/>
          <w:szCs w:val="24"/>
        </w:rPr>
        <w:t>时</w:t>
      </w:r>
      <w:r>
        <w:rPr>
          <w:rFonts w:hint="default" w:ascii="宋体" w:hAnsi="Times New Roman" w:eastAsia="Times New Roman"/>
          <w:color w:val="333333"/>
          <w:position w:val="0"/>
          <w:sz w:val="24"/>
          <w:szCs w:val="24"/>
          <w:u w:val="single"/>
        </w:rPr>
        <w:t>0</w:t>
      </w:r>
      <w:r>
        <w:rPr>
          <w:rFonts w:hint="default" w:ascii="宋体" w:hAnsi="宋体" w:eastAsia="宋体"/>
          <w:color w:val="333333"/>
          <w:position w:val="0"/>
          <w:sz w:val="24"/>
          <w:szCs w:val="24"/>
          <w:u w:val="single"/>
        </w:rPr>
        <w:t>0</w:t>
      </w:r>
      <w:r>
        <w:rPr>
          <w:rFonts w:hint="default" w:ascii="宋体" w:hAnsi="Times New Roman" w:eastAsia="Times New Roman"/>
          <w:color w:val="333333"/>
          <w:position w:val="0"/>
          <w:sz w:val="24"/>
          <w:szCs w:val="24"/>
        </w:rPr>
        <w:t xml:space="preserve">分 </w:t>
      </w:r>
      <w:r>
        <w:rPr>
          <w:rFonts w:hint="eastAsia" w:ascii="宋体" w:eastAsia="宋体"/>
          <w:color w:val="333333"/>
          <w:position w:val="0"/>
          <w:sz w:val="24"/>
          <w:szCs w:val="24"/>
          <w:lang w:val="en-US" w:eastAsia="zh-CN"/>
        </w:rPr>
        <w:t xml:space="preserve"> </w:t>
      </w:r>
      <w:r>
        <w:rPr>
          <w:rFonts w:hint="default" w:ascii="宋体" w:hAnsi="Times New Roman" w:eastAsia="Times New Roman"/>
          <w:color w:val="333333"/>
          <w:position w:val="0"/>
          <w:sz w:val="24"/>
          <w:szCs w:val="24"/>
        </w:rPr>
        <w:t xml:space="preserve">                              </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8"/>
          <w:szCs w:val="28"/>
        </w:rPr>
      </w:pPr>
      <w:r>
        <w:rPr>
          <w:rFonts w:hint="default" w:ascii="宋体" w:hAnsi="Times New Roman" w:eastAsia="Times New Roman"/>
          <w:color w:val="333333"/>
          <w:position w:val="0"/>
          <w:sz w:val="24"/>
          <w:szCs w:val="24"/>
        </w:rPr>
        <w:t>2、磋商地点：铜陵市有色铜冠商务大厦1016室会议室（铜井路十五中东校区对面大厦10楼）。</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333333"/>
          <w:position w:val="0"/>
          <w:sz w:val="28"/>
          <w:szCs w:val="28"/>
        </w:rPr>
      </w:pPr>
      <w:r>
        <w:rPr>
          <w:rFonts w:hint="default" w:ascii="宋体" w:hAnsi="Times New Roman" w:eastAsia="Times New Roman"/>
          <w:b/>
          <w:color w:val="333333"/>
          <w:position w:val="0"/>
          <w:sz w:val="28"/>
          <w:szCs w:val="28"/>
        </w:rPr>
        <w:t>五、响应文件提交截止时间</w:t>
      </w:r>
      <w:bookmarkStart w:id="7" w:name="_GoBack"/>
      <w:bookmarkEnd w:id="7"/>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同磋商时间。</w:t>
      </w:r>
    </w:p>
    <w:p>
      <w:pPr>
        <w:pStyle w:val="2"/>
        <w:numPr>
          <w:ilvl w:val="0"/>
          <w:numId w:val="0"/>
        </w:numPr>
        <w:autoSpaceDE/>
        <w:autoSpaceDN/>
        <w:spacing w:before="0" w:after="0" w:line="240" w:lineRule="auto"/>
        <w:ind w:right="0" w:firstLine="0"/>
        <w:jc w:val="both"/>
        <w:rPr>
          <w:rFonts w:hint="default" w:ascii="宋体" w:hAnsi="宋体" w:eastAsia="宋体"/>
          <w:color w:val="333333"/>
          <w:position w:val="0"/>
          <w:sz w:val="24"/>
          <w:szCs w:val="24"/>
        </w:rPr>
      </w:pP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333333"/>
          <w:position w:val="0"/>
          <w:sz w:val="28"/>
          <w:szCs w:val="28"/>
        </w:rPr>
      </w:pPr>
      <w:r>
        <w:rPr>
          <w:rFonts w:hint="default" w:ascii="宋体" w:hAnsi="Times New Roman" w:eastAsia="Times New Roman"/>
          <w:b/>
          <w:color w:val="333333"/>
          <w:position w:val="0"/>
          <w:sz w:val="28"/>
          <w:szCs w:val="28"/>
        </w:rPr>
        <w:t>六、联系方法</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 xml:space="preserve">（一）项目单位：铜陵学院 </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 xml:space="preserve">地址：铜陵市铜官区翠湖四路 </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000000"/>
          <w:position w:val="0"/>
          <w:sz w:val="24"/>
          <w:szCs w:val="24"/>
        </w:rPr>
      </w:pPr>
      <w:r>
        <w:rPr>
          <w:rFonts w:hint="default" w:ascii="宋体" w:hAnsi="Times New Roman" w:eastAsia="Times New Roman"/>
          <w:color w:val="333333"/>
          <w:position w:val="0"/>
          <w:sz w:val="24"/>
          <w:szCs w:val="24"/>
        </w:rPr>
        <w:t>联</w:t>
      </w:r>
      <w:r>
        <w:rPr>
          <w:rFonts w:hint="default" w:ascii="宋体" w:hAnsi="Times New Roman" w:eastAsia="Times New Roman"/>
          <w:color w:val="000000"/>
          <w:position w:val="0"/>
          <w:sz w:val="24"/>
          <w:szCs w:val="24"/>
        </w:rPr>
        <w:t xml:space="preserve">系人：徐老师 </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电话：0562-5883540</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 xml:space="preserve">（二）招标代理机构：浙江兴业建设项目管理有限公司                   </w:t>
      </w:r>
    </w:p>
    <w:p>
      <w:pPr>
        <w:numPr>
          <w:ilvl w:val="0"/>
          <w:numId w:val="0"/>
        </w:numPr>
        <w:shd w:val="clear" w:color="000000" w:fill="FFFFFF"/>
        <w:autoSpaceDE/>
        <w:autoSpaceDN/>
        <w:spacing w:before="0" w:after="0" w:line="360" w:lineRule="auto"/>
        <w:ind w:right="0" w:firstLine="640"/>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 xml:space="preserve">地址：铜陵市有色铜冠商务大厦1016室会议室（铜井路十五中东校区对面大厦10楼）                                          </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 xml:space="preserve">联系人： 伍女士                  </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电话：0562-2885626/18805622009</w:t>
      </w:r>
    </w:p>
    <w:p>
      <w:pPr>
        <w:numPr>
          <w:ilvl w:val="0"/>
          <w:numId w:val="0"/>
        </w:numPr>
        <w:shd w:val="clear" w:color="000000" w:fill="FFFFFF"/>
        <w:autoSpaceDE/>
        <w:autoSpaceDN/>
        <w:spacing w:before="0" w:after="0" w:line="360" w:lineRule="auto"/>
        <w:ind w:right="0" w:firstLine="643"/>
        <w:jc w:val="left"/>
        <w:rPr>
          <w:rFonts w:hint="default" w:ascii="宋体" w:hAnsi="宋体" w:eastAsia="宋体"/>
          <w:b/>
          <w:color w:val="333333"/>
          <w:position w:val="0"/>
          <w:sz w:val="28"/>
          <w:szCs w:val="28"/>
        </w:rPr>
      </w:pPr>
      <w:r>
        <w:rPr>
          <w:rFonts w:hint="default" w:ascii="宋体" w:hAnsi="Times New Roman" w:eastAsia="Times New Roman"/>
          <w:b/>
          <w:color w:val="333333"/>
          <w:position w:val="0"/>
          <w:sz w:val="28"/>
          <w:szCs w:val="28"/>
        </w:rPr>
        <w:t>七、磋商保证金缴纳账户</w:t>
      </w:r>
    </w:p>
    <w:p>
      <w:pPr>
        <w:widowControl/>
        <w:shd w:val="clear" w:color="auto" w:fill="FFFFFF"/>
        <w:spacing w:line="360" w:lineRule="auto"/>
        <w:ind w:firstLine="720" w:firstLineChars="300"/>
        <w:jc w:val="left"/>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账户名称：浙江兴业建设项目管理有限公司铜陵分公司</w:t>
      </w:r>
    </w:p>
    <w:p>
      <w:pPr>
        <w:widowControl/>
        <w:shd w:val="clear" w:color="auto" w:fill="FFFFFF"/>
        <w:spacing w:line="360" w:lineRule="auto"/>
        <w:ind w:firstLine="720" w:firstLineChars="300"/>
        <w:jc w:val="left"/>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账号：20010132201366600000011</w:t>
      </w:r>
    </w:p>
    <w:p>
      <w:pPr>
        <w:numPr>
          <w:ilvl w:val="0"/>
          <w:numId w:val="0"/>
        </w:numPr>
        <w:shd w:val="clear" w:color="000000" w:fill="FFFFFF"/>
        <w:autoSpaceDE/>
        <w:autoSpaceDN/>
        <w:spacing w:before="0" w:after="0" w:line="360" w:lineRule="auto"/>
        <w:ind w:right="0" w:firstLine="641"/>
        <w:jc w:val="both"/>
        <w:rPr>
          <w:rFonts w:hint="default" w:ascii="宋体" w:hAnsi="宋体" w:eastAsia="宋体"/>
          <w:color w:val="000000" w:themeColor="text1"/>
          <w:positio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开户行：铜陵农村商业银行股份有限公司义安路支行</w:t>
      </w:r>
    </w:p>
    <w:p>
      <w:pPr>
        <w:numPr>
          <w:ilvl w:val="0"/>
          <w:numId w:val="0"/>
        </w:numPr>
        <w:shd w:val="clear" w:color="000000" w:fill="FFFFFF"/>
        <w:autoSpaceDE/>
        <w:autoSpaceDN/>
        <w:spacing w:before="0" w:after="0" w:line="360" w:lineRule="auto"/>
        <w:ind w:right="0" w:firstLine="641"/>
        <w:jc w:val="both"/>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金额：2520元</w:t>
      </w:r>
    </w:p>
    <w:p>
      <w:pPr>
        <w:numPr>
          <w:ilvl w:val="0"/>
          <w:numId w:val="0"/>
        </w:numPr>
        <w:shd w:val="clear" w:color="000000" w:fill="FFFFFF"/>
        <w:autoSpaceDE/>
        <w:autoSpaceDN/>
        <w:spacing w:before="0" w:after="0" w:line="360" w:lineRule="auto"/>
        <w:ind w:right="0" w:firstLine="641"/>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交款方式：接受转账形式缴纳至保证金账户</w:t>
      </w:r>
    </w:p>
    <w:p>
      <w:pPr>
        <w:numPr>
          <w:ilvl w:val="0"/>
          <w:numId w:val="0"/>
        </w:numPr>
        <w:shd w:val="clear" w:color="000000" w:fill="FFFFFF"/>
        <w:autoSpaceDE/>
        <w:autoSpaceDN/>
        <w:spacing w:before="0" w:after="0" w:line="360" w:lineRule="auto"/>
        <w:ind w:right="0" w:firstLine="641"/>
        <w:jc w:val="left"/>
        <w:rPr>
          <w:rFonts w:hint="default" w:ascii="宋体" w:hAnsi="宋体" w:eastAsia="宋体"/>
          <w:color w:val="333333"/>
          <w:position w:val="0"/>
          <w:sz w:val="24"/>
          <w:szCs w:val="24"/>
        </w:rPr>
      </w:pPr>
      <w:r>
        <w:rPr>
          <w:rFonts w:hint="default" w:ascii="宋体" w:hAnsi="Times New Roman" w:eastAsia="Times New Roman"/>
          <w:color w:val="333333"/>
          <w:position w:val="0"/>
          <w:sz w:val="24"/>
          <w:szCs w:val="24"/>
        </w:rPr>
        <w:t>交款到账截止时间：磋商截止时间</w:t>
      </w:r>
    </w:p>
    <w:p>
      <w:pPr>
        <w:numPr>
          <w:ilvl w:val="0"/>
          <w:numId w:val="0"/>
        </w:numPr>
        <w:shd w:val="clear" w:color="000000" w:fill="FFFFFF"/>
        <w:autoSpaceDE/>
        <w:autoSpaceDN/>
        <w:spacing w:before="0" w:after="0" w:line="360" w:lineRule="auto"/>
        <w:ind w:right="0" w:firstLine="640"/>
        <w:jc w:val="both"/>
        <w:rPr>
          <w:rFonts w:hint="default" w:ascii="宋体" w:hAnsi="宋体" w:eastAsia="宋体"/>
          <w:color w:val="333333"/>
          <w:position w:val="0"/>
          <w:sz w:val="28"/>
          <w:szCs w:val="28"/>
        </w:rPr>
      </w:pPr>
    </w:p>
    <w:p>
      <w:pPr>
        <w:numPr>
          <w:ilvl w:val="0"/>
          <w:numId w:val="0"/>
        </w:numPr>
        <w:shd w:val="clear" w:color="000000" w:fill="FFFFFF"/>
        <w:autoSpaceDE/>
        <w:autoSpaceDN/>
        <w:spacing w:before="0" w:after="0" w:line="360" w:lineRule="auto"/>
        <w:ind w:right="0" w:firstLine="0"/>
        <w:jc w:val="left"/>
        <w:rPr>
          <w:rFonts w:hint="default" w:ascii="宋体" w:hAnsi="宋体" w:eastAsia="宋体"/>
          <w:color w:val="333333"/>
          <w:position w:val="0"/>
          <w:sz w:val="28"/>
          <w:szCs w:val="28"/>
        </w:rPr>
      </w:pPr>
      <w:r>
        <w:rPr>
          <w:rFonts w:hint="default" w:ascii="宋体" w:hAnsi="Times New Roman" w:eastAsia="Times New Roman"/>
          <w:color w:val="333333"/>
          <w:position w:val="0"/>
          <w:sz w:val="28"/>
          <w:szCs w:val="28"/>
        </w:rPr>
        <w:t>附件：</w:t>
      </w:r>
      <w:r>
        <w:rPr>
          <w:rFonts w:hint="default" w:ascii="宋体" w:hAnsi="Times New Roman" w:eastAsia="Times New Roman"/>
          <w:color w:val="333333"/>
          <w:position w:val="0"/>
          <w:sz w:val="28"/>
          <w:szCs w:val="28"/>
        </w:rPr>
        <w:br w:type="textWrapping" w:clear="all"/>
      </w:r>
      <w:r>
        <w:fldChar w:fldCharType="begin"/>
      </w:r>
      <w:r>
        <w:instrText xml:space="preserve"> HYPERLINK "http://www.tltg.gov.cn/download/5abde7e584aef7050f00668e" \h </w:instrText>
      </w:r>
      <w:r>
        <w:fldChar w:fldCharType="separate"/>
      </w:r>
      <w:r>
        <w:rPr>
          <w:rFonts w:hint="default" w:ascii="宋体" w:hAnsi="Times New Roman" w:eastAsia="Times New Roman"/>
          <w:color w:val="333333"/>
          <w:position w:val="0"/>
          <w:sz w:val="28"/>
          <w:szCs w:val="28"/>
        </w:rPr>
        <w:t>竞争性磋商文件</w:t>
      </w:r>
      <w:r>
        <w:rPr>
          <w:rFonts w:hint="default" w:ascii="宋体" w:hAnsi="Times New Roman" w:eastAsia="Times New Roman"/>
          <w:color w:val="333333"/>
          <w:position w:val="0"/>
          <w:sz w:val="28"/>
          <w:szCs w:val="28"/>
        </w:rPr>
        <w:fldChar w:fldCharType="end"/>
      </w:r>
    </w:p>
    <w:p>
      <w:pPr>
        <w:numPr>
          <w:ilvl w:val="0"/>
          <w:numId w:val="0"/>
        </w:numPr>
        <w:shd w:val="clear" w:color="000000" w:fill="FFFFFF"/>
        <w:autoSpaceDE/>
        <w:autoSpaceDN/>
        <w:spacing w:before="0" w:after="0" w:line="360" w:lineRule="auto"/>
        <w:ind w:right="0" w:firstLine="0"/>
        <w:jc w:val="left"/>
        <w:rPr>
          <w:rFonts w:hint="default" w:ascii="宋体" w:hAnsi="宋体" w:eastAsia="宋体"/>
          <w:b/>
          <w:color w:val="auto"/>
          <w:position w:val="0"/>
          <w:sz w:val="32"/>
          <w:szCs w:val="32"/>
        </w:rPr>
        <w:sectPr>
          <w:headerReference r:id="rId4" w:type="first"/>
          <w:headerReference r:id="rId3" w:type="default"/>
          <w:footerReference r:id="rId5" w:type="default"/>
          <w:pgSz w:w="11906" w:h="16838"/>
          <w:pgMar w:top="1440" w:right="1599" w:bottom="1440" w:left="1803" w:header="851" w:footer="992" w:gutter="0"/>
          <w:pgNumType w:fmt="decimal" w:start="1"/>
          <w:titlePg/>
          <w:docGrid w:type="lines" w:linePitch="319" w:charSpace="0"/>
        </w:sectPr>
      </w:pPr>
    </w:p>
    <w:p>
      <w:pPr>
        <w:pStyle w:val="58"/>
        <w:numPr>
          <w:ilvl w:val="0"/>
          <w:numId w:val="0"/>
        </w:numPr>
        <w:tabs>
          <w:tab w:val="left" w:pos="420"/>
        </w:tabs>
        <w:autoSpaceDE/>
        <w:autoSpaceDN/>
        <w:spacing w:before="0" w:after="0" w:line="360" w:lineRule="auto"/>
        <w:ind w:right="0" w:firstLine="0"/>
        <w:jc w:val="center"/>
        <w:rPr>
          <w:rFonts w:hint="default" w:ascii="宋体" w:hAnsi="Times New Roman" w:eastAsia="Times New Roman"/>
          <w:b/>
          <w:color w:val="auto"/>
          <w:position w:val="0"/>
          <w:sz w:val="28"/>
          <w:szCs w:val="28"/>
        </w:rPr>
      </w:pPr>
      <w:r>
        <w:rPr>
          <w:rFonts w:hint="default" w:ascii="宋体" w:hAnsi="宋体" w:eastAsia="宋体"/>
          <w:b/>
          <w:color w:val="auto"/>
          <w:position w:val="0"/>
          <w:sz w:val="28"/>
          <w:szCs w:val="28"/>
        </w:rPr>
        <w:t>第一章竞争性磋商书</w:t>
      </w:r>
    </w:p>
    <w:p>
      <w:pPr>
        <w:pStyle w:val="62"/>
        <w:numPr>
          <w:ilvl w:val="0"/>
          <w:numId w:val="0"/>
        </w:numPr>
        <w:wordWrap w:val="0"/>
        <w:autoSpaceDE/>
        <w:autoSpaceDN/>
        <w:spacing w:before="0" w:after="0" w:line="240" w:lineRule="auto"/>
        <w:ind w:right="0" w:firstLine="0"/>
        <w:jc w:val="center"/>
        <w:rPr>
          <w:rFonts w:hint="default" w:ascii="宋体" w:hAnsi="宋体" w:eastAsia="宋体"/>
          <w:b/>
          <w:color w:val="000000"/>
          <w:position w:val="0"/>
          <w:sz w:val="28"/>
          <w:szCs w:val="28"/>
        </w:rPr>
      </w:pPr>
      <w:bookmarkStart w:id="0" w:name="_Toc338398713"/>
      <w:bookmarkStart w:id="1" w:name="_Toc272141464"/>
      <w:bookmarkStart w:id="2" w:name="_Toc383776342"/>
      <w:r>
        <w:rPr>
          <w:rFonts w:hint="default" w:ascii="宋体" w:hAnsi="宋体" w:eastAsia="宋体"/>
          <w:b/>
          <w:color w:val="auto"/>
          <w:position w:val="0"/>
          <w:sz w:val="28"/>
          <w:szCs w:val="28"/>
        </w:rPr>
        <w:t>一、磋商响应供应商须知前附表</w:t>
      </w:r>
      <w:bookmarkEnd w:id="0"/>
      <w:bookmarkEnd w:id="1"/>
      <w:bookmarkEnd w:id="2"/>
    </w:p>
    <w:tbl>
      <w:tblPr>
        <w:tblStyle w:val="33"/>
        <w:tblW w:w="9634" w:type="dxa"/>
        <w:jc w:val="center"/>
        <w:tblLayout w:type="fixed"/>
        <w:tblCellMar>
          <w:top w:w="0" w:type="dxa"/>
          <w:left w:w="0" w:type="dxa"/>
          <w:bottom w:w="0" w:type="dxa"/>
          <w:right w:w="0" w:type="dxa"/>
        </w:tblCellMar>
      </w:tblPr>
      <w:tblGrid>
        <w:gridCol w:w="821"/>
        <w:gridCol w:w="2982"/>
        <w:gridCol w:w="5831"/>
      </w:tblGrid>
      <w:tr>
        <w:tblPrEx>
          <w:tblCellMar>
            <w:top w:w="0" w:type="dxa"/>
            <w:left w:w="0" w:type="dxa"/>
            <w:bottom w:w="0" w:type="dxa"/>
            <w:right w:w="0" w:type="dxa"/>
          </w:tblCellMar>
        </w:tblPrEx>
        <w:trPr>
          <w:trHeight w:val="487" w:hRule="atLeast"/>
          <w:jc w:val="center"/>
        </w:trPr>
        <w:tc>
          <w:tcPr>
            <w:tcW w:w="821" w:type="dxa"/>
            <w:tcBorders>
              <w:top w:val="single" w:color="auto" w:sz="12"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序号</w:t>
            </w:r>
          </w:p>
        </w:tc>
        <w:tc>
          <w:tcPr>
            <w:tcW w:w="2982" w:type="dxa"/>
            <w:tcBorders>
              <w:top w:val="single" w:color="auto" w:sz="12"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条款名称</w:t>
            </w:r>
          </w:p>
        </w:tc>
        <w:tc>
          <w:tcPr>
            <w:tcW w:w="5831" w:type="dxa"/>
            <w:tcBorders>
              <w:top w:val="single" w:color="auto" w:sz="12"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说明和要求</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预算控制数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b/>
                <w:color w:val="000000"/>
                <w:position w:val="0"/>
                <w:sz w:val="24"/>
                <w:szCs w:val="24"/>
              </w:rPr>
              <w:t>29.8万元</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投标人资格要求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具体见招标公告相关内容</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竞争性磋商</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建设地点</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铜陵学院风雨操场</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5</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招标范围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详见项目需求所载明内容。</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Courier New" w:eastAsia="Courier New"/>
                <w:color w:val="000000"/>
                <w:position w:val="0"/>
                <w:sz w:val="24"/>
                <w:szCs w:val="24"/>
              </w:rPr>
            </w:pPr>
            <w:r>
              <w:rPr>
                <w:rFonts w:hint="default" w:ascii="宋体" w:hAnsi="宋体" w:eastAsia="宋体"/>
                <w:color w:val="000000"/>
                <w:position w:val="0"/>
                <w:sz w:val="24"/>
                <w:szCs w:val="24"/>
              </w:rPr>
              <w:t>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评标方法</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综合评分法</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b/>
                <w:color w:val="000000"/>
                <w:position w:val="0"/>
                <w:sz w:val="24"/>
                <w:szCs w:val="24"/>
              </w:rPr>
            </w:pPr>
            <w:r>
              <w:rPr>
                <w:rFonts w:hint="default" w:ascii="宋体" w:hAnsi="宋体" w:eastAsia="宋体"/>
                <w:b/>
                <w:color w:val="000000"/>
                <w:position w:val="0"/>
                <w:sz w:val="24"/>
                <w:szCs w:val="24"/>
              </w:rPr>
              <w:t>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b/>
                <w:color w:val="000000"/>
                <w:position w:val="0"/>
                <w:sz w:val="24"/>
                <w:szCs w:val="24"/>
              </w:rPr>
            </w:pPr>
            <w:r>
              <w:rPr>
                <w:rFonts w:hint="default" w:ascii="宋体" w:hAnsi="宋体" w:eastAsia="宋体"/>
                <w:b/>
                <w:color w:val="000000"/>
                <w:position w:val="0"/>
                <w:sz w:val="24"/>
                <w:szCs w:val="24"/>
              </w:rPr>
              <w:t>服务期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numPr>
                <w:ilvl w:val="0"/>
                <w:numId w:val="0"/>
              </w:numPr>
              <w:autoSpaceDE/>
              <w:autoSpaceDN/>
              <w:spacing w:before="0" w:after="160" w:line="240" w:lineRule="auto"/>
              <w:ind w:left="360" w:right="0" w:hanging="36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设计周期：60日</w:t>
            </w:r>
          </w:p>
          <w:p>
            <w:pPr>
              <w:numPr>
                <w:ilvl w:val="0"/>
                <w:numId w:val="0"/>
              </w:numPr>
              <w:autoSpaceDE/>
              <w:autoSpaceDN/>
              <w:spacing w:before="0" w:after="160" w:line="240" w:lineRule="auto"/>
              <w:ind w:right="0" w:firstLine="0"/>
              <w:jc w:val="left"/>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初步设计阶段：自合同签订之日起30日内向招标人提交通过审查的初步设计成果；</w:t>
            </w:r>
          </w:p>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施工图阶段：自合同签订之日起60日内向招标人提交施工图，施工图设计满足施工需要；</w:t>
            </w:r>
          </w:p>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b/>
                <w:color w:val="000000"/>
                <w:position w:val="0"/>
                <w:sz w:val="24"/>
                <w:szCs w:val="24"/>
              </w:rPr>
            </w:pPr>
            <w:r>
              <w:rPr>
                <w:rFonts w:hint="default" w:ascii="宋体" w:hAnsi="宋体" w:eastAsia="宋体"/>
                <w:b/>
                <w:color w:val="000000"/>
                <w:position w:val="0"/>
                <w:sz w:val="24"/>
                <w:szCs w:val="24"/>
              </w:rPr>
              <w:t>（具体开工时间以业主开工令为准）</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质量要求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合格</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是否接受联合体投标</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不接受</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投标人对招标文件</w:t>
            </w:r>
          </w:p>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提出质疑的时间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投标截止时间10日前</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是否接受分包履约</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不接受</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构成招标文件的其他文件</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招标文件的澄清、修改书为招标文件的有效组成部分</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投标有效期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60天</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eastAsia" w:ascii="宋体" w:hAnsi="宋体" w:eastAsia="宋体"/>
                <w:color w:val="000000"/>
                <w:position w:val="0"/>
                <w:sz w:val="24"/>
                <w:szCs w:val="24"/>
                <w:lang w:eastAsia="zh-CN"/>
              </w:rPr>
            </w:pPr>
            <w:r>
              <w:rPr>
                <w:rFonts w:hint="eastAsia"/>
                <w:color w:val="000000"/>
                <w:position w:val="0"/>
                <w:sz w:val="24"/>
                <w:szCs w:val="24"/>
                <w:lang w:eastAsia="zh-CN"/>
              </w:rPr>
              <w:t>详见磋商公告</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15</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履约保证金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合同签订前，供应商向招标单位提供成交价的10%履约保证金，保证金形式可以为现金、银行保函、保证保险三种形式的任意一种。中标人于中标通知书发放后7个工作日内缴纳。</w:t>
            </w:r>
          </w:p>
        </w:tc>
      </w:tr>
      <w:tr>
        <w:tblPrEx>
          <w:tblCellMar>
            <w:top w:w="0" w:type="dxa"/>
            <w:left w:w="0" w:type="dxa"/>
            <w:bottom w:w="0" w:type="dxa"/>
            <w:right w:w="0" w:type="dxa"/>
          </w:tblCellMar>
        </w:tblPrEx>
        <w:trPr>
          <w:trHeight w:val="39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投标文件份数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正本1份、副本1份（中标单位在领取中标通知书时再提供副本3份）</w:t>
            </w:r>
          </w:p>
        </w:tc>
      </w:tr>
      <w:tr>
        <w:tblPrEx>
          <w:tblCellMar>
            <w:top w:w="0" w:type="dxa"/>
            <w:left w:w="0" w:type="dxa"/>
            <w:bottom w:w="0" w:type="dxa"/>
            <w:right w:w="0" w:type="dxa"/>
          </w:tblCellMar>
        </w:tblPrEx>
        <w:trPr>
          <w:trHeight w:val="1212"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公示网站</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相关信息将在以下网站同步发布：铜陵学院网(http://www.tlu.edu.cn)、筑联网（www.buildface.net）、中国政府采购网（http://</w:t>
            </w:r>
            <w:r>
              <w:fldChar w:fldCharType="begin"/>
            </w:r>
            <w:r>
              <w:instrText xml:space="preserve"> HYPERLINK "http://www.ccgp.gov.cn/" \h </w:instrText>
            </w:r>
            <w:r>
              <w:fldChar w:fldCharType="separate"/>
            </w:r>
            <w:r>
              <w:rPr>
                <w:rFonts w:hint="default" w:ascii="宋体" w:hAnsi="宋体" w:eastAsia="宋体"/>
                <w:color w:val="000000"/>
                <w:position w:val="0"/>
                <w:sz w:val="24"/>
                <w:szCs w:val="24"/>
              </w:rPr>
              <w:t>www.ccgp.gov.cn</w:t>
            </w:r>
            <w:r>
              <w:rPr>
                <w:rFonts w:hint="default" w:ascii="宋体" w:hAnsi="宋体" w:eastAsia="宋体"/>
                <w:color w:val="000000"/>
                <w:position w:val="0"/>
                <w:sz w:val="24"/>
                <w:szCs w:val="24"/>
              </w:rPr>
              <w:fldChar w:fldCharType="end"/>
            </w:r>
            <w:r>
              <w:rPr>
                <w:rFonts w:hint="default" w:ascii="宋体" w:hAnsi="宋体" w:eastAsia="宋体"/>
                <w:color w:val="000000"/>
                <w:position w:val="0"/>
                <w:sz w:val="24"/>
                <w:szCs w:val="24"/>
              </w:rPr>
              <w:t>）</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投标截止时间及开标时间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具体见招标公告相关内容</w:t>
            </w:r>
          </w:p>
        </w:tc>
      </w:tr>
      <w:tr>
        <w:tblPrEx>
          <w:tblCellMar>
            <w:top w:w="0" w:type="dxa"/>
            <w:left w:w="0" w:type="dxa"/>
            <w:bottom w:w="0" w:type="dxa"/>
            <w:right w:w="0" w:type="dxa"/>
          </w:tblCellMar>
        </w:tblPrEx>
        <w:trPr>
          <w:trHeight w:val="1335"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19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付款方式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3"/>
              <w:numPr>
                <w:ilvl w:val="0"/>
                <w:numId w:val="0"/>
              </w:numPr>
              <w:autoSpaceDE/>
              <w:autoSpaceDN/>
              <w:spacing w:before="0" w:after="0" w:line="420" w:lineRule="exact"/>
              <w:ind w:right="0" w:firstLine="630"/>
              <w:jc w:val="left"/>
              <w:rPr>
                <w:rFonts w:hint="default" w:ascii="Times New Roman" w:hAnsi="Times New Roman" w:eastAsia="Times New Roman"/>
                <w:color w:val="0000FF"/>
                <w:position w:val="0"/>
                <w:sz w:val="24"/>
                <w:szCs w:val="24"/>
              </w:rPr>
            </w:pPr>
            <w:r>
              <w:rPr>
                <w:rFonts w:hint="default" w:ascii="宋体" w:hAnsi="Times New Roman" w:eastAsia="Times New Roman"/>
                <w:color w:val="000000"/>
                <w:position w:val="0"/>
                <w:sz w:val="24"/>
                <w:szCs w:val="24"/>
              </w:rPr>
              <w:t>出施工图后支付至设计费总额70%，竣工验收合格后余款30%一次性付清。</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center"/>
              <w:rPr>
                <w:rFonts w:hint="default" w:ascii="宋体" w:hAnsi="宋体" w:eastAsia="宋体"/>
                <w:color w:val="000000"/>
                <w:position w:val="0"/>
                <w:sz w:val="24"/>
                <w:szCs w:val="24"/>
              </w:rPr>
            </w:pPr>
            <w:r>
              <w:rPr>
                <w:rFonts w:hint="default" w:ascii="宋体" w:hAnsi="宋体" w:eastAsia="宋体"/>
                <w:color w:val="000000"/>
                <w:position w:val="0"/>
                <w:sz w:val="24"/>
                <w:szCs w:val="24"/>
              </w:rPr>
              <w:t>20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费用承担</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投标人参加投标活动发生的一切费用均自理</w:t>
            </w:r>
          </w:p>
        </w:tc>
      </w:tr>
      <w:tr>
        <w:tblPrEx>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21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合同签订时间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48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招标单位通知领取中标通知书后，中标人应在3日内领取中标通知书，领取后10天内与招标单位签订合同，逾期不领取中标通知书或不签订合同的，顺延至第二中标人或重新招标。</w:t>
            </w:r>
          </w:p>
        </w:tc>
      </w:tr>
      <w:tr>
        <w:tblPrEx>
          <w:tblCellMar>
            <w:top w:w="0" w:type="dxa"/>
            <w:left w:w="0" w:type="dxa"/>
            <w:bottom w:w="0" w:type="dxa"/>
            <w:right w:w="0" w:type="dxa"/>
          </w:tblCellMar>
        </w:tblPrEx>
        <w:trPr>
          <w:trHeight w:val="1452"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22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招标代理服务费</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60"/>
              <w:numPr>
                <w:ilvl w:val="0"/>
                <w:numId w:val="0"/>
              </w:numPr>
              <w:wordWrap w:val="0"/>
              <w:autoSpaceDE w:val="0"/>
              <w:autoSpaceDN w:val="0"/>
              <w:snapToGrid w:val="0"/>
              <w:spacing w:before="0" w:after="0" w:line="240" w:lineRule="auto"/>
              <w:ind w:right="0" w:firstLine="480"/>
              <w:jc w:val="both"/>
              <w:rPr>
                <w:rFonts w:hint="default" w:ascii="宋体" w:hAnsi="宋体" w:eastAsia="宋体"/>
                <w:color w:val="000000"/>
                <w:position w:val="0"/>
                <w:sz w:val="24"/>
                <w:szCs w:val="24"/>
              </w:rPr>
            </w:pPr>
            <w:r>
              <w:rPr>
                <w:rFonts w:hint="default" w:ascii="宋体" w:hAnsi="宋体" w:eastAsia="宋体"/>
                <w:color w:val="000000"/>
                <w:position w:val="0"/>
                <w:sz w:val="24"/>
                <w:szCs w:val="24"/>
              </w:rPr>
              <w:t>招标代理服务费按3300元收取，此费用由中标人在领取中标通知书前支付给代理机构。</w:t>
            </w:r>
          </w:p>
        </w:tc>
      </w:tr>
    </w:tbl>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pStyle w:val="2"/>
        <w:rPr>
          <w:rFonts w:hint="default" w:ascii="宋体" w:hAnsi="宋体" w:eastAsia="宋体"/>
          <w:b/>
          <w:color w:val="auto"/>
          <w:position w:val="0"/>
          <w:sz w:val="28"/>
          <w:szCs w:val="28"/>
        </w:rPr>
      </w:pPr>
    </w:p>
    <w:p>
      <w:pPr>
        <w:pStyle w:val="2"/>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r>
        <w:rPr>
          <w:rFonts w:hint="default" w:ascii="宋体" w:hAnsi="宋体" w:eastAsia="宋体"/>
          <w:b/>
          <w:color w:val="auto"/>
          <w:position w:val="0"/>
          <w:sz w:val="28"/>
          <w:szCs w:val="28"/>
        </w:rPr>
        <w:t>二、磋商响应供应商须知</w:t>
      </w: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r>
        <w:rPr>
          <w:rFonts w:hint="default" w:ascii="宋体" w:hAnsi="宋体" w:eastAsia="宋体"/>
          <w:b/>
          <w:color w:val="auto"/>
          <w:position w:val="0"/>
          <w:sz w:val="28"/>
          <w:szCs w:val="28"/>
        </w:rPr>
        <w:t>（一）总则</w:t>
      </w:r>
    </w:p>
    <w:p>
      <w:pPr>
        <w:numPr>
          <w:ilvl w:val="0"/>
          <w:numId w:val="0"/>
        </w:numPr>
        <w:autoSpaceDE/>
        <w:autoSpaceDN/>
        <w:snapToGrid w:val="0"/>
        <w:spacing w:before="0" w:after="0" w:line="360" w:lineRule="auto"/>
        <w:ind w:right="0" w:firstLine="482"/>
        <w:jc w:val="left"/>
        <w:rPr>
          <w:rFonts w:hint="default" w:ascii="宋体" w:hAnsi="宋体" w:eastAsia="宋体"/>
          <w:b/>
          <w:color w:val="auto"/>
          <w:position w:val="0"/>
          <w:sz w:val="24"/>
          <w:szCs w:val="24"/>
        </w:rPr>
      </w:pPr>
      <w:r>
        <w:rPr>
          <w:rFonts w:hint="default" w:ascii="宋体" w:hAnsi="宋体" w:eastAsia="宋体"/>
          <w:b/>
          <w:color w:val="auto"/>
          <w:position w:val="0"/>
          <w:sz w:val="24"/>
          <w:szCs w:val="24"/>
        </w:rPr>
        <w:t>1．磋商响应供应商（以下简称供应商）资格要求</w:t>
      </w:r>
    </w:p>
    <w:p>
      <w:pPr>
        <w:numPr>
          <w:ilvl w:val="0"/>
          <w:numId w:val="0"/>
        </w:numPr>
        <w:autoSpaceDE/>
        <w:autoSpaceDN/>
        <w:snapToGrid w:val="0"/>
        <w:spacing w:before="0" w:after="0" w:line="360" w:lineRule="auto"/>
        <w:ind w:right="0" w:firstLine="480"/>
        <w:jc w:val="left"/>
        <w:rPr>
          <w:rFonts w:hint="default" w:ascii="宋体" w:hAnsi="宋体" w:eastAsia="宋体"/>
          <w:color w:val="auto"/>
          <w:position w:val="0"/>
          <w:sz w:val="24"/>
          <w:szCs w:val="24"/>
        </w:rPr>
      </w:pPr>
      <w:r>
        <w:rPr>
          <w:rFonts w:hint="default" w:ascii="宋体" w:hAnsi="宋体" w:eastAsia="宋体"/>
          <w:color w:val="auto"/>
          <w:position w:val="0"/>
          <w:sz w:val="24"/>
          <w:szCs w:val="24"/>
        </w:rPr>
        <w:t>见磋商公告</w:t>
      </w:r>
    </w:p>
    <w:p>
      <w:pPr>
        <w:numPr>
          <w:ilvl w:val="0"/>
          <w:numId w:val="0"/>
        </w:numPr>
        <w:autoSpaceDE/>
        <w:autoSpaceDN/>
        <w:snapToGrid w:val="0"/>
        <w:spacing w:before="0" w:after="0" w:line="360" w:lineRule="auto"/>
        <w:ind w:right="0" w:firstLine="480"/>
        <w:jc w:val="left"/>
        <w:rPr>
          <w:rFonts w:hint="default" w:ascii="宋体" w:hAnsi="宋体" w:eastAsia="宋体"/>
          <w:color w:val="auto"/>
          <w:position w:val="0"/>
          <w:sz w:val="24"/>
          <w:szCs w:val="24"/>
        </w:rPr>
      </w:pPr>
      <w:r>
        <w:rPr>
          <w:rFonts w:hint="default" w:ascii="宋体" w:hAnsi="宋体" w:eastAsia="宋体"/>
          <w:color w:val="auto"/>
          <w:position w:val="0"/>
          <w:sz w:val="24"/>
          <w:szCs w:val="24"/>
        </w:rPr>
        <w:t>注：本磋商文件中规定提供的复印件须装订入磋商响应书正、副本中。</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2．磋商响应费用</w:t>
      </w:r>
    </w:p>
    <w:p>
      <w:pPr>
        <w:numPr>
          <w:ilvl w:val="0"/>
          <w:numId w:val="0"/>
        </w:numPr>
        <w:autoSpaceDE/>
        <w:autoSpaceDN/>
        <w:snapToGrid w:val="0"/>
        <w:spacing w:before="0" w:after="0" w:line="360" w:lineRule="auto"/>
        <w:ind w:right="0" w:firstLine="480"/>
        <w:jc w:val="left"/>
        <w:rPr>
          <w:rFonts w:hint="default" w:ascii="宋体" w:hAnsi="宋体" w:eastAsia="宋体"/>
          <w:color w:val="auto"/>
          <w:position w:val="0"/>
          <w:sz w:val="24"/>
          <w:szCs w:val="24"/>
        </w:rPr>
      </w:pPr>
      <w:r>
        <w:rPr>
          <w:rFonts w:hint="default" w:ascii="宋体" w:hAnsi="宋体" w:eastAsia="宋体"/>
          <w:color w:val="auto"/>
          <w:position w:val="0"/>
          <w:sz w:val="24"/>
          <w:szCs w:val="24"/>
        </w:rPr>
        <w:t>供应商必须自行承担所有与参加磋商有关的一切费用。不论磋商的结果如何，采购人和采购代理机构在任何情况下均无义务和责任承担这些费用。</w:t>
      </w: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r>
        <w:rPr>
          <w:rFonts w:hint="default" w:ascii="宋体" w:hAnsi="宋体" w:eastAsia="宋体"/>
          <w:b/>
          <w:color w:val="auto"/>
          <w:position w:val="0"/>
          <w:sz w:val="28"/>
          <w:szCs w:val="28"/>
        </w:rPr>
        <w:t>（二）竞争性磋商文件</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3．供应商应认真阅读和充分理解竞争性磋商文件中所有的内容。如果供应商没有满足竞争性磋商文件的有关要求，其风险由供应商自行承担。</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4．竞争性磋商文件的澄清</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4.1</w:t>
      </w:r>
      <w:r>
        <w:rPr>
          <w:rFonts w:hint="default" w:ascii="宋体" w:hAnsi="宋体" w:eastAsia="宋体"/>
          <w:color w:val="auto"/>
          <w:position w:val="0"/>
          <w:sz w:val="24"/>
          <w:szCs w:val="24"/>
        </w:rPr>
        <w:t>供应商可以要求采购单位对竞争性磋商文件中的有关问题进行答疑、澄清。</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4.2</w:t>
      </w:r>
      <w:r>
        <w:rPr>
          <w:rFonts w:hint="default" w:ascii="宋体" w:hAnsi="宋体" w:eastAsia="宋体"/>
          <w:color w:val="auto"/>
          <w:position w:val="0"/>
          <w:sz w:val="24"/>
          <w:szCs w:val="24"/>
        </w:rPr>
        <w:t>供应商对竞争性磋商文件如有疑问，应在磋商文件要求的截止时间前以书面形式（如传真、信件、电报等）通知采购人和采购代理机构。</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5．竞争性磋商文件的修改</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5.1</w:t>
      </w:r>
      <w:r>
        <w:rPr>
          <w:rFonts w:hint="default" w:ascii="宋体" w:hAnsi="宋体" w:eastAsia="宋体"/>
          <w:color w:val="auto"/>
          <w:position w:val="0"/>
          <w:sz w:val="24"/>
          <w:szCs w:val="24"/>
        </w:rPr>
        <w:t>在某些情况下，采购人可能对竞争性磋商文件进行修改。</w:t>
      </w:r>
    </w:p>
    <w:p>
      <w:pPr>
        <w:numPr>
          <w:ilvl w:val="0"/>
          <w:numId w:val="0"/>
        </w:numPr>
        <w:autoSpaceDE/>
        <w:autoSpaceDN/>
        <w:snapToGrid w:val="0"/>
        <w:spacing w:before="0" w:after="0" w:line="360" w:lineRule="auto"/>
        <w:ind w:right="0" w:firstLine="482"/>
        <w:jc w:val="both"/>
        <w:rPr>
          <w:rFonts w:hint="default" w:ascii="宋体" w:hAnsi="宋体" w:eastAsia="宋体"/>
          <w:color w:val="181717" w:themeColor="background2" w:themeShade="1A"/>
          <w:position w:val="0"/>
          <w:sz w:val="24"/>
          <w:szCs w:val="24"/>
        </w:rPr>
      </w:pPr>
      <w:r>
        <w:rPr>
          <w:rFonts w:hint="default" w:ascii="宋体" w:hAnsi="宋体" w:eastAsia="宋体"/>
          <w:b/>
          <w:color w:val="181717" w:themeColor="background2" w:themeShade="1A"/>
          <w:position w:val="0"/>
          <w:sz w:val="24"/>
          <w:szCs w:val="24"/>
        </w:rPr>
        <w:t>5.2</w:t>
      </w:r>
      <w:r>
        <w:rPr>
          <w:rFonts w:hint="default" w:ascii="宋体" w:hAnsi="宋体" w:eastAsia="宋体"/>
          <w:color w:val="181717" w:themeColor="background2" w:themeShade="1A"/>
          <w:position w:val="0"/>
          <w:sz w:val="24"/>
          <w:szCs w:val="24"/>
        </w:rPr>
        <w:t>采购人对竞争性磋商文件的修改，将在铜陵学院网(http://www.tlu.edu.cn)、筑脸网（www.buildface.net）、中国政府采购网（http://www.ccgp.gov.cn）“通知公告”栏以“补充公告”的形式公布通知所有投标人，并对供应商具有约束力。</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5.3</w:t>
      </w:r>
      <w:r>
        <w:rPr>
          <w:rFonts w:hint="default" w:ascii="宋体" w:hAnsi="宋体" w:eastAsia="宋体"/>
          <w:color w:val="auto"/>
          <w:position w:val="0"/>
          <w:sz w:val="24"/>
          <w:szCs w:val="24"/>
        </w:rPr>
        <w:t>为使供应商有充分时间对竞争性磋商文件的修改部分进行研究或由于其他原因，采购人可以决定延长磋商响应截止日期，并以前款方式将变更时间通知所有供应商。</w:t>
      </w: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r>
        <w:rPr>
          <w:rFonts w:hint="default" w:ascii="宋体" w:hAnsi="宋体" w:eastAsia="宋体"/>
          <w:b/>
          <w:color w:val="auto"/>
          <w:position w:val="0"/>
          <w:sz w:val="28"/>
          <w:szCs w:val="28"/>
        </w:rPr>
        <w:t>（三）磋商响应书的编制</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6．磋商响应的语言及度量衡单位</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6.1</w:t>
      </w:r>
      <w:r>
        <w:rPr>
          <w:rFonts w:hint="default" w:ascii="宋体" w:hAnsi="宋体" w:eastAsia="宋体"/>
          <w:color w:val="auto"/>
          <w:position w:val="0"/>
          <w:sz w:val="24"/>
          <w:szCs w:val="24"/>
        </w:rPr>
        <w:t>供应商的磋商响应书、以及供应商与采购单位就磋商响应的所有往来函电，均须使用简体中文。</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6.2</w:t>
      </w:r>
      <w:r>
        <w:rPr>
          <w:rFonts w:hint="default" w:ascii="宋体" w:hAnsi="宋体" w:eastAsia="宋体"/>
          <w:color w:val="auto"/>
          <w:position w:val="0"/>
          <w:sz w:val="24"/>
          <w:szCs w:val="24"/>
        </w:rPr>
        <w:t>除竞争性磋商文件中另有规定外，磋商响应书所使用的度量衡均须采用法定计量单位。</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7. 磋商响应书构成</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 xml:space="preserve">7.1 </w:t>
      </w:r>
      <w:r>
        <w:rPr>
          <w:rFonts w:hint="default" w:ascii="宋体" w:hAnsi="宋体" w:eastAsia="宋体"/>
          <w:color w:val="auto"/>
          <w:position w:val="0"/>
          <w:sz w:val="24"/>
          <w:szCs w:val="24"/>
        </w:rPr>
        <w:t>磋商响应书应包括本竞争性磋商文件规定的全部内容。</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7.2</w:t>
      </w:r>
      <w:r>
        <w:rPr>
          <w:rFonts w:hint="default" w:ascii="宋体" w:hAnsi="宋体" w:eastAsia="宋体"/>
          <w:color w:val="auto"/>
          <w:position w:val="0"/>
          <w:sz w:val="24"/>
          <w:szCs w:val="24"/>
        </w:rPr>
        <w:t>供应商必须对其磋商响应书的真实性与准确性负责。供应商一旦成为成交供应商，其磋商响应书将作为合同的重要组成部分。</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7.3</w:t>
      </w:r>
      <w:r>
        <w:rPr>
          <w:rFonts w:hint="default" w:ascii="宋体" w:hAnsi="宋体" w:eastAsia="宋体"/>
          <w:color w:val="auto"/>
          <w:position w:val="0"/>
          <w:sz w:val="24"/>
          <w:szCs w:val="24"/>
        </w:rPr>
        <w:t>供应商不得擅自对竞争性磋商文件的格式、条款和技术要求进行修改。否则，其磋商响应书在磋商时有可能被认为是未对竞争性磋商文件做出实质性的响应而中止对其作进一步的评审。</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8．磋商响应报价</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8.1</w:t>
      </w:r>
      <w:r>
        <w:rPr>
          <w:rFonts w:hint="default" w:ascii="宋体" w:hAnsi="宋体" w:eastAsia="宋体"/>
          <w:color w:val="auto"/>
          <w:position w:val="0"/>
          <w:sz w:val="24"/>
          <w:szCs w:val="24"/>
        </w:rPr>
        <w:t>磋商响应报价应清楚地标明供应商拟提供服务的名称、单报价。只允许有一个方案、一个报价，多方案、多报价的磋商响应将不被接受。</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8.2</w:t>
      </w:r>
      <w:r>
        <w:rPr>
          <w:rFonts w:hint="default" w:ascii="宋体" w:hAnsi="宋体" w:eastAsia="宋体"/>
          <w:color w:val="auto"/>
          <w:position w:val="0"/>
          <w:sz w:val="24"/>
          <w:szCs w:val="24"/>
        </w:rPr>
        <w:t>　磋商报价表上的价格是验收价格，其总价即为履行合同的固定价格。</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8.3</w:t>
      </w:r>
      <w:r>
        <w:rPr>
          <w:rFonts w:hint="default" w:ascii="宋体" w:hAnsi="宋体" w:eastAsia="宋体"/>
          <w:color w:val="auto"/>
          <w:position w:val="0"/>
          <w:sz w:val="24"/>
          <w:szCs w:val="24"/>
        </w:rPr>
        <w:t>　技术要求中规定的服务、售后服务（质保期内）等一切费用应包括在报价中（本磋商文件中有特殊规定的除外）。</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30"/>
          <w:szCs w:val="30"/>
        </w:rPr>
      </w:pPr>
      <w:r>
        <w:rPr>
          <w:rFonts w:hint="default" w:ascii="宋体" w:hAnsi="宋体" w:eastAsia="宋体"/>
          <w:b/>
          <w:color w:val="auto"/>
          <w:position w:val="0"/>
          <w:sz w:val="24"/>
          <w:szCs w:val="24"/>
        </w:rPr>
        <w:t>8.4</w:t>
      </w:r>
      <w:r>
        <w:rPr>
          <w:rFonts w:hint="default" w:ascii="宋体" w:hAnsi="宋体" w:eastAsia="宋体"/>
          <w:color w:val="auto"/>
          <w:position w:val="0"/>
          <w:sz w:val="24"/>
          <w:szCs w:val="24"/>
        </w:rPr>
        <w:t>投标人的投标报价，应是完成招标项目招标合同条款上全部费用，包括：垃圾清运费、税金、风险费、招标代理费等所有费用。</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8.5磋商响应货币：</w:t>
      </w:r>
      <w:r>
        <w:rPr>
          <w:rFonts w:hint="default" w:ascii="宋体" w:hAnsi="宋体" w:eastAsia="宋体"/>
          <w:color w:val="auto"/>
          <w:position w:val="0"/>
          <w:sz w:val="24"/>
          <w:szCs w:val="24"/>
        </w:rPr>
        <w:t>须以人民币报价。</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9．证明供应商合格的资格文件</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9.1</w:t>
      </w:r>
      <w:r>
        <w:rPr>
          <w:rFonts w:hint="default" w:ascii="宋体" w:hAnsi="宋体" w:eastAsia="宋体"/>
          <w:color w:val="auto"/>
          <w:position w:val="0"/>
          <w:sz w:val="24"/>
          <w:szCs w:val="24"/>
        </w:rPr>
        <w:t>供应商在其磋商响应书中，应包括证明其有资格参加磋商和成交后有能力履行合同的资质证明文件。</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9.2</w:t>
      </w:r>
      <w:r>
        <w:rPr>
          <w:rFonts w:hint="default" w:ascii="宋体" w:hAnsi="宋体" w:eastAsia="宋体"/>
          <w:color w:val="auto"/>
          <w:position w:val="0"/>
          <w:sz w:val="24"/>
          <w:szCs w:val="24"/>
        </w:rPr>
        <w:t>供应商必须具有履行合同所必需的能力。</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10．磋商响应保证金（见磋商响应供应商须知前附表）。</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11．磋商响应书份数和签署</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 xml:space="preserve">11.1 </w:t>
      </w:r>
      <w:r>
        <w:rPr>
          <w:rFonts w:hint="default" w:ascii="宋体" w:hAnsi="宋体" w:eastAsia="宋体"/>
          <w:color w:val="auto"/>
          <w:position w:val="0"/>
          <w:sz w:val="24"/>
          <w:szCs w:val="24"/>
        </w:rPr>
        <w:t>供应商应准备供应商须知前附表规定份数的磋商响应书。每份磋商响应书须清楚地标明“正本”或“副本”字样，正本与副本必须一致；若正本与副本不一致，以正本为准。</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11.2</w:t>
      </w:r>
      <w:r>
        <w:rPr>
          <w:rFonts w:hint="default" w:ascii="宋体" w:hAnsi="宋体" w:eastAsia="宋体"/>
          <w:color w:val="auto"/>
          <w:position w:val="0"/>
          <w:sz w:val="24"/>
          <w:szCs w:val="24"/>
        </w:rPr>
        <w:t>磋商响应书的正本和所有的副本均需打印，由供应商的法定代表人或其授权代表正确签署。授权代表须将以书面形式出具的“法定代表人授权证书”附在磋商响应书上。</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11.3</w:t>
      </w:r>
      <w:r>
        <w:rPr>
          <w:rFonts w:hint="default" w:ascii="宋体" w:hAnsi="宋体" w:eastAsia="宋体"/>
          <w:color w:val="auto"/>
          <w:position w:val="0"/>
          <w:sz w:val="24"/>
          <w:szCs w:val="24"/>
        </w:rPr>
        <w:t>磋商响应书不得行间插字、涂改或增删。如有修改错漏处，必须由供应商的法定代表人或其授权代表签字或盖章。</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12．磋商响应书的密封和标记</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12.1</w:t>
      </w:r>
      <w:r>
        <w:rPr>
          <w:rFonts w:hint="default" w:ascii="宋体" w:hAnsi="宋体" w:eastAsia="宋体"/>
          <w:color w:val="auto"/>
          <w:position w:val="0"/>
          <w:sz w:val="24"/>
          <w:szCs w:val="24"/>
        </w:rPr>
        <w:t>供应商应将磋商响应书的正本和副本一起用包装袋封装好。封装应该严密、不易破损。封口处应盖有供应商公章或授权代表签字。</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12.2</w:t>
      </w:r>
      <w:r>
        <w:rPr>
          <w:rFonts w:hint="default" w:ascii="宋体" w:hAnsi="宋体" w:eastAsia="宋体"/>
          <w:color w:val="auto"/>
          <w:position w:val="0"/>
          <w:sz w:val="24"/>
          <w:szCs w:val="24"/>
        </w:rPr>
        <w:t>磋商响应书包装袋上必须清楚写明项目的名称、项目编号、供应商全称。</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12．3 磋商响应书不得活页装订，否则响应无效。</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28"/>
          <w:szCs w:val="28"/>
        </w:rPr>
      </w:pPr>
      <w:r>
        <w:rPr>
          <w:rFonts w:hint="default" w:ascii="宋体" w:hAnsi="宋体" w:eastAsia="宋体"/>
          <w:b/>
          <w:color w:val="auto"/>
          <w:position w:val="0"/>
          <w:sz w:val="28"/>
          <w:szCs w:val="28"/>
        </w:rPr>
        <w:t>（四）磋商响应书的递交</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13．磋商响应书超过时间递交的将被拒绝。磋商响应书有下列情形之一的，采购人将不予受理：</w:t>
      </w:r>
    </w:p>
    <w:p>
      <w:pPr>
        <w:numPr>
          <w:ilvl w:val="0"/>
          <w:numId w:val="0"/>
        </w:numPr>
        <w:autoSpaceDE/>
        <w:autoSpaceDN/>
        <w:snapToGrid w:val="0"/>
        <w:spacing w:before="0" w:after="0" w:line="360" w:lineRule="auto"/>
        <w:ind w:right="0" w:firstLine="477"/>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13.1</w:t>
      </w:r>
      <w:r>
        <w:rPr>
          <w:rFonts w:hint="default" w:ascii="宋体" w:hAnsi="宋体" w:eastAsia="宋体"/>
          <w:color w:val="auto"/>
          <w:position w:val="0"/>
          <w:sz w:val="24"/>
          <w:szCs w:val="24"/>
        </w:rPr>
        <w:t>逾期送达的或者未送达指定地点的；</w:t>
      </w:r>
    </w:p>
    <w:p>
      <w:pPr>
        <w:numPr>
          <w:ilvl w:val="0"/>
          <w:numId w:val="0"/>
        </w:numPr>
        <w:autoSpaceDE/>
        <w:autoSpaceDN/>
        <w:snapToGrid w:val="0"/>
        <w:spacing w:before="0" w:after="0" w:line="360" w:lineRule="auto"/>
        <w:ind w:right="0" w:firstLine="477"/>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13.2</w:t>
      </w:r>
      <w:r>
        <w:rPr>
          <w:rFonts w:hint="default" w:ascii="宋体" w:hAnsi="宋体" w:eastAsia="宋体"/>
          <w:color w:val="auto"/>
          <w:position w:val="0"/>
          <w:sz w:val="24"/>
          <w:szCs w:val="24"/>
        </w:rPr>
        <w:t>未按磋商文件要求包装、密封和标记的。</w:t>
      </w:r>
    </w:p>
    <w:p>
      <w:pPr>
        <w:numPr>
          <w:ilvl w:val="0"/>
          <w:numId w:val="0"/>
        </w:numPr>
        <w:autoSpaceDE/>
        <w:autoSpaceDN/>
        <w:snapToGrid w:val="0"/>
        <w:spacing w:before="0" w:after="0" w:line="360" w:lineRule="auto"/>
        <w:ind w:right="0" w:firstLine="482"/>
        <w:jc w:val="both"/>
        <w:rPr>
          <w:rFonts w:hint="default" w:ascii="宋体" w:hAnsi="宋体" w:eastAsia="宋体"/>
          <w:color w:val="auto"/>
          <w:position w:val="0"/>
          <w:sz w:val="24"/>
          <w:szCs w:val="24"/>
        </w:rPr>
      </w:pPr>
      <w:r>
        <w:rPr>
          <w:rFonts w:hint="default" w:ascii="宋体" w:hAnsi="宋体" w:eastAsia="宋体"/>
          <w:b/>
          <w:color w:val="auto"/>
          <w:position w:val="0"/>
          <w:sz w:val="24"/>
          <w:szCs w:val="24"/>
        </w:rPr>
        <w:t>14．磋商响应书的修改和撤回</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14.1供应商递交磋商响应书后，可以在规定的磋商响应截止时间前修改或撤回其磋商响应书。但这种修改和撤回，必须以书面形式通知采购人和浙江兴业建设项目管理有限公司。补充修改的内容与响应文件不一致的，以补充、修改的内容为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14.2供应商修改书或撤回通知书，应由法定代表人或其授权代表签署，并按规定进行密封、标记和提交。</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15．磋商现场</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浙江兴业建设项目管理有限公司将按照磋商响应供应商须知前附表载明的时间和地点举行磋商。</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16．磋商与评审</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16.1磋商与评审程序</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1、磋商小组由采购人依法组建，成员人数为3人或以上单数。</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2、磋商小组首先对供应商的资格进行审查，资格审查不通过的，将不得进入磋商。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3、磋商小组对供应商提交的磋商响应书及样品（如有）进行审查，为磋商做好准备工作。</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4、磋商小组所有成员集中与单一供应商进行逐一磋商。磋商过程中可对磋商文件规定的内容进行变动，变动内容须经采购人代表确认。</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5、对否定的供应商，磋商小组要提出充足的否定理由，并填写在评审记录上；对评审结果持有异议的，按照少数服从多数的原则由评委采取投票方式表决确定并记录入评审记录。</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16.1.1 资格审查</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经磋商小组确定，以下情形的供应商属于无效响应：</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未按本磋商文件要求提供营业执照以及相关资格证明材料或提供的材料不符合磋商公告要求的、未按磋商文件要求提交磋商保证金的。</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16.1.2 磋商响应书及样品（如有）</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16.1.3 磋商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1、在掌握了供应商磋商响应书及样品的基本情况后，磋商小组将与供应商分别进行磋商。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16.1.4 报价</w:t>
      </w:r>
    </w:p>
    <w:p>
      <w:pPr>
        <w:numPr>
          <w:ilvl w:val="0"/>
          <w:numId w:val="2"/>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响应报价超过项目预算控制数或不按规定格式进行报价的属于无效响应。报价表应按要求填写并装订入响应文件内。</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磋商结束后，磋商小组要求所有继续参加磋商的响应人在规定的时间内提交最后报价（如磋商过程中没有增加服务、工程数量或服务要求的，则二次报价时不得高于磋商响应书中的报价）。现场二次报价或者最后报价时仅报出总价，中标后，其单价部分按最后报价总价下降幅度同比例下降。</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16.1.5成交候选人</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磋商小组应当根据综合评分情况，按照评审得分由高到低顺序推荐3名成交候选供应商，并编写评审报告。评审得分相同的，按照最后报价由低到高的顺序推荐。评审得分且最后报价相同的，由该两家（及两家以上）供应商在相关监督部门的监督下抽签决定预成交候选人顺序；</w:t>
      </w:r>
      <w:r>
        <w:rPr>
          <w:rFonts w:hint="default" w:ascii="宋体" w:hAnsi="宋体" w:eastAsia="宋体"/>
          <w:b/>
          <w:color w:val="auto"/>
          <w:position w:val="0"/>
          <w:sz w:val="24"/>
          <w:szCs w:val="24"/>
          <w:u w:val="single"/>
        </w:rPr>
        <w:t>投标报价低于全体有效投标人平均报价80%，不得推荐为中标候选人。</w:t>
      </w:r>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17. 经磋商小组确定，有以下情形的供应商视为不合格供应商，其磋商响应将被否决：</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1）不符合招标公告规定的（证明材料：复印件加盖公章）；</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2）磋商响应书未加盖单位印章和法定代表人（或授权委托人）签章（签字）的；</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3）所提供的货物/服务/工程清单缺少的；</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4）关键性商务、技术参数以及相关要求不能得到真正满足的；</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5）样品不符合要求的（如有）；</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6) 报价超过项目预算控制数或不按规定格式进行报价的属于无效报价。</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7）其它不满足本磋商文件要求和法定应当否决的情形。</w:t>
      </w: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center"/>
        <w:rPr>
          <w:rFonts w:hint="default" w:ascii="宋体" w:hAnsi="宋体" w:eastAsia="宋体"/>
          <w:b/>
          <w:color w:val="auto"/>
          <w:position w:val="0"/>
          <w:sz w:val="30"/>
          <w:szCs w:val="30"/>
        </w:rPr>
      </w:pPr>
      <w:r>
        <w:rPr>
          <w:rFonts w:hint="default" w:ascii="宋体" w:hAnsi="宋体" w:eastAsia="宋体"/>
          <w:b/>
          <w:color w:val="auto"/>
          <w:position w:val="0"/>
          <w:sz w:val="30"/>
          <w:szCs w:val="30"/>
        </w:rPr>
        <w:t>（五）磋商办法</w:t>
      </w:r>
    </w:p>
    <w:p>
      <w:pPr>
        <w:numPr>
          <w:ilvl w:val="0"/>
          <w:numId w:val="0"/>
        </w:numPr>
        <w:autoSpaceDE/>
        <w:autoSpaceDN/>
        <w:snapToGrid w:val="0"/>
        <w:spacing w:before="0" w:after="0" w:line="360" w:lineRule="auto"/>
        <w:ind w:right="0" w:firstLine="480"/>
        <w:jc w:val="both"/>
        <w:rPr>
          <w:rFonts w:hint="default" w:ascii="宋体" w:hAnsi="宋体" w:eastAsia="宋体"/>
          <w:b/>
          <w:color w:val="auto"/>
          <w:position w:val="0"/>
          <w:sz w:val="24"/>
          <w:szCs w:val="24"/>
        </w:rPr>
      </w:pPr>
      <w:r>
        <w:rPr>
          <w:rFonts w:hint="default" w:ascii="宋体" w:hAnsi="宋体" w:eastAsia="宋体"/>
          <w:color w:val="auto"/>
          <w:position w:val="0"/>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numPr>
          <w:ilvl w:val="0"/>
          <w:numId w:val="0"/>
        </w:numPr>
        <w:autoSpaceDE/>
        <w:autoSpaceDN/>
        <w:spacing w:before="0" w:after="0" w:line="360" w:lineRule="auto"/>
        <w:ind w:right="0" w:firstLine="482"/>
        <w:jc w:val="both"/>
        <w:rPr>
          <w:rFonts w:hint="default" w:ascii="宋体" w:hAnsi="宋体" w:eastAsia="宋体"/>
          <w:b/>
          <w:color w:val="auto"/>
          <w:position w:val="0"/>
          <w:sz w:val="24"/>
          <w:szCs w:val="24"/>
        </w:rPr>
      </w:pPr>
      <w:r>
        <w:rPr>
          <w:rFonts w:hint="default" w:ascii="Times New Roman" w:hAnsi="Times New Roman" w:eastAsia="Times New Roman"/>
          <w:b/>
          <w:color w:val="000000"/>
          <w:position w:val="0"/>
          <w:sz w:val="24"/>
          <w:szCs w:val="24"/>
        </w:rPr>
        <w:t>综合评分部分（满分100分）</w:t>
      </w:r>
    </w:p>
    <w:tbl>
      <w:tblPr>
        <w:tblStyle w:val="33"/>
        <w:tblW w:w="10074" w:type="dxa"/>
        <w:jc w:val="center"/>
        <w:tblLayout w:type="fixed"/>
        <w:tblCellMar>
          <w:top w:w="0" w:type="dxa"/>
          <w:left w:w="0" w:type="dxa"/>
          <w:bottom w:w="0" w:type="dxa"/>
          <w:right w:w="0" w:type="dxa"/>
        </w:tblCellMar>
      </w:tblPr>
      <w:tblGrid>
        <w:gridCol w:w="1036"/>
        <w:gridCol w:w="916"/>
        <w:gridCol w:w="7372"/>
        <w:gridCol w:w="750"/>
      </w:tblGrid>
      <w:tr>
        <w:tblPrEx>
          <w:tblCellMar>
            <w:top w:w="0" w:type="dxa"/>
            <w:left w:w="0" w:type="dxa"/>
            <w:bottom w:w="0" w:type="dxa"/>
            <w:right w:w="0" w:type="dxa"/>
          </w:tblCellMar>
        </w:tblPrEx>
        <w:trPr>
          <w:trHeight w:val="421" w:hRule="atLeast"/>
          <w:jc w:val="center"/>
        </w:trPr>
        <w:tc>
          <w:tcPr>
            <w:tcW w:w="1036"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评审项目</w:t>
            </w: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评审</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因素</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308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评分标准</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0" w:lineRule="atLeast"/>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分值</w:t>
            </w:r>
          </w:p>
        </w:tc>
      </w:tr>
      <w:tr>
        <w:tblPrEx>
          <w:tblCellMar>
            <w:top w:w="0" w:type="dxa"/>
            <w:left w:w="0" w:type="dxa"/>
            <w:bottom w:w="0" w:type="dxa"/>
            <w:right w:w="0" w:type="dxa"/>
          </w:tblCellMar>
        </w:tblPrEx>
        <w:trPr>
          <w:trHeight w:val="2005" w:hRule="atLeast"/>
          <w:jc w:val="center"/>
        </w:trPr>
        <w:tc>
          <w:tcPr>
            <w:tcW w:w="1036" w:type="dxa"/>
            <w:vMerge w:val="restart"/>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技术部分（70分）</w:t>
            </w:r>
          </w:p>
        </w:tc>
        <w:tc>
          <w:tcPr>
            <w:tcW w:w="916"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方案设计</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（15分）</w:t>
            </w:r>
          </w:p>
        </w:tc>
        <w:tc>
          <w:tcPr>
            <w:tcW w:w="7372"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对本项目的理解把握准确、智能化设计方案合理、完善、结构清晰，有针对性，方案必须具备以下内容:</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1、针对体育场馆项目特点，技术方案思路清晰，系统整体架构设计先进、合理、规范、可行。</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2、创新化建议符合客观事实、切合项目，方案深化理由清晰、能给出优化对策、并具备可行性。</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较差得0-5分(含5分)，一般得6-10分(含10分) 、优得11-15分。</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15分</w:t>
            </w:r>
          </w:p>
        </w:tc>
      </w:tr>
      <w:tr>
        <w:tblPrEx>
          <w:tblCellMar>
            <w:top w:w="0" w:type="dxa"/>
            <w:left w:w="0" w:type="dxa"/>
            <w:bottom w:w="0" w:type="dxa"/>
            <w:right w:w="0" w:type="dxa"/>
          </w:tblCellMar>
        </w:tblPrEx>
        <w:trPr>
          <w:trHeight w:val="2758" w:hRule="atLeas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企业实力 （10分）</w:t>
            </w:r>
          </w:p>
        </w:tc>
        <w:tc>
          <w:tcPr>
            <w:tcW w:w="7372" w:type="dxa"/>
            <w:tcBorders>
              <w:top w:val="single" w:color="auto" w:sz="4" w:space="0"/>
              <w:left w:val="single" w:color="auto" w:sz="4" w:space="0"/>
              <w:right w:val="single" w:color="auto" w:sz="4" w:space="0"/>
            </w:tcBorders>
            <w:vAlign w:val="center"/>
          </w:tcPr>
          <w:p>
            <w:pPr>
              <w:numPr>
                <w:ilvl w:val="0"/>
                <w:numId w:val="0"/>
              </w:numPr>
              <w:autoSpaceDE/>
              <w:autoSpaceDN/>
              <w:spacing w:before="0" w:after="0" w:line="360" w:lineRule="auto"/>
              <w:ind w:right="0" w:firstLine="420"/>
              <w:jc w:val="both"/>
              <w:rPr>
                <w:rFonts w:hint="default" w:ascii="Times New Roman" w:hAnsi="Times New Roman" w:eastAsia="Times New Roman"/>
                <w:color w:val="auto"/>
                <w:position w:val="0"/>
                <w:sz w:val="21"/>
                <w:szCs w:val="21"/>
              </w:rPr>
            </w:pPr>
            <w:r>
              <w:rPr>
                <w:rFonts w:hint="default" w:ascii="Times New Roman" w:hAnsi="Times New Roman" w:eastAsia="Times New Roman"/>
                <w:color w:val="auto"/>
                <w:position w:val="0"/>
                <w:sz w:val="21"/>
                <w:szCs w:val="21"/>
              </w:rPr>
              <w:t>1、投标人为高新技术企业且在有效期内的得2分。最高得2分。</w:t>
            </w:r>
          </w:p>
          <w:p>
            <w:pPr>
              <w:numPr>
                <w:ilvl w:val="0"/>
                <w:numId w:val="0"/>
              </w:numPr>
              <w:autoSpaceDE/>
              <w:autoSpaceDN/>
              <w:spacing w:before="0" w:after="0" w:line="360" w:lineRule="auto"/>
              <w:ind w:right="0" w:firstLine="420"/>
              <w:jc w:val="left"/>
              <w:rPr>
                <w:rFonts w:hint="default" w:ascii="Times New Roman" w:hAnsi="Times New Roman" w:eastAsia="Times New Roman"/>
                <w:color w:val="auto"/>
                <w:position w:val="0"/>
                <w:sz w:val="21"/>
                <w:szCs w:val="21"/>
              </w:rPr>
            </w:pPr>
            <w:r>
              <w:rPr>
                <w:rFonts w:hint="default" w:ascii="Times New Roman" w:hAnsi="Times New Roman" w:eastAsia="Times New Roman"/>
                <w:color w:val="auto"/>
                <w:position w:val="0"/>
                <w:sz w:val="21"/>
                <w:szCs w:val="21"/>
              </w:rPr>
              <w:t>2、获得企业质量管理体系IS09001认证且在有效期的;获得环境管理体系IS014001认证且在有效期的;获得职业健康安全管理体GB/T28001认证且在有效期的，每有一项得1分，同时具有得3分。最高得3分；</w:t>
            </w:r>
          </w:p>
          <w:p>
            <w:pPr>
              <w:numPr>
                <w:ilvl w:val="0"/>
                <w:numId w:val="0"/>
              </w:numPr>
              <w:autoSpaceDE/>
              <w:autoSpaceDN/>
              <w:spacing w:before="0" w:after="0" w:line="360" w:lineRule="auto"/>
              <w:ind w:right="0" w:firstLine="420"/>
              <w:jc w:val="both"/>
              <w:rPr>
                <w:rFonts w:hint="default" w:ascii="Times New Roman" w:hAnsi="Times New Roman" w:eastAsia="Times New Roman"/>
                <w:color w:val="auto"/>
                <w:position w:val="0"/>
                <w:sz w:val="21"/>
                <w:szCs w:val="21"/>
              </w:rPr>
            </w:pPr>
            <w:r>
              <w:rPr>
                <w:rFonts w:hint="default" w:ascii="Times New Roman" w:hAnsi="Times New Roman" w:eastAsia="Times New Roman"/>
                <w:color w:val="auto"/>
                <w:position w:val="0"/>
                <w:sz w:val="21"/>
                <w:szCs w:val="21"/>
              </w:rPr>
              <w:t>3、投标人获得过“全国工程勘察设计企业60强”的称号得5分，获得过“全国工程勘察设计先进企业”的称号得2分。最高得5分；</w:t>
            </w:r>
          </w:p>
          <w:p>
            <w:pPr>
              <w:pStyle w:val="2"/>
              <w:numPr>
                <w:ilvl w:val="0"/>
                <w:numId w:val="0"/>
              </w:numPr>
              <w:autoSpaceDE/>
              <w:autoSpaceDN/>
              <w:spacing w:before="0" w:after="0" w:line="240" w:lineRule="auto"/>
              <w:ind w:right="0" w:firstLine="0"/>
              <w:jc w:val="both"/>
              <w:rPr>
                <w:rFonts w:hint="default" w:ascii="Times New Roman" w:hAnsi="Times New Roman" w:eastAsia="Times New Roman"/>
                <w:color w:val="auto"/>
                <w:position w:val="0"/>
                <w:sz w:val="32"/>
                <w:szCs w:val="32"/>
              </w:rPr>
            </w:pPr>
            <w:r>
              <w:rPr>
                <w:rFonts w:hint="default" w:ascii="Times New Roman" w:hAnsi="Times New Roman" w:eastAsia="Times New Roman"/>
                <w:color w:val="auto"/>
                <w:position w:val="0"/>
                <w:sz w:val="21"/>
                <w:szCs w:val="21"/>
              </w:rPr>
              <w:t xml:space="preserve">    注：以上均需提供有效证明材料，本项满分10分；</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10分</w:t>
            </w:r>
          </w:p>
        </w:tc>
      </w:tr>
      <w:tr>
        <w:tblPrEx>
          <w:tblCellMar>
            <w:top w:w="0" w:type="dxa"/>
            <w:left w:w="0" w:type="dxa"/>
            <w:bottom w:w="0" w:type="dxa"/>
            <w:right w:w="0" w:type="dxa"/>
          </w:tblCellMar>
        </w:tblPrEx>
        <w:trPr>
          <w:trHeight w:val="1779" w:hRule="exac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企业业绩</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（12分）</w:t>
            </w:r>
          </w:p>
        </w:tc>
        <w:tc>
          <w:tcPr>
            <w:tcW w:w="7372"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420"/>
              <w:jc w:val="both"/>
              <w:rPr>
                <w:rFonts w:hint="default" w:ascii="Times New Roman" w:hAnsi="Times New Roman" w:eastAsia="Times New Roman"/>
                <w:color w:val="auto"/>
                <w:position w:val="0"/>
                <w:sz w:val="21"/>
                <w:szCs w:val="21"/>
              </w:rPr>
            </w:pPr>
            <w:r>
              <w:rPr>
                <w:rFonts w:hint="default" w:ascii="Times New Roman" w:hAnsi="Times New Roman" w:eastAsia="Times New Roman"/>
                <w:color w:val="auto"/>
                <w:position w:val="0"/>
                <w:sz w:val="21"/>
                <w:szCs w:val="21"/>
              </w:rPr>
              <w:t>投标人近6年来具有(能容纳5000个座位及以上或建筑面积达到1万m2及以上)的室内体育馆智能化设计或总包(含智能化)设计业绩的每有一个得4分，最高得12分。</w:t>
            </w:r>
          </w:p>
          <w:p>
            <w:pPr>
              <w:numPr>
                <w:ilvl w:val="0"/>
                <w:numId w:val="0"/>
              </w:numPr>
              <w:autoSpaceDE/>
              <w:autoSpaceDN/>
              <w:spacing w:before="0" w:after="0" w:line="360" w:lineRule="auto"/>
              <w:ind w:right="0" w:firstLine="420"/>
              <w:jc w:val="both"/>
              <w:rPr>
                <w:rFonts w:hint="default" w:ascii="Times New Roman" w:hAnsi="Times New Roman" w:eastAsia="Times New Roman"/>
                <w:color w:val="auto"/>
                <w:position w:val="0"/>
                <w:sz w:val="21"/>
                <w:szCs w:val="21"/>
              </w:rPr>
            </w:pPr>
            <w:r>
              <w:rPr>
                <w:rFonts w:hint="default" w:ascii="Times New Roman" w:hAnsi="Times New Roman" w:eastAsia="Times New Roman"/>
                <w:color w:val="auto"/>
                <w:position w:val="0"/>
                <w:sz w:val="21"/>
                <w:szCs w:val="21"/>
              </w:rPr>
              <w:t>注：提供合同复印件加盖公章，合同内容需体现上述全部内容，否则不得分。</w:t>
            </w:r>
          </w:p>
          <w:p>
            <w:pPr>
              <w:pStyle w:val="2"/>
              <w:numPr>
                <w:ilvl w:val="0"/>
                <w:numId w:val="0"/>
              </w:numPr>
              <w:autoSpaceDE/>
              <w:autoSpaceDN/>
              <w:spacing w:before="0" w:after="0" w:line="240" w:lineRule="auto"/>
              <w:ind w:right="0" w:firstLine="440"/>
              <w:jc w:val="both"/>
              <w:rPr>
                <w:rFonts w:hint="default" w:ascii="Times New Roman" w:hAnsi="Times New Roman" w:eastAsia="Times New Roman"/>
                <w:color w:val="auto"/>
                <w:position w:val="0"/>
                <w:sz w:val="32"/>
                <w:szCs w:val="32"/>
              </w:rPr>
            </w:pPr>
            <w:r>
              <w:rPr>
                <w:rFonts w:hint="default" w:ascii="宋体" w:hAnsi="Times New Roman" w:eastAsia="Times New Roman"/>
                <w:color w:val="auto"/>
                <w:position w:val="0"/>
                <w:sz w:val="22"/>
                <w:szCs w:val="22"/>
              </w:rPr>
              <w:t>本项满分：12分；</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12分</w:t>
            </w:r>
          </w:p>
        </w:tc>
      </w:tr>
      <w:tr>
        <w:tblPrEx>
          <w:tblCellMar>
            <w:top w:w="0" w:type="dxa"/>
            <w:left w:w="0" w:type="dxa"/>
            <w:bottom w:w="0" w:type="dxa"/>
            <w:right w:w="0" w:type="dxa"/>
          </w:tblCellMar>
        </w:tblPrEx>
        <w:trPr>
          <w:trHeight w:val="1353" w:hRule="exac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企业荣誉（4分）</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投标人近6年来获得过体育场馆全国勘察设计行业智能化专项设计奖项或证书的得4分；获得过体育场馆市级及以上勘察设计行业智能化专项设计奖项或证书的得2分。最高得4分（本项仅计最高奖项，不累计得分)。</w:t>
            </w:r>
          </w:p>
          <w:p>
            <w:pPr>
              <w:pStyle w:val="2"/>
              <w:numPr>
                <w:ilvl w:val="0"/>
                <w:numId w:val="0"/>
              </w:numPr>
              <w:autoSpaceDE/>
              <w:autoSpaceDN/>
              <w:spacing w:before="0" w:after="0" w:line="240" w:lineRule="auto"/>
              <w:ind w:right="0" w:firstLine="640"/>
              <w:jc w:val="both"/>
              <w:rPr>
                <w:rFonts w:hint="default" w:ascii="Times New Roman" w:hAnsi="Times New Roman" w:eastAsia="Times New Roman"/>
                <w:color w:val="auto"/>
                <w:position w:val="0"/>
                <w:sz w:val="32"/>
                <w:szCs w:val="32"/>
              </w:rPr>
            </w:pPr>
          </w:p>
          <w:p>
            <w:pPr>
              <w:pStyle w:val="2"/>
              <w:numPr>
                <w:ilvl w:val="0"/>
                <w:numId w:val="0"/>
              </w:numPr>
              <w:autoSpaceDE/>
              <w:autoSpaceDN/>
              <w:spacing w:before="0" w:after="0" w:line="240" w:lineRule="auto"/>
              <w:ind w:right="0" w:firstLine="640"/>
              <w:jc w:val="both"/>
              <w:rPr>
                <w:rFonts w:hint="default" w:ascii="Times New Roman" w:hAnsi="Times New Roman" w:eastAsia="Times New Roman"/>
                <w:color w:val="auto"/>
                <w:position w:val="0"/>
                <w:sz w:val="32"/>
                <w:szCs w:val="32"/>
              </w:rPr>
            </w:pPr>
          </w:p>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注：(1)同一项目分别获国家级、省级奖的只记取最高级别的奖项，不重复计分。获奖的奖项应为体育建筑工程。(2)投标文件中需提供上述相关证书</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4分</w:t>
            </w:r>
          </w:p>
        </w:tc>
      </w:tr>
      <w:tr>
        <w:tblPrEx>
          <w:tblCellMar>
            <w:top w:w="0" w:type="dxa"/>
            <w:left w:w="0" w:type="dxa"/>
            <w:bottom w:w="0" w:type="dxa"/>
            <w:right w:w="0" w:type="dxa"/>
          </w:tblCellMar>
        </w:tblPrEx>
        <w:trPr>
          <w:trHeight w:val="4993" w:hRule="atLeas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项目负责人实力</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（8分）</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1、拟派项目负责人具有国家注册电气工程师</w:t>
            </w:r>
            <w:r>
              <w:rPr>
                <w:rFonts w:hint="default" w:ascii="宋体" w:hAnsi="宋体" w:eastAsia="宋体"/>
                <w:color w:val="auto"/>
                <w:position w:val="0"/>
                <w:sz w:val="22"/>
                <w:szCs w:val="22"/>
              </w:rPr>
              <w:t>执业资格</w:t>
            </w:r>
            <w:r>
              <w:rPr>
                <w:rFonts w:hint="default" w:ascii="宋体" w:hAnsi="Times New Roman" w:eastAsia="Times New Roman"/>
                <w:color w:val="auto"/>
                <w:position w:val="0"/>
                <w:sz w:val="22"/>
                <w:szCs w:val="22"/>
              </w:rPr>
              <w:t>的得3分；最高得3分。</w:t>
            </w:r>
          </w:p>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2、拟派项目负责人获得国家级行政主管部门或中国勘察设计协会颁发的荣誉证书或智能化专项设计奖项，每提供一个得3分；获得市级及以上行政主管部门或勘察设计协会颁发的荣誉证书或智能化专项设计奖项，每提供一个得1分；最高得5分。</w:t>
            </w:r>
          </w:p>
          <w:p>
            <w:pPr>
              <w:pStyle w:val="2"/>
              <w:numPr>
                <w:ilvl w:val="0"/>
                <w:numId w:val="0"/>
              </w:numPr>
              <w:autoSpaceDE/>
              <w:autoSpaceDN/>
              <w:spacing w:before="0" w:after="0" w:line="240" w:lineRule="auto"/>
              <w:ind w:right="0" w:firstLine="440"/>
              <w:jc w:val="both"/>
              <w:rPr>
                <w:rFonts w:hint="default" w:ascii="Times New Roman" w:hAnsi="Times New Roman" w:eastAsia="Times New Roman"/>
                <w:color w:val="auto"/>
                <w:position w:val="0"/>
                <w:sz w:val="32"/>
                <w:szCs w:val="32"/>
              </w:rPr>
            </w:pPr>
            <w:r>
              <w:rPr>
                <w:rFonts w:hint="default" w:ascii="宋体" w:hAnsi="Times New Roman" w:eastAsia="Times New Roman"/>
                <w:color w:val="000000"/>
                <w:position w:val="0"/>
                <w:sz w:val="22"/>
                <w:szCs w:val="22"/>
              </w:rPr>
              <w:t>本项满分8分。</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注：(1)同一项目分别获全国、省级奖、市级奖项的只记取最高级别的奖项，不重复计分。(2)投标文件中需提供上述相关证书或证明的复印件并加盖投标人公章。</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8分</w:t>
            </w:r>
          </w:p>
        </w:tc>
      </w:tr>
      <w:tr>
        <w:tblPrEx>
          <w:tblCellMar>
            <w:top w:w="0" w:type="dxa"/>
            <w:left w:w="0" w:type="dxa"/>
            <w:bottom w:w="0" w:type="dxa"/>
            <w:right w:w="0" w:type="dxa"/>
          </w:tblCellMar>
        </w:tblPrEx>
        <w:trPr>
          <w:trHeight w:val="1840" w:hRule="exac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项目负责人业绩</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（15分）</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拟派项目负责人近6年来具有(能容纳5000个座位及以上或建筑面积达到1万m2及以上)的室内体育馆智能化设计或总包(含智能化)设计业绩的每增加一个加5分，最高得15分。注：提供合同复印件加盖公章，合同内容需体现上述全部内容，否则不得分。本项满分15分；</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15分</w:t>
            </w:r>
          </w:p>
        </w:tc>
      </w:tr>
      <w:tr>
        <w:tblPrEx>
          <w:tblCellMar>
            <w:top w:w="0" w:type="dxa"/>
            <w:left w:w="0" w:type="dxa"/>
            <w:bottom w:w="0" w:type="dxa"/>
            <w:right w:w="0" w:type="dxa"/>
          </w:tblCellMar>
        </w:tblPrEx>
        <w:trPr>
          <w:trHeight w:val="2683" w:hRule="exact"/>
          <w:jc w:val="center"/>
        </w:trPr>
        <w:tc>
          <w:tcPr>
            <w:tcW w:w="1036" w:type="dxa"/>
            <w:vMerge w:val="continue"/>
            <w:tcBorders>
              <w:top w:val="single" w:color="auto" w:sz="4" w:space="0"/>
              <w:left w:val="single" w:color="auto" w:sz="4" w:space="0"/>
              <w:bottom w:val="single" w:color="auto" w:sz="4" w:space="0"/>
              <w:right w:val="single" w:color="auto" w:sz="4" w:space="0"/>
            </w:tcBorders>
            <w:vAlign w:val="center"/>
          </w:tcP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项目人员配备</w:t>
            </w:r>
          </w:p>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（6分）</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auto"/>
                <w:position w:val="0"/>
                <w:sz w:val="22"/>
                <w:szCs w:val="22"/>
              </w:rPr>
            </w:pPr>
            <w:r>
              <w:rPr>
                <w:rFonts w:hint="default" w:ascii="宋体" w:hAnsi="Times New Roman" w:eastAsia="Times New Roman"/>
                <w:color w:val="auto"/>
                <w:position w:val="0"/>
                <w:sz w:val="22"/>
                <w:szCs w:val="22"/>
              </w:rPr>
              <w:t>拟派项目组成员每一人具有相关电气（或建筑电气或建筑智能化）高级职称的得1分；具有国家注册电气工程师</w:t>
            </w:r>
            <w:r>
              <w:rPr>
                <w:rFonts w:hint="default" w:ascii="宋体" w:hAnsi="宋体" w:eastAsia="宋体"/>
                <w:color w:val="auto"/>
                <w:position w:val="0"/>
                <w:sz w:val="22"/>
                <w:szCs w:val="22"/>
              </w:rPr>
              <w:t>执业资格</w:t>
            </w:r>
            <w:r>
              <w:rPr>
                <w:rFonts w:hint="default" w:ascii="宋体" w:hAnsi="Times New Roman" w:eastAsia="Times New Roman"/>
                <w:color w:val="auto"/>
                <w:position w:val="0"/>
                <w:sz w:val="22"/>
                <w:szCs w:val="22"/>
              </w:rPr>
              <w:t>的得2分；本项最高得6分。</w:t>
            </w:r>
          </w:p>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auto"/>
                <w:position w:val="0"/>
                <w:sz w:val="22"/>
                <w:szCs w:val="22"/>
              </w:rPr>
              <w:t xml:space="preserve">注:以上项目组成员不包含项目负责人，一人多证仅计一次， 投标文件中需提供上述相关证书证明的复印件加盖公章。 </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6分</w:t>
            </w:r>
          </w:p>
        </w:tc>
      </w:tr>
      <w:tr>
        <w:tblPrEx>
          <w:tblCellMar>
            <w:top w:w="0" w:type="dxa"/>
            <w:left w:w="0" w:type="dxa"/>
            <w:bottom w:w="0" w:type="dxa"/>
            <w:right w:w="0" w:type="dxa"/>
          </w:tblCellMar>
        </w:tblPrEx>
        <w:trPr>
          <w:trHeight w:val="2104" w:hRule="exact"/>
          <w:jc w:val="center"/>
        </w:trPr>
        <w:tc>
          <w:tcPr>
            <w:tcW w:w="1036"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商务部分（30分）</w:t>
            </w:r>
          </w:p>
        </w:tc>
        <w:tc>
          <w:tcPr>
            <w:tcW w:w="916"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商务报价（30分）</w:t>
            </w:r>
          </w:p>
        </w:tc>
        <w:tc>
          <w:tcPr>
            <w:tcW w:w="7372"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360" w:lineRule="auto"/>
              <w:ind w:right="0" w:firstLine="440"/>
              <w:jc w:val="both"/>
              <w:rPr>
                <w:rFonts w:hint="default" w:ascii="宋体" w:hAnsi="华文仿宋" w:eastAsia="华文仿宋"/>
                <w:color w:val="000000"/>
                <w:position w:val="0"/>
                <w:sz w:val="22"/>
                <w:szCs w:val="22"/>
              </w:rPr>
            </w:pPr>
            <w:r>
              <w:rPr>
                <w:rFonts w:hint="default" w:ascii="宋体" w:hAnsi="Times New Roman" w:eastAsia="Times New Roman"/>
                <w:color w:val="000000"/>
                <w:position w:val="0"/>
                <w:sz w:val="22"/>
                <w:szCs w:val="22"/>
              </w:rPr>
              <w:t>价格分统一采用低价优先法，即满足磋商文件要求且投标价格最低的投标报价为评标基准价，其价格分为满分30 分。其他供应商的价格分统一按照下列公式计算：投标报价得分＝（评标基准价/投标报价）×30％×100 。</w:t>
            </w:r>
          </w:p>
        </w:tc>
        <w:tc>
          <w:tcPr>
            <w:tcW w:w="750" w:type="dxa"/>
            <w:tcBorders>
              <w:top w:val="single" w:color="auto" w:sz="4" w:space="0"/>
              <w:left w:val="nil"/>
              <w:bottom w:val="single" w:color="auto" w:sz="4" w:space="0"/>
              <w:right w:val="single" w:color="auto" w:sz="4" w:space="0"/>
            </w:tcBorders>
            <w:vAlign w:val="center"/>
          </w:tcPr>
          <w:p>
            <w:pPr>
              <w:numPr>
                <w:ilvl w:val="0"/>
                <w:numId w:val="0"/>
              </w:numPr>
              <w:autoSpaceDE/>
              <w:autoSpaceDN/>
              <w:spacing w:before="0" w:after="0" w:line="240" w:lineRule="auto"/>
              <w:ind w:right="0" w:firstLine="0"/>
              <w:jc w:val="center"/>
              <w:rPr>
                <w:rFonts w:hint="default" w:ascii="宋体" w:hAnsi="宋体" w:eastAsia="宋体"/>
                <w:color w:val="000000"/>
                <w:position w:val="0"/>
                <w:sz w:val="24"/>
                <w:szCs w:val="24"/>
              </w:rPr>
            </w:pPr>
            <w:r>
              <w:rPr>
                <w:rFonts w:hint="default" w:ascii="宋体" w:hAnsi="Times New Roman" w:eastAsia="Times New Roman"/>
                <w:color w:val="000000"/>
                <w:position w:val="0"/>
                <w:sz w:val="24"/>
                <w:szCs w:val="24"/>
              </w:rPr>
              <w:t>30分</w:t>
            </w:r>
          </w:p>
        </w:tc>
      </w:tr>
    </w:tbl>
    <w:p>
      <w:pPr>
        <w:pStyle w:val="17"/>
        <w:numPr>
          <w:ilvl w:val="0"/>
          <w:numId w:val="0"/>
        </w:numPr>
        <w:autoSpaceDE/>
        <w:autoSpaceDN/>
        <w:spacing w:before="0" w:after="0" w:line="360" w:lineRule="auto"/>
        <w:ind w:right="0" w:firstLine="0"/>
        <w:jc w:val="both"/>
        <w:rPr>
          <w:rFonts w:hint="default" w:ascii="宋体" w:hAnsi="华文仿宋" w:eastAsia="华文仿宋"/>
          <w:b/>
          <w:color w:val="000000"/>
          <w:position w:val="0"/>
          <w:sz w:val="22"/>
          <w:szCs w:val="22"/>
        </w:rPr>
      </w:pPr>
      <w:bookmarkStart w:id="3" w:name="_Toc383776348"/>
      <w:r>
        <w:rPr>
          <w:rFonts w:hint="default" w:ascii="宋体" w:hAnsi="宋体" w:eastAsia="宋体"/>
          <w:b/>
          <w:color w:val="000000"/>
          <w:position w:val="0"/>
          <w:sz w:val="22"/>
          <w:szCs w:val="22"/>
        </w:rPr>
        <w:t>备注：1、上述要求中涉及到的各种证书、报告及证明文件等材料均须将复印件附在标书内；</w:t>
      </w:r>
    </w:p>
    <w:p>
      <w:pPr>
        <w:pStyle w:val="17"/>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r>
        <w:rPr>
          <w:rFonts w:hint="default" w:ascii="宋体" w:hAnsi="宋体" w:eastAsia="宋体"/>
          <w:b/>
          <w:color w:val="000000"/>
          <w:position w:val="0"/>
          <w:sz w:val="22"/>
          <w:szCs w:val="22"/>
        </w:rPr>
        <w:t>2、未提供复印件的、提供的资料与评分项内规定的名称或内容不一致的均按未提供处理；</w:t>
      </w:r>
    </w:p>
    <w:p>
      <w:pPr>
        <w:numPr>
          <w:ilvl w:val="0"/>
          <w:numId w:val="0"/>
        </w:numPr>
        <w:autoSpaceDE/>
        <w:autoSpaceDN/>
        <w:snapToGrid w:val="0"/>
        <w:spacing w:before="0" w:after="0" w:line="360" w:lineRule="auto"/>
        <w:ind w:right="0" w:firstLine="1807"/>
        <w:jc w:val="both"/>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1807"/>
        <w:jc w:val="both"/>
        <w:rPr>
          <w:rFonts w:hint="default" w:ascii="宋体" w:hAnsi="宋体" w:eastAsia="宋体"/>
          <w:b/>
          <w:color w:val="auto"/>
          <w:position w:val="0"/>
          <w:sz w:val="30"/>
          <w:szCs w:val="30"/>
        </w:rPr>
      </w:pPr>
      <w:r>
        <w:rPr>
          <w:rFonts w:hint="default" w:ascii="宋体" w:hAnsi="宋体" w:eastAsia="宋体"/>
          <w:b/>
          <w:color w:val="auto"/>
          <w:position w:val="0"/>
          <w:sz w:val="30"/>
          <w:szCs w:val="30"/>
        </w:rPr>
        <w:t>（六）合同的签订、履行及验收</w:t>
      </w:r>
      <w:bookmarkEnd w:id="3"/>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20．合同的签订、履行及验收</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20.1签订合同</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20.1.1成交供应商在收到《成交通知书》后，应在磋商文件规定的时间内与采购人签订合同。由于成交供应商的原因逾期未签订合同的，将视为放弃成交，取消其成交资格并将按相关规定进行处理。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20.2履行合同</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20.2.1成交供应商与采购人签订合同后，合同双方应严格执行合同条款，履行合同规定的义务，保证合同的顺利完成。</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20.2.2在合同履行过程中，如发生合同纠纷，合同双方应按照《合同法》的有关规定进行处理。</w:t>
      </w:r>
    </w:p>
    <w:p>
      <w:pPr>
        <w:numPr>
          <w:ilvl w:val="0"/>
          <w:numId w:val="0"/>
        </w:numPr>
        <w:autoSpaceDE/>
        <w:autoSpaceDN/>
        <w:snapToGrid w:val="0"/>
        <w:spacing w:before="0" w:after="0" w:line="360" w:lineRule="auto"/>
        <w:ind w:right="0" w:firstLine="480"/>
        <w:jc w:val="both"/>
        <w:rPr>
          <w:rFonts w:hint="default" w:ascii="宋体" w:hAnsi="宋体" w:eastAsia="宋体"/>
          <w:color w:val="auto"/>
          <w:position w:val="0"/>
          <w:sz w:val="24"/>
          <w:szCs w:val="24"/>
        </w:rPr>
      </w:pPr>
      <w:r>
        <w:rPr>
          <w:rFonts w:hint="default" w:ascii="宋体" w:hAnsi="宋体" w:eastAsia="宋体"/>
          <w:color w:val="auto"/>
          <w:position w:val="0"/>
          <w:sz w:val="24"/>
          <w:szCs w:val="24"/>
        </w:rPr>
        <w:t>20.3验收：成交供应商交货时，由采购人依据合同组织验收。</w:t>
      </w:r>
    </w:p>
    <w:p>
      <w:pPr>
        <w:numPr>
          <w:ilvl w:val="0"/>
          <w:numId w:val="0"/>
        </w:numPr>
        <w:autoSpaceDE/>
        <w:autoSpaceDN/>
        <w:snapToGrid w:val="0"/>
        <w:spacing w:before="0" w:after="0" w:line="360" w:lineRule="auto"/>
        <w:ind w:right="0" w:firstLine="482"/>
        <w:jc w:val="center"/>
        <w:rPr>
          <w:rFonts w:hint="default" w:ascii="宋体" w:hAnsi="宋体" w:eastAsia="宋体"/>
          <w:b/>
          <w:color w:val="auto"/>
          <w:position w:val="0"/>
          <w:sz w:val="24"/>
          <w:szCs w:val="24"/>
        </w:rPr>
      </w:pPr>
      <w:bookmarkStart w:id="4" w:name="_Toc383776349"/>
    </w:p>
    <w:p>
      <w:pPr>
        <w:numPr>
          <w:ilvl w:val="0"/>
          <w:numId w:val="0"/>
        </w:numPr>
        <w:autoSpaceDE/>
        <w:autoSpaceDN/>
        <w:snapToGrid w:val="0"/>
        <w:spacing w:before="0" w:after="0" w:line="360" w:lineRule="auto"/>
        <w:ind w:right="0" w:firstLine="602"/>
        <w:jc w:val="center"/>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602"/>
        <w:jc w:val="center"/>
        <w:rPr>
          <w:rFonts w:hint="default" w:ascii="宋体" w:hAnsi="宋体" w:eastAsia="宋体"/>
          <w:b/>
          <w:color w:val="auto"/>
          <w:position w:val="0"/>
          <w:sz w:val="30"/>
          <w:szCs w:val="30"/>
        </w:rPr>
      </w:pPr>
      <w:r>
        <w:rPr>
          <w:rFonts w:hint="default" w:ascii="宋体" w:hAnsi="宋体" w:eastAsia="宋体"/>
          <w:b/>
          <w:color w:val="auto"/>
          <w:position w:val="0"/>
          <w:sz w:val="30"/>
          <w:szCs w:val="30"/>
        </w:rPr>
        <w:t>（七）质疑</w:t>
      </w:r>
      <w:bookmarkEnd w:id="4"/>
    </w:p>
    <w:p>
      <w:pPr>
        <w:numPr>
          <w:ilvl w:val="0"/>
          <w:numId w:val="0"/>
        </w:numPr>
        <w:autoSpaceDE/>
        <w:autoSpaceDN/>
        <w:snapToGrid w:val="0"/>
        <w:spacing w:before="0" w:after="0" w:line="360" w:lineRule="auto"/>
        <w:ind w:right="0" w:firstLine="482"/>
        <w:jc w:val="both"/>
        <w:rPr>
          <w:rFonts w:hint="default" w:ascii="宋体" w:hAnsi="宋体" w:eastAsia="宋体"/>
          <w:b/>
          <w:color w:val="auto"/>
          <w:position w:val="0"/>
          <w:sz w:val="24"/>
          <w:szCs w:val="24"/>
        </w:rPr>
      </w:pPr>
      <w:r>
        <w:rPr>
          <w:rFonts w:hint="default" w:ascii="宋体" w:hAnsi="宋体" w:eastAsia="宋体"/>
          <w:b/>
          <w:color w:val="auto"/>
          <w:position w:val="0"/>
          <w:sz w:val="24"/>
          <w:szCs w:val="24"/>
        </w:rPr>
        <w:t>21．质疑</w:t>
      </w:r>
    </w:p>
    <w:p>
      <w:pPr>
        <w:numPr>
          <w:ilvl w:val="0"/>
          <w:numId w:val="0"/>
        </w:numPr>
        <w:autoSpaceDE/>
        <w:autoSpaceDN/>
        <w:snapToGrid w:val="0"/>
        <w:spacing w:before="0" w:after="0" w:line="360" w:lineRule="auto"/>
        <w:ind w:right="0" w:firstLine="480"/>
        <w:jc w:val="left"/>
        <w:rPr>
          <w:rFonts w:hint="default" w:ascii="宋体" w:hAnsi="宋体" w:eastAsia="宋体"/>
          <w:color w:val="auto"/>
          <w:position w:val="0"/>
          <w:sz w:val="24"/>
          <w:szCs w:val="24"/>
        </w:rPr>
      </w:pPr>
      <w:r>
        <w:rPr>
          <w:rFonts w:hint="default" w:ascii="宋体" w:hAnsi="宋体" w:eastAsia="宋体"/>
          <w:color w:val="auto"/>
          <w:position w:val="0"/>
          <w:sz w:val="24"/>
          <w:szCs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p>
    <w:p>
      <w:pPr>
        <w:numPr>
          <w:ilvl w:val="0"/>
          <w:numId w:val="0"/>
        </w:numPr>
        <w:autoSpaceDE/>
        <w:autoSpaceDN/>
        <w:snapToGrid w:val="0"/>
        <w:spacing w:before="0" w:after="0" w:line="360" w:lineRule="auto"/>
        <w:ind w:right="0" w:firstLine="480"/>
        <w:jc w:val="left"/>
        <w:rPr>
          <w:rFonts w:hint="default" w:ascii="宋体" w:hAnsi="宋体" w:eastAsia="宋体"/>
          <w:b/>
          <w:color w:val="auto"/>
          <w:position w:val="0"/>
          <w:sz w:val="30"/>
          <w:szCs w:val="30"/>
        </w:rPr>
        <w:sectPr>
          <w:pgSz w:w="11906" w:h="16838"/>
          <w:pgMar w:top="1440" w:right="1800" w:bottom="1440" w:left="1800" w:header="851" w:footer="992" w:gutter="0"/>
          <w:pgNumType w:fmt="decimal"/>
          <w:docGrid w:type="lines" w:linePitch="312" w:charSpace="0"/>
        </w:sectPr>
      </w:pPr>
    </w:p>
    <w:p>
      <w:pPr>
        <w:numPr>
          <w:ilvl w:val="0"/>
          <w:numId w:val="0"/>
        </w:numPr>
        <w:autoSpaceDE/>
        <w:autoSpaceDN/>
        <w:snapToGrid w:val="0"/>
        <w:spacing w:before="0" w:after="0" w:line="360" w:lineRule="auto"/>
        <w:ind w:right="0" w:firstLine="3012"/>
        <w:jc w:val="both"/>
        <w:rPr>
          <w:rFonts w:hint="default" w:ascii="宋体" w:hAnsi="宋体" w:eastAsia="宋体"/>
          <w:b/>
          <w:color w:val="auto"/>
          <w:position w:val="0"/>
          <w:sz w:val="30"/>
          <w:szCs w:val="30"/>
        </w:rPr>
      </w:pPr>
      <w:bookmarkStart w:id="5" w:name="_Toc534929656"/>
      <w:r>
        <w:rPr>
          <w:rFonts w:hint="default" w:ascii="宋体" w:hAnsi="宋体" w:eastAsia="宋体"/>
          <w:b/>
          <w:color w:val="auto"/>
          <w:position w:val="0"/>
          <w:sz w:val="30"/>
          <w:szCs w:val="30"/>
        </w:rPr>
        <w:t>二、需求清单</w:t>
      </w:r>
      <w:bookmarkEnd w:id="5"/>
    </w:p>
    <w:p>
      <w:pPr>
        <w:numPr>
          <w:ilvl w:val="0"/>
          <w:numId w:val="0"/>
        </w:numPr>
        <w:autoSpaceDE/>
        <w:autoSpaceDN/>
        <w:spacing w:before="0" w:after="160" w:line="365" w:lineRule="exact"/>
        <w:ind w:right="0" w:firstLine="0"/>
        <w:jc w:val="both"/>
        <w:rPr>
          <w:rFonts w:hint="default" w:ascii="宋体" w:hAnsi="宋体" w:eastAsia="宋体"/>
          <w:b/>
          <w:color w:val="000000"/>
          <w:position w:val="0"/>
          <w:sz w:val="24"/>
          <w:szCs w:val="24"/>
        </w:rPr>
      </w:pPr>
      <w:r>
        <w:rPr>
          <w:rFonts w:hint="default" w:ascii="宋体" w:hAnsi="Times New Roman" w:eastAsia="Times New Roman"/>
          <w:b/>
          <w:color w:val="000000"/>
          <w:position w:val="0"/>
          <w:sz w:val="24"/>
          <w:szCs w:val="24"/>
        </w:rPr>
        <w:t>一</w:t>
      </w:r>
      <w:r>
        <w:rPr>
          <w:rFonts w:hint="default" w:ascii="宋体" w:hAnsi="宋体" w:eastAsia="宋体"/>
          <w:b/>
          <w:color w:val="000000"/>
          <w:position w:val="0"/>
          <w:sz w:val="24"/>
          <w:szCs w:val="24"/>
        </w:rPr>
        <w:t>、设计要求：</w:t>
      </w:r>
    </w:p>
    <w:p>
      <w:pPr>
        <w:numPr>
          <w:ilvl w:val="0"/>
          <w:numId w:val="0"/>
        </w:numPr>
        <w:autoSpaceDE/>
        <w:autoSpaceDN/>
        <w:spacing w:before="0" w:after="160" w:line="560" w:lineRule="exact"/>
        <w:ind w:right="0" w:firstLine="630"/>
        <w:jc w:val="both"/>
        <w:rPr>
          <w:rFonts w:hint="default" w:ascii="宋体" w:hAnsi="宋体" w:eastAsia="宋体"/>
          <w:color w:val="000000" w:themeColor="text1"/>
          <w:spacing w:val="10"/>
          <w:position w:val="0"/>
          <w:sz w:val="24"/>
          <w:szCs w:val="24"/>
          <w14:textFill>
            <w14:solidFill>
              <w14:schemeClr w14:val="tx1"/>
            </w14:solidFill>
          </w14:textFill>
        </w:rPr>
      </w:pPr>
      <w:r>
        <w:rPr>
          <w:rFonts w:hint="default" w:ascii="宋体" w:hAnsi="宋体" w:eastAsia="宋体"/>
          <w:color w:val="000000" w:themeColor="text1"/>
          <w:spacing w:val="10"/>
          <w:position w:val="0"/>
          <w:sz w:val="24"/>
          <w:szCs w:val="24"/>
          <w14:textFill>
            <w14:solidFill>
              <w14:schemeClr w14:val="tx1"/>
            </w14:solidFill>
          </w14:textFill>
        </w:rPr>
        <w:t>1、本设计主要工程内容为：</w:t>
      </w:r>
    </w:p>
    <w:p>
      <w:pPr>
        <w:numPr>
          <w:ilvl w:val="0"/>
          <w:numId w:val="0"/>
        </w:numPr>
        <w:autoSpaceDE/>
        <w:autoSpaceDN/>
        <w:spacing w:before="0" w:after="160" w:line="560" w:lineRule="exact"/>
        <w:ind w:right="0" w:firstLine="630"/>
        <w:jc w:val="both"/>
        <w:rPr>
          <w:rFonts w:hint="default" w:ascii="宋体" w:hAnsi="宋体" w:eastAsia="宋体"/>
          <w:color w:val="000000" w:themeColor="text1"/>
          <w:spacing w:val="10"/>
          <w:position w:val="0"/>
          <w:sz w:val="24"/>
          <w:szCs w:val="24"/>
          <w14:textFill>
            <w14:solidFill>
              <w14:schemeClr w14:val="tx1"/>
            </w14:solidFill>
          </w14:textFill>
        </w:rPr>
      </w:pPr>
      <w:r>
        <w:rPr>
          <w:rFonts w:hint="default" w:ascii="宋体" w:hAnsi="Times New Roman" w:eastAsia="Times New Roman"/>
          <w:color w:val="000000" w:themeColor="text1"/>
          <w:spacing w:val="10"/>
          <w:position w:val="0"/>
          <w:sz w:val="24"/>
          <w:szCs w:val="24"/>
          <w14:textFill>
            <w14:solidFill>
              <w14:schemeClr w14:val="tx1"/>
            </w14:solidFill>
          </w14:textFill>
        </w:rPr>
        <w:t>铜陵学院风雨操场智能化系统深化设计，深化后的设计图纸应满足招标及施工要求。</w:t>
      </w:r>
    </w:p>
    <w:p>
      <w:pPr>
        <w:numPr>
          <w:ilvl w:val="0"/>
          <w:numId w:val="0"/>
        </w:numPr>
        <w:autoSpaceDE/>
        <w:autoSpaceDN/>
        <w:spacing w:before="0" w:after="160" w:line="560" w:lineRule="exact"/>
        <w:ind w:right="0" w:firstLine="630"/>
        <w:jc w:val="both"/>
        <w:rPr>
          <w:rFonts w:hint="default" w:ascii="宋体" w:hAnsi="宋体" w:eastAsia="宋体"/>
          <w:color w:val="000000" w:themeColor="text1"/>
          <w:spacing w:val="10"/>
          <w:position w:val="0"/>
          <w:sz w:val="24"/>
          <w:szCs w:val="24"/>
          <w14:textFill>
            <w14:solidFill>
              <w14:schemeClr w14:val="tx1"/>
            </w14:solidFill>
          </w14:textFill>
        </w:rPr>
      </w:pPr>
      <w:r>
        <w:rPr>
          <w:rFonts w:hint="default" w:ascii="宋体" w:hAnsi="宋体" w:eastAsia="宋体"/>
          <w:color w:val="000000" w:themeColor="text1"/>
          <w:spacing w:val="10"/>
          <w:position w:val="0"/>
          <w:sz w:val="24"/>
          <w:szCs w:val="24"/>
          <w14:textFill>
            <w14:solidFill>
              <w14:schemeClr w14:val="tx1"/>
            </w14:solidFill>
          </w14:textFill>
        </w:rPr>
        <w:t>2、设计周期安排计划：总设计周期为</w:t>
      </w:r>
      <w:r>
        <w:rPr>
          <w:rFonts w:hint="default" w:ascii="宋体" w:hAnsi="Times New Roman" w:eastAsia="Times New Roman"/>
          <w:color w:val="000000" w:themeColor="text1"/>
          <w:spacing w:val="10"/>
          <w:position w:val="0"/>
          <w:sz w:val="24"/>
          <w:szCs w:val="24"/>
          <w14:textFill>
            <w14:solidFill>
              <w14:schemeClr w14:val="tx1"/>
            </w14:solidFill>
          </w14:textFill>
        </w:rPr>
        <w:t>6</w:t>
      </w:r>
      <w:r>
        <w:rPr>
          <w:rFonts w:hint="default" w:ascii="宋体" w:hAnsi="宋体" w:eastAsia="宋体"/>
          <w:color w:val="000000" w:themeColor="text1"/>
          <w:spacing w:val="10"/>
          <w:position w:val="0"/>
          <w:sz w:val="24"/>
          <w:szCs w:val="24"/>
          <w14:textFill>
            <w14:solidFill>
              <w14:schemeClr w14:val="tx1"/>
            </w14:solidFill>
          </w14:textFill>
        </w:rPr>
        <w:t>0日历天。</w:t>
      </w:r>
    </w:p>
    <w:p>
      <w:pPr>
        <w:numPr>
          <w:ilvl w:val="0"/>
          <w:numId w:val="0"/>
        </w:numPr>
        <w:autoSpaceDE/>
        <w:autoSpaceDN/>
        <w:spacing w:before="0" w:after="160" w:line="560" w:lineRule="exact"/>
        <w:ind w:right="0" w:firstLine="630"/>
        <w:jc w:val="both"/>
        <w:rPr>
          <w:rFonts w:hint="default" w:ascii="宋体" w:hAnsi="宋体" w:eastAsia="宋体"/>
          <w:color w:val="000000" w:themeColor="text1"/>
          <w:spacing w:val="10"/>
          <w:position w:val="0"/>
          <w:sz w:val="24"/>
          <w:szCs w:val="24"/>
          <w14:textFill>
            <w14:solidFill>
              <w14:schemeClr w14:val="tx1"/>
            </w14:solidFill>
          </w14:textFill>
        </w:rPr>
      </w:pPr>
      <w:r>
        <w:rPr>
          <w:rFonts w:hint="default" w:ascii="宋体" w:hAnsi="Times New Roman" w:eastAsia="Times New Roman"/>
          <w:color w:val="000000" w:themeColor="text1"/>
          <w:spacing w:val="10"/>
          <w:position w:val="0"/>
          <w:sz w:val="24"/>
          <w:szCs w:val="24"/>
          <w14:textFill>
            <w14:solidFill>
              <w14:schemeClr w14:val="tx1"/>
            </w14:solidFill>
          </w14:textFill>
        </w:rPr>
        <w:t>3</w:t>
      </w:r>
      <w:r>
        <w:rPr>
          <w:rFonts w:hint="default" w:ascii="宋体" w:hAnsi="宋体" w:eastAsia="宋体"/>
          <w:color w:val="000000" w:themeColor="text1"/>
          <w:spacing w:val="10"/>
          <w:position w:val="0"/>
          <w:sz w:val="24"/>
          <w:szCs w:val="24"/>
          <w14:textFill>
            <w14:solidFill>
              <w14:schemeClr w14:val="tx1"/>
            </w14:solidFill>
          </w14:textFill>
        </w:rPr>
        <w:t>、设计限额：所有内容的总设计概算金额不得超过</w:t>
      </w:r>
      <w:r>
        <w:rPr>
          <w:rFonts w:hint="default" w:ascii="宋体" w:hAnsi="Times New Roman" w:eastAsia="Times New Roman"/>
          <w:color w:val="000000" w:themeColor="text1"/>
          <w:spacing w:val="10"/>
          <w:position w:val="0"/>
          <w:sz w:val="24"/>
          <w:szCs w:val="24"/>
          <w14:textFill>
            <w14:solidFill>
              <w14:schemeClr w14:val="tx1"/>
            </w14:solidFill>
          </w14:textFill>
        </w:rPr>
        <w:t>800</w:t>
      </w:r>
      <w:r>
        <w:rPr>
          <w:rFonts w:hint="default" w:ascii="宋体" w:hAnsi="宋体" w:eastAsia="宋体"/>
          <w:color w:val="000000" w:themeColor="text1"/>
          <w:spacing w:val="10"/>
          <w:position w:val="0"/>
          <w:sz w:val="24"/>
          <w:szCs w:val="24"/>
          <w14:textFill>
            <w14:solidFill>
              <w14:schemeClr w14:val="tx1"/>
            </w14:solidFill>
          </w14:textFill>
        </w:rPr>
        <w:t>万元。</w:t>
      </w:r>
    </w:p>
    <w:p>
      <w:pPr>
        <w:numPr>
          <w:ilvl w:val="0"/>
          <w:numId w:val="0"/>
        </w:numPr>
        <w:autoSpaceDE/>
        <w:autoSpaceDN/>
        <w:spacing w:before="0" w:after="160" w:line="360" w:lineRule="auto"/>
        <w:ind w:right="0" w:firstLine="630"/>
        <w:jc w:val="both"/>
        <w:rPr>
          <w:rFonts w:hint="default" w:ascii="宋体" w:hAnsi="宋体" w:eastAsia="宋体"/>
          <w:color w:val="auto"/>
          <w:spacing w:val="10"/>
          <w:position w:val="0"/>
          <w:sz w:val="24"/>
          <w:szCs w:val="24"/>
        </w:rPr>
      </w:pPr>
      <w:r>
        <w:rPr>
          <w:rFonts w:hint="default" w:ascii="宋体" w:hAnsi="Times New Roman" w:eastAsia="Times New Roman"/>
          <w:color w:val="auto"/>
          <w:spacing w:val="10"/>
          <w:position w:val="0"/>
          <w:sz w:val="24"/>
          <w:szCs w:val="24"/>
        </w:rPr>
        <w:t>4</w:t>
      </w:r>
      <w:r>
        <w:rPr>
          <w:rFonts w:hint="default" w:ascii="宋体" w:hAnsi="宋体" w:eastAsia="宋体"/>
          <w:color w:val="auto"/>
          <w:spacing w:val="10"/>
          <w:position w:val="0"/>
          <w:sz w:val="24"/>
          <w:szCs w:val="24"/>
        </w:rPr>
        <w:t>、本工程施工期间，如发生施工内容需要变更，设计单位必须委派专人全程提供设计服务。</w:t>
      </w:r>
    </w:p>
    <w:p>
      <w:pPr>
        <w:numPr>
          <w:ilvl w:val="0"/>
          <w:numId w:val="0"/>
        </w:numPr>
        <w:autoSpaceDE/>
        <w:autoSpaceDN/>
        <w:spacing w:before="0" w:after="160" w:line="365" w:lineRule="exact"/>
        <w:ind w:right="0" w:firstLine="0"/>
        <w:jc w:val="both"/>
        <w:rPr>
          <w:rFonts w:hint="default" w:ascii="宋体" w:hAnsi="宋体" w:eastAsia="宋体"/>
          <w:b/>
          <w:color w:val="000000" w:themeColor="text1"/>
          <w:position w:val="0"/>
          <w:sz w:val="24"/>
          <w:szCs w:val="24"/>
          <w14:textFill>
            <w14:solidFill>
              <w14:schemeClr w14:val="tx1"/>
            </w14:solidFill>
          </w14:textFill>
        </w:rPr>
      </w:pPr>
      <w:r>
        <w:rPr>
          <w:rFonts w:hint="default" w:ascii="宋体" w:hAnsi="Times New Roman" w:eastAsia="Times New Roman"/>
          <w:b/>
          <w:color w:val="000000" w:themeColor="text1"/>
          <w:position w:val="0"/>
          <w:sz w:val="24"/>
          <w:szCs w:val="24"/>
          <w14:textFill>
            <w14:solidFill>
              <w14:schemeClr w14:val="tx1"/>
            </w14:solidFill>
          </w14:textFill>
        </w:rPr>
        <w:t>二、设计</w:t>
      </w:r>
      <w:r>
        <w:rPr>
          <w:rFonts w:hint="eastAsia" w:ascii="宋体" w:eastAsia="宋体"/>
          <w:b/>
          <w:color w:val="000000" w:themeColor="text1"/>
          <w:position w:val="0"/>
          <w:sz w:val="24"/>
          <w:szCs w:val="24"/>
          <w:lang w:eastAsia="zh-CN"/>
          <w14:textFill>
            <w14:solidFill>
              <w14:schemeClr w14:val="tx1"/>
            </w14:solidFill>
          </w14:textFill>
        </w:rPr>
        <w:t>具体</w:t>
      </w:r>
      <w:r>
        <w:rPr>
          <w:rFonts w:hint="default" w:ascii="宋体" w:hAnsi="Times New Roman" w:eastAsia="Times New Roman"/>
          <w:b/>
          <w:color w:val="000000" w:themeColor="text1"/>
          <w:position w:val="0"/>
          <w:sz w:val="24"/>
          <w:szCs w:val="24"/>
          <w14:textFill>
            <w14:solidFill>
              <w14:schemeClr w14:val="tx1"/>
            </w14:solidFill>
          </w14:textFill>
        </w:rPr>
        <w:t>内容：</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1.变电所电能管理分系统、能量计量系统：完善基础综合布线，后期与学校节能平台统一规划。</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2.综合布线系统：完善深化设计。</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3.有线电视系统：采用前端输入设备加光纤线路的解决方案。</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.校园广播系统、电教室扩音系统：进行专项深化设计完善基础综合布线、预留端口。</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.比赛扩音系统：完善专项深化设计，满足场馆赛事、典礼、演出等功能的声学需求。</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eastAsia="宋体" w:asciiTheme="minorEastAsia" w:hAnsiTheme="minorEastAsia" w:cstheme="minorEastAsia"/>
          <w:color w:val="000000" w:themeColor="text1"/>
          <w:sz w:val="24"/>
          <w:szCs w:val="24"/>
          <w:lang w:eastAsia="zh-CN"/>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.校园一卡通管理系统：进行专项深化设计完善基础综合布线、预留端口</w:t>
      </w:r>
      <w:r>
        <w:rPr>
          <w:rFonts w:hint="eastAsia" w:eastAsia="宋体" w:asciiTheme="minorEastAsia" w:hAnsiTheme="minorEastAsia" w:cstheme="minorEastAsia"/>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14:textFill>
            <w14:solidFill>
              <w14:schemeClr w14:val="tx1"/>
            </w14:solidFill>
          </w14:textFill>
        </w:rPr>
        <w:t>.计时计分系统：完善深化设计。</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.增加高清大屏幕显示系统。</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14:textFill>
            <w14:solidFill>
              <w14:schemeClr w14:val="tx1"/>
            </w14:solidFill>
          </w14:textFill>
        </w:rPr>
        <w:t>.考虑原设计文件中灯光的选型与实际体育场馆功能需求是否匹配</w:t>
      </w:r>
      <w:r>
        <w:rPr>
          <w:rFonts w:hint="eastAsia" w:eastAsia="宋体" w:asciiTheme="minorEastAsia" w:hAnsi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进行专项深化设计、施工安装、调试、验收。</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14:textFill>
            <w14:solidFill>
              <w14:schemeClr w14:val="tx1"/>
            </w14:solidFill>
          </w14:textFill>
        </w:rPr>
        <w:t>.增加全自动升旗系统。系统要求工业级设计，支持四到五面国旗悬挂。</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eastAsia="宋体" w:asciiTheme="minorEastAsia" w:hAnsi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14:textFill>
            <w14:solidFill>
              <w14:schemeClr w14:val="tx1"/>
            </w14:solidFill>
          </w14:textFill>
        </w:rPr>
        <w:t>.增加售票检票系统。对售票、检票过程实现电子化、自动化、网络化的计算机综合管理系统。</w:t>
      </w:r>
    </w:p>
    <w:p>
      <w:pPr>
        <w:pStyle w:val="58"/>
        <w:numPr>
          <w:ilvl w:val="0"/>
          <w:numId w:val="0"/>
        </w:numPr>
        <w:tabs>
          <w:tab w:val="left" w:pos="1800"/>
        </w:tabs>
        <w:autoSpaceDE/>
        <w:autoSpaceDN/>
        <w:snapToGrid w:val="0"/>
        <w:spacing w:before="0" w:after="160" w:line="360" w:lineRule="auto"/>
        <w:ind w:right="0" w:firstLine="0"/>
        <w:jc w:val="both"/>
        <w:rPr>
          <w:rFonts w:hint="default" w:ascii="宋体" w:hAnsi="宋体" w:eastAsia="宋体"/>
          <w:b/>
          <w:color w:val="000000"/>
          <w:position w:val="0"/>
          <w:sz w:val="24"/>
          <w:szCs w:val="24"/>
        </w:rPr>
      </w:pPr>
      <w:r>
        <w:rPr>
          <w:rFonts w:hint="default" w:ascii="宋体" w:hAnsi="宋体" w:eastAsia="宋体"/>
          <w:b/>
          <w:color w:val="000000"/>
          <w:position w:val="0"/>
          <w:sz w:val="24"/>
          <w:szCs w:val="24"/>
        </w:rPr>
        <w:t>三、设计依据：</w:t>
      </w:r>
    </w:p>
    <w:p>
      <w:pPr>
        <w:pStyle w:val="60"/>
        <w:numPr>
          <w:ilvl w:val="0"/>
          <w:numId w:val="0"/>
        </w:numPr>
        <w:autoSpaceDE w:val="0"/>
        <w:autoSpaceDN w:val="0"/>
        <w:snapToGrid w:val="0"/>
        <w:spacing w:before="0" w:after="160" w:line="360" w:lineRule="auto"/>
        <w:ind w:left="420" w:right="0" w:firstLine="0"/>
        <w:jc w:val="both"/>
        <w:rPr>
          <w:rFonts w:hint="default" w:ascii="宋体" w:hAnsi="Times New Roman" w:eastAsia="Times New Roman"/>
          <w:color w:val="auto"/>
          <w:spacing w:val="10"/>
          <w:position w:val="0"/>
          <w:sz w:val="24"/>
          <w:szCs w:val="24"/>
        </w:rPr>
      </w:pPr>
      <w:r>
        <w:rPr>
          <w:rFonts w:hint="default" w:ascii="宋体" w:hAnsi="Times New Roman" w:eastAsia="Times New Roman"/>
          <w:color w:val="auto"/>
          <w:spacing w:val="10"/>
          <w:position w:val="0"/>
          <w:sz w:val="24"/>
          <w:szCs w:val="24"/>
        </w:rPr>
        <w:t>国家现行设计法律法规和规范、当地规划、图审、消防验收要求和标准、招标人的使用功能要求。</w:t>
      </w:r>
    </w:p>
    <w:p>
      <w:pPr>
        <w:pStyle w:val="58"/>
        <w:numPr>
          <w:ilvl w:val="0"/>
          <w:numId w:val="0"/>
        </w:numPr>
        <w:tabs>
          <w:tab w:val="left" w:pos="1800"/>
        </w:tabs>
        <w:autoSpaceDE/>
        <w:autoSpaceDN/>
        <w:snapToGrid w:val="0"/>
        <w:spacing w:before="0" w:after="160" w:line="360" w:lineRule="auto"/>
        <w:ind w:right="0" w:firstLine="0"/>
        <w:jc w:val="both"/>
        <w:rPr>
          <w:rFonts w:hint="default" w:ascii="宋体" w:hAnsi="宋体" w:eastAsia="宋体"/>
          <w:b/>
          <w:color w:val="000000"/>
          <w:position w:val="0"/>
          <w:sz w:val="24"/>
          <w:szCs w:val="24"/>
        </w:rPr>
      </w:pPr>
      <w:r>
        <w:rPr>
          <w:rFonts w:hint="default" w:ascii="宋体" w:hAnsi="宋体" w:eastAsia="宋体"/>
          <w:b/>
          <w:color w:val="000000"/>
          <w:position w:val="0"/>
          <w:sz w:val="24"/>
          <w:szCs w:val="24"/>
        </w:rPr>
        <w:t>四、设计质量要求：</w:t>
      </w:r>
    </w:p>
    <w:p>
      <w:pPr>
        <w:pStyle w:val="60"/>
        <w:numPr>
          <w:ilvl w:val="0"/>
          <w:numId w:val="0"/>
        </w:numPr>
        <w:autoSpaceDE w:val="0"/>
        <w:autoSpaceDN w:val="0"/>
        <w:snapToGrid w:val="0"/>
        <w:spacing w:before="0" w:after="160" w:line="360" w:lineRule="auto"/>
        <w:ind w:left="420" w:right="0" w:firstLine="0"/>
        <w:jc w:val="both"/>
        <w:rPr>
          <w:rFonts w:hint="default" w:ascii="宋体" w:hAnsi="Times New Roman" w:eastAsia="Times New Roman"/>
          <w:color w:val="auto"/>
          <w:spacing w:val="10"/>
          <w:position w:val="0"/>
          <w:sz w:val="24"/>
          <w:szCs w:val="24"/>
        </w:rPr>
      </w:pPr>
      <w:r>
        <w:rPr>
          <w:rFonts w:hint="default" w:ascii="宋体" w:hAnsi="Times New Roman" w:eastAsia="Times New Roman"/>
          <w:color w:val="auto"/>
          <w:spacing w:val="10"/>
          <w:position w:val="0"/>
          <w:sz w:val="24"/>
          <w:szCs w:val="24"/>
        </w:rPr>
        <w:t>确保通过本地规划、消防、施工图审查合格，满足限额设计要求，满足招标人会审要求；否则无条件返工至合格。</w:t>
      </w:r>
    </w:p>
    <w:p>
      <w:pPr>
        <w:pStyle w:val="58"/>
        <w:numPr>
          <w:ilvl w:val="0"/>
          <w:numId w:val="0"/>
        </w:numPr>
        <w:tabs>
          <w:tab w:val="left" w:pos="1800"/>
        </w:tabs>
        <w:autoSpaceDE/>
        <w:autoSpaceDN/>
        <w:snapToGrid w:val="0"/>
        <w:spacing w:before="0" w:after="160" w:line="360" w:lineRule="auto"/>
        <w:ind w:right="0" w:firstLine="0"/>
        <w:jc w:val="both"/>
        <w:rPr>
          <w:rFonts w:hint="default" w:ascii="宋体" w:hAnsi="宋体" w:eastAsia="宋体"/>
          <w:b/>
          <w:color w:val="000000"/>
          <w:position w:val="0"/>
          <w:sz w:val="24"/>
          <w:szCs w:val="24"/>
        </w:rPr>
      </w:pPr>
      <w:r>
        <w:rPr>
          <w:rFonts w:hint="default" w:ascii="宋体" w:hAnsi="宋体" w:eastAsia="宋体"/>
          <w:b/>
          <w:color w:val="000000"/>
          <w:position w:val="0"/>
          <w:sz w:val="24"/>
          <w:szCs w:val="24"/>
        </w:rPr>
        <w:t>五、 设计成果要求</w:t>
      </w:r>
    </w:p>
    <w:p>
      <w:pPr>
        <w:numPr>
          <w:ilvl w:val="0"/>
          <w:numId w:val="0"/>
        </w:numPr>
        <w:autoSpaceDE/>
        <w:autoSpaceDN/>
        <w:spacing w:before="0" w:after="0" w:line="360" w:lineRule="auto"/>
        <w:ind w:left="420" w:right="0" w:firstLine="99"/>
        <w:jc w:val="both"/>
        <w:rPr>
          <w:rFonts w:hint="default" w:ascii="Times New Roman" w:hAnsi="Times New Roman" w:eastAsia="Times New Roman"/>
          <w:color w:val="000000" w:themeColor="text1"/>
          <w:spacing w:val="10"/>
          <w:position w:val="0"/>
          <w:sz w:val="21"/>
          <w:szCs w:val="21"/>
          <w14:textFill>
            <w14:solidFill>
              <w14:schemeClr w14:val="tx1"/>
            </w14:solidFill>
          </w14:textFill>
        </w:rPr>
      </w:pPr>
      <w:r>
        <w:rPr>
          <w:rFonts w:hint="default" w:ascii="宋体" w:hAnsi="Times New Roman" w:eastAsia="Times New Roman"/>
          <w:color w:val="000000" w:themeColor="text1"/>
          <w:spacing w:val="10"/>
          <w:position w:val="0"/>
          <w:sz w:val="24"/>
          <w:szCs w:val="24"/>
          <w14:textFill>
            <w14:solidFill>
              <w14:schemeClr w14:val="tx1"/>
            </w14:solidFill>
          </w14:textFill>
        </w:rPr>
        <w:t>深化设计文件经审查批准后完成施工图设计（含工程量清单），施工图设计文件经审查发现问题后3个日历天内完成补充、修改，施工图审查确定后2个日历天内提供全套完整施工图纸（含工程量清单）、设计方案等各8套。</w:t>
      </w:r>
    </w:p>
    <w:p>
      <w:pPr>
        <w:pStyle w:val="60"/>
        <w:numPr>
          <w:ilvl w:val="0"/>
          <w:numId w:val="0"/>
        </w:numPr>
        <w:autoSpaceDE w:val="0"/>
        <w:autoSpaceDN w:val="0"/>
        <w:snapToGrid w:val="0"/>
        <w:spacing w:before="0" w:after="160" w:line="360" w:lineRule="auto"/>
        <w:ind w:left="420" w:right="0" w:firstLine="0"/>
        <w:jc w:val="both"/>
        <w:rPr>
          <w:rFonts w:hint="default" w:ascii="宋体" w:hAnsi="Times New Roman" w:eastAsia="Times New Roman"/>
          <w:color w:val="000000" w:themeColor="text1"/>
          <w:spacing w:val="10"/>
          <w:position w:val="0"/>
          <w:sz w:val="24"/>
          <w:szCs w:val="24"/>
          <w14:textFill>
            <w14:solidFill>
              <w14:schemeClr w14:val="tx1"/>
            </w14:solidFill>
          </w14:textFill>
        </w:rPr>
      </w:pPr>
      <w:r>
        <w:rPr>
          <w:rFonts w:hint="default" w:ascii="宋体" w:hAnsi="Times New Roman" w:eastAsia="Times New Roman"/>
          <w:color w:val="000000" w:themeColor="text1"/>
          <w:spacing w:val="10"/>
          <w:position w:val="0"/>
          <w:sz w:val="24"/>
          <w:szCs w:val="24"/>
          <w14:textFill>
            <w14:solidFill>
              <w14:schemeClr w14:val="tx1"/>
            </w14:solidFill>
          </w14:textFill>
        </w:rPr>
        <w:t>工程施工技术服务包括施工设计交底；根据业主要求随时到施工现场开展技术服务，为业主严把质量关；提供工程变更设计（如有）；参与竣工验收等。</w:t>
      </w:r>
    </w:p>
    <w:p>
      <w:pPr>
        <w:numPr>
          <w:ilvl w:val="0"/>
          <w:numId w:val="0"/>
        </w:numPr>
        <w:autoSpaceDE/>
        <w:autoSpaceDN/>
        <w:spacing w:before="0" w:after="0" w:line="400" w:lineRule="exact"/>
        <w:ind w:right="0" w:firstLine="520"/>
        <w:jc w:val="both"/>
        <w:rPr>
          <w:rFonts w:hint="default" w:ascii="宋体" w:hAnsi="Times New Roman" w:eastAsia="Times New Roman"/>
          <w:color w:val="000000" w:themeColor="text1"/>
          <w:spacing w:val="10"/>
          <w:position w:val="0"/>
          <w:sz w:val="24"/>
          <w:szCs w:val="24"/>
          <w14:textFill>
            <w14:solidFill>
              <w14:schemeClr w14:val="tx1"/>
            </w14:solidFill>
          </w14:textFill>
        </w:rPr>
      </w:pPr>
      <w:r>
        <w:rPr>
          <w:rFonts w:hint="default" w:ascii="宋体" w:hAnsi="Times New Roman" w:eastAsia="Times New Roman"/>
          <w:color w:val="000000" w:themeColor="text1"/>
          <w:spacing w:val="10"/>
          <w:position w:val="0"/>
          <w:sz w:val="24"/>
          <w:szCs w:val="24"/>
          <w14:textFill>
            <w14:solidFill>
              <w14:schemeClr w14:val="tx1"/>
            </w14:solidFill>
          </w14:textFill>
        </w:rPr>
        <w:t>质量目标：符合现行有关法律、法规、条文、标准。</w:t>
      </w:r>
    </w:p>
    <w:p>
      <w:pPr>
        <w:numPr>
          <w:ilvl w:val="0"/>
          <w:numId w:val="0"/>
        </w:numPr>
        <w:autoSpaceDE/>
        <w:autoSpaceDN/>
        <w:spacing w:before="0" w:after="0" w:line="360" w:lineRule="auto"/>
        <w:ind w:right="0" w:firstLine="0"/>
        <w:jc w:val="both"/>
        <w:rPr>
          <w:rFonts w:hint="default" w:ascii="宋体" w:hAnsi="宋体" w:eastAsia="宋体"/>
          <w:b/>
          <w:color w:val="auto"/>
          <w:position w:val="0"/>
          <w:sz w:val="28"/>
          <w:szCs w:val="28"/>
        </w:rPr>
      </w:pPr>
    </w:p>
    <w:p>
      <w:pPr>
        <w:numPr>
          <w:ilvl w:val="0"/>
          <w:numId w:val="0"/>
        </w:numPr>
        <w:autoSpaceDE/>
        <w:autoSpaceDN/>
        <w:snapToGrid w:val="0"/>
        <w:spacing w:before="0" w:after="0" w:line="360" w:lineRule="auto"/>
        <w:ind w:right="0" w:firstLine="3012"/>
        <w:jc w:val="both"/>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3012"/>
        <w:jc w:val="both"/>
        <w:rPr>
          <w:rFonts w:hint="default" w:ascii="宋体" w:hAnsi="宋体" w:eastAsia="宋体"/>
          <w:b/>
          <w:color w:val="auto"/>
          <w:position w:val="0"/>
          <w:sz w:val="30"/>
          <w:szCs w:val="30"/>
        </w:rPr>
      </w:pPr>
    </w:p>
    <w:p>
      <w:pPr>
        <w:numPr>
          <w:ilvl w:val="0"/>
          <w:numId w:val="0"/>
        </w:numPr>
        <w:autoSpaceDE/>
        <w:autoSpaceDN/>
        <w:snapToGrid w:val="0"/>
        <w:spacing w:before="0" w:after="0" w:line="360" w:lineRule="auto"/>
        <w:ind w:right="0" w:firstLine="0"/>
        <w:jc w:val="both"/>
        <w:rPr>
          <w:rFonts w:hint="default" w:ascii="宋体" w:hAnsi="宋体" w:eastAsia="宋体"/>
          <w:b/>
          <w:color w:val="auto"/>
          <w:position w:val="0"/>
          <w:sz w:val="30"/>
          <w:szCs w:val="30"/>
        </w:rPr>
      </w:pPr>
    </w:p>
    <w:p>
      <w:pPr>
        <w:pStyle w:val="2"/>
        <w:rPr>
          <w:rFonts w:hint="default"/>
        </w:rPr>
      </w:pPr>
    </w:p>
    <w:p>
      <w:pPr>
        <w:numPr>
          <w:ilvl w:val="0"/>
          <w:numId w:val="0"/>
        </w:numPr>
        <w:autoSpaceDE/>
        <w:autoSpaceDN/>
        <w:snapToGrid w:val="0"/>
        <w:spacing w:before="0" w:after="0" w:line="360" w:lineRule="auto"/>
        <w:ind w:right="0" w:firstLine="3012"/>
        <w:jc w:val="both"/>
        <w:rPr>
          <w:rFonts w:hint="default" w:ascii="宋体" w:hAnsi="宋体" w:eastAsia="宋体"/>
          <w:b/>
          <w:color w:val="auto"/>
          <w:position w:val="0"/>
          <w:sz w:val="30"/>
          <w:szCs w:val="30"/>
        </w:rPr>
      </w:pPr>
      <w:r>
        <w:rPr>
          <w:rFonts w:hint="default" w:ascii="宋体" w:hAnsi="宋体" w:eastAsia="宋体"/>
          <w:b/>
          <w:color w:val="auto"/>
          <w:position w:val="0"/>
          <w:sz w:val="30"/>
          <w:szCs w:val="30"/>
        </w:rPr>
        <w:t>第三章 磋商响应书</w:t>
      </w: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r>
        <w:rPr>
          <w:rFonts w:hint="default" w:ascii="宋体" w:hAnsi="宋体" w:eastAsia="宋体"/>
          <w:color w:val="auto"/>
          <w:position w:val="0"/>
          <w:sz w:val="30"/>
          <w:szCs w:val="30"/>
        </w:rPr>
        <w:t>封面</w:t>
      </w:r>
    </w:p>
    <w:p>
      <w:pPr>
        <w:numPr>
          <w:ilvl w:val="0"/>
          <w:numId w:val="0"/>
        </w:numPr>
        <w:autoSpaceDE/>
        <w:autoSpaceDN/>
        <w:spacing w:before="0" w:after="0" w:line="360" w:lineRule="auto"/>
        <w:ind w:right="0" w:firstLine="165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3614"/>
        <w:jc w:val="both"/>
        <w:rPr>
          <w:rFonts w:hint="default" w:ascii="宋体" w:hAnsi="宋体" w:eastAsia="宋体"/>
          <w:b/>
          <w:color w:val="auto"/>
          <w:position w:val="0"/>
          <w:sz w:val="30"/>
          <w:szCs w:val="30"/>
        </w:rPr>
      </w:pPr>
      <w:r>
        <w:rPr>
          <w:rFonts w:hint="default" w:ascii="宋体" w:hAnsi="宋体" w:eastAsia="宋体"/>
          <w:b/>
          <w:color w:val="auto"/>
          <w:position w:val="0"/>
          <w:sz w:val="30"/>
          <w:szCs w:val="30"/>
        </w:rPr>
        <w:t>项目编号：</w:t>
      </w: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560"/>
        <w:jc w:val="both"/>
        <w:rPr>
          <w:rFonts w:hint="default" w:ascii="宋体" w:hAnsi="宋体" w:eastAsia="宋体"/>
          <w:color w:val="000000" w:themeColor="text1"/>
          <w:position w:val="0"/>
          <w:sz w:val="28"/>
          <w:szCs w:val="28"/>
          <w:u w:val="single"/>
          <w14:textFill>
            <w14:solidFill>
              <w14:schemeClr w14:val="tx1"/>
            </w14:solidFill>
          </w14:textFill>
        </w:rPr>
      </w:pPr>
      <w:r>
        <w:rPr>
          <w:rFonts w:hint="default" w:ascii="宋体" w:hAnsi="宋体" w:eastAsia="宋体"/>
          <w:color w:val="auto"/>
          <w:position w:val="0"/>
          <w:sz w:val="28"/>
          <w:szCs w:val="28"/>
        </w:rPr>
        <w:t>项目名称：</w:t>
      </w:r>
      <w:r>
        <w:rPr>
          <w:rFonts w:hint="default" w:ascii="宋体" w:hAnsi="宋体" w:eastAsia="宋体"/>
          <w:color w:val="000000" w:themeColor="text1"/>
          <w:position w:val="0"/>
          <w:sz w:val="28"/>
          <w:szCs w:val="28"/>
          <w:u w:val="single"/>
          <w14:textFill>
            <w14:solidFill>
              <w14:schemeClr w14:val="tx1"/>
            </w14:solidFill>
          </w14:textFill>
        </w:rPr>
        <w:t xml:space="preserve">铜陵学院风雨操场智能化系统深化设计项目                    </w:t>
      </w:r>
    </w:p>
    <w:p>
      <w:pPr>
        <w:numPr>
          <w:ilvl w:val="0"/>
          <w:numId w:val="0"/>
        </w:numPr>
        <w:autoSpaceDE/>
        <w:autoSpaceDN/>
        <w:spacing w:before="0" w:after="0" w:line="360" w:lineRule="auto"/>
        <w:ind w:right="0" w:firstLine="56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 xml:space="preserve">供应商： </w:t>
      </w:r>
      <w:r>
        <w:rPr>
          <w:rFonts w:hint="default" w:ascii="宋体" w:hAnsi="宋体" w:eastAsia="宋体"/>
          <w:color w:val="auto"/>
          <w:position w:val="0"/>
          <w:sz w:val="28"/>
          <w:szCs w:val="28"/>
          <w:u w:val="single"/>
        </w:rPr>
        <w:t xml:space="preserve">                                   （盖章）  </w:t>
      </w:r>
    </w:p>
    <w:p>
      <w:pPr>
        <w:numPr>
          <w:ilvl w:val="0"/>
          <w:numId w:val="0"/>
        </w:numPr>
        <w:autoSpaceDE/>
        <w:autoSpaceDN/>
        <w:spacing w:before="0" w:after="0" w:line="360" w:lineRule="auto"/>
        <w:ind w:right="0" w:firstLine="56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法人或授权委托人：</w:t>
      </w:r>
      <w:r>
        <w:rPr>
          <w:rFonts w:hint="default" w:ascii="宋体" w:hAnsi="宋体" w:eastAsia="宋体"/>
          <w:color w:val="auto"/>
          <w:position w:val="0"/>
          <w:sz w:val="28"/>
          <w:szCs w:val="28"/>
          <w:u w:val="single"/>
        </w:rPr>
        <w:t>（签字或盖章）</w:t>
      </w:r>
    </w:p>
    <w:p>
      <w:pPr>
        <w:numPr>
          <w:ilvl w:val="0"/>
          <w:numId w:val="0"/>
        </w:numPr>
        <w:autoSpaceDE/>
        <w:autoSpaceDN/>
        <w:spacing w:before="0" w:after="0" w:line="360" w:lineRule="auto"/>
        <w:ind w:right="0" w:firstLine="560"/>
        <w:jc w:val="center"/>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60"/>
        <w:jc w:val="center"/>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60"/>
        <w:jc w:val="center"/>
        <w:rPr>
          <w:rFonts w:hint="default" w:ascii="宋体" w:hAnsi="宋体" w:eastAsia="宋体"/>
          <w:color w:val="auto"/>
          <w:position w:val="0"/>
          <w:sz w:val="28"/>
          <w:szCs w:val="28"/>
        </w:rPr>
      </w:pPr>
      <w:r>
        <w:rPr>
          <w:rFonts w:hint="default" w:ascii="宋体" w:hAnsi="宋体" w:eastAsia="宋体"/>
          <w:color w:val="auto"/>
          <w:position w:val="0"/>
          <w:sz w:val="28"/>
          <w:szCs w:val="28"/>
        </w:rPr>
        <w:t>2020    年    月     日</w:t>
      </w:r>
    </w:p>
    <w:p>
      <w:pPr>
        <w:numPr>
          <w:ilvl w:val="0"/>
          <w:numId w:val="0"/>
        </w:numPr>
        <w:autoSpaceDE/>
        <w:autoSpaceDN/>
        <w:spacing w:before="0" w:after="0" w:line="360" w:lineRule="auto"/>
        <w:ind w:right="0" w:firstLine="330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330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3300"/>
        <w:jc w:val="center"/>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44"/>
          <w:szCs w:val="44"/>
        </w:rPr>
      </w:pPr>
      <w:r>
        <w:br w:type="page"/>
      </w:r>
      <w:r>
        <w:rPr>
          <w:rFonts w:hint="default" w:ascii="宋体" w:hAnsi="宋体" w:eastAsia="宋体"/>
          <w:b/>
          <w:color w:val="auto"/>
          <w:position w:val="0"/>
          <w:sz w:val="30"/>
          <w:szCs w:val="30"/>
        </w:rPr>
        <w:t>目 录</w:t>
      </w:r>
    </w:p>
    <w:p>
      <w:pPr>
        <w:numPr>
          <w:ilvl w:val="0"/>
          <w:numId w:val="0"/>
        </w:numPr>
        <w:autoSpaceDE/>
        <w:autoSpaceDN/>
        <w:spacing w:before="0" w:after="0" w:line="360" w:lineRule="auto"/>
        <w:ind w:right="0" w:firstLine="0"/>
        <w:jc w:val="center"/>
        <w:rPr>
          <w:rFonts w:hint="default" w:ascii="宋体" w:hAnsi="宋体" w:eastAsia="宋体"/>
          <w:b/>
          <w:color w:val="auto"/>
          <w:position w:val="0"/>
          <w:sz w:val="44"/>
          <w:szCs w:val="44"/>
        </w:rPr>
      </w:pP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一、磋商响应函格式</w:t>
      </w: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二、项目实施方案</w:t>
      </w: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三、售后服务承诺函</w:t>
      </w: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四、法定代表人授权书</w:t>
      </w:r>
    </w:p>
    <w:p>
      <w:pPr>
        <w:pStyle w:val="7"/>
        <w:numPr>
          <w:ilvl w:val="0"/>
          <w:numId w:val="0"/>
        </w:numPr>
        <w:autoSpaceDE/>
        <w:autoSpaceDN/>
        <w:spacing w:before="0" w:after="0" w:line="480" w:lineRule="auto"/>
        <w:ind w:right="0" w:firstLine="0"/>
        <w:jc w:val="both"/>
        <w:outlineLvl w:val="1"/>
        <w:rPr>
          <w:rFonts w:hint="default" w:ascii="Arial" w:hAnsi="Arial" w:eastAsia="Arial"/>
          <w:b/>
          <w:color w:val="auto"/>
          <w:position w:val="0"/>
          <w:sz w:val="28"/>
          <w:szCs w:val="28"/>
        </w:rPr>
      </w:pPr>
      <w:r>
        <w:rPr>
          <w:rFonts w:hint="default" w:ascii="宋体" w:hAnsi="宋体" w:eastAsia="宋体"/>
          <w:b w:val="0"/>
          <w:color w:val="auto"/>
          <w:position w:val="0"/>
          <w:sz w:val="28"/>
          <w:szCs w:val="28"/>
        </w:rPr>
        <w:t>五、资格证明文件</w:t>
      </w: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六、履行合同所必需的设备专业技术能力证明文件</w:t>
      </w:r>
    </w:p>
    <w:p>
      <w:pPr>
        <w:pStyle w:val="7"/>
        <w:numPr>
          <w:ilvl w:val="0"/>
          <w:numId w:val="0"/>
        </w:numPr>
        <w:autoSpaceDE/>
        <w:autoSpaceDN/>
        <w:spacing w:before="0" w:after="0" w:line="480" w:lineRule="auto"/>
        <w:ind w:right="0" w:firstLine="0"/>
        <w:jc w:val="both"/>
        <w:outlineLvl w:val="1"/>
        <w:rPr>
          <w:rFonts w:hint="default" w:ascii="宋体" w:hAnsi="宋体" w:eastAsia="宋体"/>
          <w:b w:val="0"/>
          <w:color w:val="auto"/>
          <w:position w:val="0"/>
          <w:sz w:val="28"/>
          <w:szCs w:val="28"/>
        </w:rPr>
      </w:pPr>
      <w:r>
        <w:rPr>
          <w:rFonts w:hint="default" w:ascii="宋体" w:hAnsi="宋体" w:eastAsia="宋体"/>
          <w:b w:val="0"/>
          <w:color w:val="auto"/>
          <w:position w:val="0"/>
          <w:sz w:val="28"/>
          <w:szCs w:val="28"/>
        </w:rPr>
        <w:t>七、供应商认为需要填报其它的资料</w:t>
      </w:r>
    </w:p>
    <w:p>
      <w:pPr>
        <w:numPr>
          <w:ilvl w:val="0"/>
          <w:numId w:val="0"/>
        </w:numPr>
        <w:autoSpaceDE/>
        <w:autoSpaceDN/>
        <w:spacing w:before="0" w:after="0" w:line="360" w:lineRule="auto"/>
        <w:ind w:right="0" w:firstLine="0"/>
        <w:jc w:val="both"/>
        <w:rPr>
          <w:rFonts w:hint="default" w:ascii="宋体" w:hAnsi="宋体" w:eastAsia="宋体"/>
          <w:color w:val="auto"/>
          <w:position w:val="0"/>
          <w:sz w:val="32"/>
          <w:szCs w:val="32"/>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r>
        <w:br w:type="page"/>
      </w:r>
      <w:r>
        <w:rPr>
          <w:rFonts w:hint="default" w:ascii="宋体" w:hAnsi="宋体" w:eastAsia="宋体"/>
          <w:b/>
          <w:color w:val="auto"/>
          <w:position w:val="0"/>
          <w:sz w:val="30"/>
          <w:szCs w:val="30"/>
        </w:rPr>
        <w:t>一、磋商响应函格式</w:t>
      </w:r>
    </w:p>
    <w:p>
      <w:pPr>
        <w:numPr>
          <w:ilvl w:val="0"/>
          <w:numId w:val="0"/>
        </w:numPr>
        <w:autoSpaceDE/>
        <w:autoSpaceDN/>
        <w:spacing w:before="0" w:after="0" w:line="360" w:lineRule="auto"/>
        <w:ind w:right="0" w:firstLine="0"/>
        <w:jc w:val="both"/>
        <w:rPr>
          <w:rFonts w:hint="default" w:ascii="宋体" w:hAnsi="宋体" w:eastAsia="宋体"/>
          <w:b/>
          <w:color w:val="auto"/>
          <w:position w:val="0"/>
          <w:sz w:val="28"/>
          <w:szCs w:val="28"/>
          <w:u w:val="single"/>
        </w:rPr>
      </w:pPr>
      <w:r>
        <w:rPr>
          <w:rFonts w:hint="default" w:ascii="宋体" w:hAnsi="宋体" w:eastAsia="宋体"/>
          <w:b/>
          <w:color w:val="auto"/>
          <w:position w:val="0"/>
          <w:sz w:val="28"/>
          <w:szCs w:val="28"/>
        </w:rPr>
        <w:t>致：</w:t>
      </w:r>
      <w:r>
        <w:rPr>
          <w:rFonts w:hint="default" w:ascii="宋体" w:hAnsi="宋体" w:eastAsia="宋体"/>
          <w:b/>
          <w:color w:val="auto"/>
          <w:position w:val="0"/>
          <w:sz w:val="28"/>
          <w:szCs w:val="28"/>
          <w:u w:val="single"/>
        </w:rPr>
        <w:t>铜陵学院</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1．我们决定参加贵方组织的</w:t>
      </w:r>
      <w:r>
        <w:rPr>
          <w:rFonts w:hint="default" w:ascii="宋体" w:hAnsi="宋体" w:eastAsia="宋体"/>
          <w:color w:val="000000" w:themeColor="text1"/>
          <w:position w:val="0"/>
          <w:sz w:val="28"/>
          <w:szCs w:val="28"/>
          <w:u w:val="single"/>
          <w14:textFill>
            <w14:solidFill>
              <w14:schemeClr w14:val="tx1"/>
            </w14:solidFill>
          </w14:textFill>
        </w:rPr>
        <w:t>铜陵学院风雨操场智能化系统深化设计项目</w:t>
      </w:r>
      <w:r>
        <w:rPr>
          <w:rFonts w:hint="default" w:ascii="宋体" w:hAnsi="宋体" w:eastAsia="宋体"/>
          <w:color w:val="auto"/>
          <w:position w:val="0"/>
          <w:sz w:val="28"/>
          <w:szCs w:val="28"/>
        </w:rPr>
        <w:t>（编号：</w:t>
      </w:r>
      <w:r>
        <w:rPr>
          <w:rFonts w:hint="default" w:ascii="宋体" w:hAnsi="宋体" w:eastAsia="宋体"/>
          <w:color w:val="auto"/>
          <w:position w:val="0"/>
          <w:sz w:val="28"/>
          <w:szCs w:val="28"/>
          <w:u w:val="single"/>
        </w:rPr>
        <w:t xml:space="preserve">        </w:t>
      </w:r>
      <w:r>
        <w:rPr>
          <w:rFonts w:hint="default" w:ascii="宋体" w:hAnsi="宋体" w:eastAsia="宋体"/>
          <w:color w:val="auto"/>
          <w:position w:val="0"/>
          <w:sz w:val="28"/>
          <w:szCs w:val="28"/>
        </w:rPr>
        <w:t>）竞争性磋商活动。我方授权代表我方全权处理本项目磋商的有关事宜。</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2．我方愿意按照竞争性磋商文件规定的各项要求，向采购人提供所需的服务。</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3.我方愿意承诺本项目服务期为</w:t>
      </w:r>
      <w:r>
        <w:rPr>
          <w:rFonts w:hint="default" w:ascii="宋体" w:hAnsi="宋体" w:eastAsia="宋体"/>
          <w:color w:val="auto"/>
          <w:position w:val="0"/>
          <w:sz w:val="28"/>
          <w:szCs w:val="28"/>
          <w:u w:val="single"/>
        </w:rPr>
        <w:t xml:space="preserve">           </w:t>
      </w:r>
      <w:r>
        <w:rPr>
          <w:rFonts w:hint="default" w:ascii="宋体" w:hAnsi="宋体" w:eastAsia="宋体"/>
          <w:color w:val="auto"/>
          <w:position w:val="0"/>
          <w:sz w:val="28"/>
          <w:szCs w:val="28"/>
        </w:rPr>
        <w:t>。</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4．一旦我方被推荐为成交供应商，我方将严格履行合同规定的责任和义务。</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5．我方为本项目提交的磋商响应书一式两份，其中正本一份、副本一份。</w:t>
      </w:r>
    </w:p>
    <w:p>
      <w:pPr>
        <w:numPr>
          <w:ilvl w:val="0"/>
          <w:numId w:val="0"/>
        </w:numPr>
        <w:tabs>
          <w:tab w:val="left" w:pos="840"/>
        </w:tabs>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6．我方愿意提供贵方可能另外要求的、与磋商有关的文件资料，并保证我方已提供和将要提供的文件是真实的、准确的。</w:t>
      </w:r>
    </w:p>
    <w:p>
      <w:pPr>
        <w:numPr>
          <w:ilvl w:val="0"/>
          <w:numId w:val="0"/>
        </w:numPr>
        <w:tabs>
          <w:tab w:val="left" w:pos="0"/>
          <w:tab w:val="left" w:pos="840"/>
        </w:tabs>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7．我方完全理解贵方不一定将合同授予最低报价（折扣）的供应商。</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磋商响应单位名称：（公章）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法人或被授权人（签字或盖章）：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日期：</w:t>
      </w:r>
    </w:p>
    <w:p>
      <w:pPr>
        <w:numPr>
          <w:ilvl w:val="0"/>
          <w:numId w:val="0"/>
        </w:numPr>
        <w:autoSpaceDE/>
        <w:autoSpaceDN/>
        <w:spacing w:before="0" w:after="0" w:line="360" w:lineRule="auto"/>
        <w:ind w:right="0" w:firstLine="600"/>
        <w:jc w:val="both"/>
        <w:rPr>
          <w:rFonts w:hint="default" w:ascii="宋体" w:hAnsi="宋体" w:eastAsia="宋体"/>
          <w:b/>
          <w:color w:val="auto"/>
          <w:position w:val="0"/>
          <w:sz w:val="28"/>
          <w:szCs w:val="28"/>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r>
        <w:br w:type="page"/>
      </w:r>
      <w:r>
        <w:rPr>
          <w:rFonts w:hint="default" w:ascii="宋体" w:hAnsi="宋体" w:eastAsia="宋体"/>
          <w:b/>
          <w:color w:val="auto"/>
          <w:position w:val="0"/>
          <w:sz w:val="30"/>
          <w:szCs w:val="30"/>
        </w:rPr>
        <w:t>二、项目实施方案</w:t>
      </w:r>
    </w:p>
    <w:p>
      <w:pPr>
        <w:numPr>
          <w:ilvl w:val="0"/>
          <w:numId w:val="0"/>
        </w:numPr>
        <w:autoSpaceDE/>
        <w:autoSpaceDN/>
        <w:spacing w:before="0" w:after="0" w:line="360" w:lineRule="auto"/>
        <w:ind w:right="0" w:firstLine="602"/>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2"/>
          <w:szCs w:val="32"/>
        </w:rPr>
      </w:pPr>
      <w:r>
        <w:rPr>
          <w:rFonts w:hint="default" w:ascii="宋体" w:hAnsi="宋体" w:eastAsia="宋体"/>
          <w:b/>
          <w:color w:val="auto"/>
          <w:position w:val="0"/>
          <w:sz w:val="32"/>
          <w:szCs w:val="32"/>
        </w:rPr>
        <w:t>（一）磋商响应供应商简介</w:t>
      </w:r>
    </w:p>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r>
        <w:rPr>
          <w:rFonts w:hint="default" w:ascii="宋体" w:hAnsi="宋体" w:eastAsia="宋体"/>
          <w:color w:val="auto"/>
          <w:position w:val="0"/>
          <w:sz w:val="30"/>
          <w:szCs w:val="30"/>
        </w:rPr>
        <w:t>（不超过1000字）</w:t>
      </w:r>
    </w:p>
    <w:p>
      <w:pPr>
        <w:numPr>
          <w:ilvl w:val="0"/>
          <w:numId w:val="0"/>
        </w:numPr>
        <w:autoSpaceDE/>
        <w:autoSpaceDN/>
        <w:spacing w:before="0" w:after="0" w:line="360" w:lineRule="auto"/>
        <w:ind w:right="0" w:firstLine="602"/>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2249"/>
        <w:jc w:val="both"/>
        <w:rPr>
          <w:rFonts w:hint="default" w:ascii="宋体" w:hAnsi="宋体" w:eastAsia="宋体"/>
          <w:b/>
          <w:color w:val="auto"/>
          <w:position w:val="0"/>
          <w:sz w:val="32"/>
          <w:szCs w:val="32"/>
        </w:rPr>
      </w:pPr>
      <w:r>
        <w:rPr>
          <w:rFonts w:hint="default" w:ascii="宋体" w:hAnsi="宋体" w:eastAsia="宋体"/>
          <w:b/>
          <w:color w:val="auto"/>
          <w:position w:val="0"/>
          <w:sz w:val="32"/>
          <w:szCs w:val="32"/>
        </w:rPr>
        <w:t>（二）项目实施方案</w:t>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项目编号：</w:t>
      </w:r>
    </w:p>
    <w:p>
      <w:pPr>
        <w:numPr>
          <w:ilvl w:val="0"/>
          <w:numId w:val="0"/>
        </w:numPr>
        <w:autoSpaceDE/>
        <w:autoSpaceDN/>
        <w:spacing w:before="0" w:after="0" w:line="360" w:lineRule="auto"/>
        <w:ind w:right="0" w:firstLine="0"/>
        <w:jc w:val="both"/>
        <w:rPr>
          <w:rFonts w:hint="default" w:ascii="宋体" w:hAnsi="宋体" w:eastAsia="宋体"/>
          <w:color w:val="000000" w:themeColor="text1"/>
          <w:position w:val="0"/>
          <w:sz w:val="28"/>
          <w:szCs w:val="28"/>
          <w14:textFill>
            <w14:solidFill>
              <w14:schemeClr w14:val="tx1"/>
            </w14:solidFill>
          </w14:textFill>
        </w:rPr>
      </w:pPr>
      <w:r>
        <w:rPr>
          <w:rFonts w:hint="default" w:ascii="宋体" w:hAnsi="宋体" w:eastAsia="宋体"/>
          <w:color w:val="auto"/>
          <w:position w:val="0"/>
          <w:sz w:val="28"/>
          <w:szCs w:val="28"/>
        </w:rPr>
        <w:t>项目名称：</w:t>
      </w:r>
      <w:r>
        <w:rPr>
          <w:rFonts w:hint="default" w:ascii="宋体" w:hAnsi="宋体" w:eastAsia="宋体"/>
          <w:color w:val="000000" w:themeColor="text1"/>
          <w:position w:val="0"/>
          <w:sz w:val="28"/>
          <w:szCs w:val="28"/>
          <w14:textFill>
            <w14:solidFill>
              <w14:schemeClr w14:val="tx1"/>
            </w14:solidFill>
          </w14:textFill>
        </w:rPr>
        <w:t>铜陵学院风雨操场智能化系统深化设计项目</w:t>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1、履行合同所必需的专业技术能力</w:t>
      </w:r>
    </w:p>
    <w:tbl>
      <w:tblPr>
        <w:tblStyle w:val="33"/>
        <w:tblW w:w="8520" w:type="dxa"/>
        <w:jc w:val="center"/>
        <w:tblLayout w:type="fixed"/>
        <w:tblCellMar>
          <w:top w:w="0" w:type="dxa"/>
          <w:left w:w="108" w:type="dxa"/>
          <w:bottom w:w="0" w:type="dxa"/>
          <w:right w:w="108" w:type="dxa"/>
        </w:tblCellMar>
      </w:tblPr>
      <w:tblGrid>
        <w:gridCol w:w="1368"/>
        <w:gridCol w:w="3059"/>
        <w:gridCol w:w="4093"/>
      </w:tblGrid>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r>
              <w:rPr>
                <w:rFonts w:hint="default" w:ascii="宋体" w:hAnsi="宋体" w:eastAsia="宋体"/>
                <w:color w:val="auto"/>
                <w:position w:val="0"/>
                <w:sz w:val="28"/>
                <w:szCs w:val="28"/>
              </w:rPr>
              <w:t>序号</w:t>
            </w: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r>
              <w:rPr>
                <w:rFonts w:hint="default" w:ascii="宋体" w:hAnsi="宋体" w:eastAsia="宋体"/>
                <w:color w:val="auto"/>
                <w:position w:val="0"/>
                <w:sz w:val="28"/>
                <w:szCs w:val="28"/>
              </w:rPr>
              <w:t>技术人员</w:t>
            </w: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r>
              <w:rPr>
                <w:rFonts w:hint="default" w:ascii="宋体" w:hAnsi="宋体" w:eastAsia="宋体"/>
                <w:color w:val="auto"/>
                <w:position w:val="0"/>
                <w:sz w:val="28"/>
                <w:szCs w:val="28"/>
              </w:rPr>
              <w:t>人员简介</w:t>
            </w: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tc>
      </w:tr>
    </w:tbl>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480" w:lineRule="auto"/>
        <w:ind w:right="0" w:firstLine="0"/>
        <w:jc w:val="left"/>
        <w:rPr>
          <w:rFonts w:hint="default" w:ascii="宋体" w:hAnsi="宋体" w:eastAsia="宋体"/>
          <w:b/>
          <w:color w:val="auto"/>
          <w:position w:val="0"/>
          <w:sz w:val="30"/>
          <w:szCs w:val="30"/>
        </w:rPr>
      </w:pPr>
      <w:r>
        <w:rPr>
          <w:rFonts w:hint="default" w:ascii="宋体" w:hAnsi="宋体" w:eastAsia="宋体"/>
          <w:b/>
          <w:color w:val="auto"/>
          <w:position w:val="0"/>
          <w:sz w:val="30"/>
          <w:szCs w:val="30"/>
        </w:rPr>
        <w:t>2、项目实施计划</w:t>
      </w: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r>
        <w:rPr>
          <w:rFonts w:hint="default" w:ascii="宋体" w:hAnsi="宋体" w:eastAsia="宋体"/>
          <w:color w:val="auto"/>
          <w:position w:val="0"/>
          <w:sz w:val="30"/>
          <w:szCs w:val="30"/>
        </w:rPr>
        <w:t>（供应商自行编写）</w:t>
      </w: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r>
        <w:rPr>
          <w:rFonts w:hint="default" w:ascii="宋体" w:hAnsi="宋体" w:eastAsia="宋体"/>
          <w:color w:val="auto"/>
          <w:position w:val="0"/>
          <w:sz w:val="30"/>
          <w:szCs w:val="30"/>
        </w:rPr>
        <w:t>磋商响应单位名称：                      （公章）</w:t>
      </w: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r>
        <w:rPr>
          <w:rFonts w:hint="default" w:ascii="宋体" w:hAnsi="宋体" w:eastAsia="宋体"/>
          <w:color w:val="auto"/>
          <w:position w:val="0"/>
          <w:sz w:val="30"/>
          <w:szCs w:val="30"/>
        </w:rPr>
        <w:t>法人或被授权人（签字或盖章）：</w:t>
      </w: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r>
        <w:rPr>
          <w:rFonts w:hint="default" w:ascii="宋体" w:hAnsi="宋体" w:eastAsia="宋体"/>
          <w:color w:val="auto"/>
          <w:position w:val="0"/>
          <w:sz w:val="30"/>
          <w:szCs w:val="30"/>
        </w:rPr>
        <w:t>日期：</w:t>
      </w:r>
    </w:p>
    <w:p>
      <w:pPr>
        <w:numPr>
          <w:ilvl w:val="0"/>
          <w:numId w:val="0"/>
        </w:numPr>
        <w:autoSpaceDE/>
        <w:autoSpaceDN/>
        <w:spacing w:before="0" w:after="0" w:line="480" w:lineRule="auto"/>
        <w:ind w:right="0" w:firstLine="0"/>
        <w:jc w:val="left"/>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r>
        <w:rPr>
          <w:rFonts w:hint="default" w:ascii="宋体" w:hAnsi="宋体" w:eastAsia="宋体"/>
          <w:b/>
          <w:color w:val="auto"/>
          <w:position w:val="0"/>
          <w:sz w:val="30"/>
          <w:szCs w:val="30"/>
        </w:rPr>
        <w:t>三、售后服务承诺</w:t>
      </w:r>
    </w:p>
    <w:p>
      <w:pPr>
        <w:numPr>
          <w:ilvl w:val="0"/>
          <w:numId w:val="0"/>
        </w:numPr>
        <w:tabs>
          <w:tab w:val="left" w:pos="900"/>
        </w:tabs>
        <w:autoSpaceDE/>
        <w:autoSpaceDN/>
        <w:spacing w:before="0" w:after="0" w:line="360" w:lineRule="auto"/>
        <w:ind w:right="0" w:firstLine="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致：</w:t>
      </w:r>
      <w:r>
        <w:rPr>
          <w:rFonts w:hint="default" w:ascii="宋体" w:hAnsi="宋体" w:eastAsia="宋体"/>
          <w:color w:val="auto"/>
          <w:position w:val="0"/>
          <w:sz w:val="28"/>
          <w:szCs w:val="28"/>
          <w:u w:val="single"/>
        </w:rPr>
        <w:t>铜陵学院</w:t>
      </w:r>
    </w:p>
    <w:p>
      <w:pPr>
        <w:numPr>
          <w:ilvl w:val="0"/>
          <w:numId w:val="0"/>
        </w:numPr>
        <w:autoSpaceDE/>
        <w:autoSpaceDN/>
        <w:spacing w:before="0" w:after="0" w:line="360" w:lineRule="auto"/>
        <w:ind w:right="0" w:firstLine="597"/>
        <w:jc w:val="both"/>
        <w:rPr>
          <w:rFonts w:hint="default" w:ascii="宋体" w:hAnsi="宋体" w:eastAsia="宋体"/>
          <w:b/>
          <w:color w:val="auto"/>
          <w:position w:val="0"/>
          <w:sz w:val="28"/>
          <w:szCs w:val="28"/>
        </w:rPr>
      </w:pPr>
      <w:r>
        <w:rPr>
          <w:rFonts w:hint="default" w:ascii="宋体" w:hAnsi="宋体" w:eastAsia="宋体"/>
          <w:color w:val="auto"/>
          <w:position w:val="0"/>
          <w:sz w:val="28"/>
          <w:szCs w:val="28"/>
        </w:rPr>
        <w:t>我方参与项目编号为的</w:t>
      </w:r>
      <w:r>
        <w:rPr>
          <w:rFonts w:hint="default" w:ascii="宋体" w:hAnsi="宋体" w:eastAsia="宋体"/>
          <w:color w:val="000000" w:themeColor="text1"/>
          <w:position w:val="0"/>
          <w:sz w:val="28"/>
          <w:szCs w:val="28"/>
          <w:u w:val="single"/>
          <w14:textFill>
            <w14:solidFill>
              <w14:schemeClr w14:val="tx1"/>
            </w14:solidFill>
          </w14:textFill>
        </w:rPr>
        <w:t>铜陵学院风雨操场智能化系统深化设计项目</w:t>
      </w:r>
      <w:r>
        <w:rPr>
          <w:rFonts w:hint="default" w:ascii="宋体" w:hAnsi="宋体" w:eastAsia="宋体"/>
          <w:color w:val="auto"/>
          <w:position w:val="0"/>
          <w:sz w:val="28"/>
          <w:szCs w:val="28"/>
        </w:rPr>
        <w:t>提供以下售后服务承诺：</w:t>
      </w: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（注：按照招标文件要求，格式自拟）</w:t>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597"/>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磋商响应单位名称：（公章）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法人或被授权人（签字或盖章）：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日期：</w:t>
      </w:r>
    </w:p>
    <w:p>
      <w:pPr>
        <w:numPr>
          <w:ilvl w:val="0"/>
          <w:numId w:val="0"/>
        </w:numPr>
        <w:autoSpaceDE/>
        <w:autoSpaceDN/>
        <w:spacing w:before="0" w:after="0" w:line="360" w:lineRule="auto"/>
        <w:ind w:right="0" w:firstLine="597"/>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r>
        <w:br w:type="page"/>
      </w:r>
    </w:p>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r>
        <w:rPr>
          <w:rFonts w:hint="default" w:ascii="宋体" w:hAnsi="宋体" w:eastAsia="宋体"/>
          <w:b/>
          <w:color w:val="auto"/>
          <w:position w:val="0"/>
          <w:sz w:val="30"/>
          <w:szCs w:val="30"/>
        </w:rPr>
        <w:t>四、法定代表人授权书（格式）</w:t>
      </w:r>
    </w:p>
    <w:p>
      <w:pPr>
        <w:numPr>
          <w:ilvl w:val="0"/>
          <w:numId w:val="0"/>
        </w:numPr>
        <w:autoSpaceDE/>
        <w:autoSpaceDN/>
        <w:spacing w:before="0" w:after="0" w:line="360" w:lineRule="auto"/>
        <w:ind w:right="0" w:firstLine="0"/>
        <w:jc w:val="both"/>
        <w:rPr>
          <w:rFonts w:hint="default" w:ascii="宋体" w:hAnsi="宋体" w:eastAsia="宋体"/>
          <w:b/>
          <w:color w:val="auto"/>
          <w:position w:val="0"/>
          <w:sz w:val="28"/>
          <w:szCs w:val="28"/>
        </w:rPr>
      </w:pPr>
      <w:r>
        <w:rPr>
          <w:rFonts w:hint="default" w:ascii="宋体" w:hAnsi="宋体" w:eastAsia="宋体"/>
          <w:b/>
          <w:color w:val="auto"/>
          <w:position w:val="0"/>
          <w:sz w:val="28"/>
          <w:szCs w:val="28"/>
        </w:rPr>
        <w:t>致：浙江兴业建设项目管理有限公司</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本授权书声明：</w:t>
      </w:r>
      <w:r>
        <w:rPr>
          <w:rFonts w:hint="default" w:ascii="宋体" w:hAnsi="宋体" w:eastAsia="宋体"/>
          <w:color w:val="auto"/>
          <w:position w:val="0"/>
          <w:sz w:val="28"/>
          <w:szCs w:val="28"/>
          <w:u w:val="single"/>
        </w:rPr>
        <w:t xml:space="preserve">  （供应商名称）  </w:t>
      </w:r>
      <w:r>
        <w:rPr>
          <w:rFonts w:hint="default" w:ascii="宋体" w:hAnsi="宋体" w:eastAsia="宋体"/>
          <w:color w:val="auto"/>
          <w:position w:val="0"/>
          <w:sz w:val="28"/>
          <w:szCs w:val="28"/>
        </w:rPr>
        <w:t>的</w:t>
      </w:r>
      <w:r>
        <w:rPr>
          <w:rFonts w:hint="default" w:ascii="宋体" w:hAnsi="宋体" w:eastAsia="宋体"/>
          <w:color w:val="auto"/>
          <w:position w:val="0"/>
          <w:sz w:val="28"/>
          <w:szCs w:val="28"/>
          <w:u w:val="single"/>
        </w:rPr>
        <w:t xml:space="preserve">  （法人代表姓名） </w:t>
      </w:r>
      <w:r>
        <w:rPr>
          <w:rFonts w:hint="default" w:ascii="宋体" w:hAnsi="宋体" w:eastAsia="宋体"/>
          <w:color w:val="auto"/>
          <w:position w:val="0"/>
          <w:sz w:val="28"/>
          <w:szCs w:val="28"/>
        </w:rPr>
        <w:t>授权（被授权人的姓名）为我方就编号为 的“</w:t>
      </w:r>
      <w:r>
        <w:rPr>
          <w:rFonts w:hint="default" w:ascii="宋体" w:hAnsi="宋体" w:eastAsia="宋体"/>
          <w:color w:val="000000" w:themeColor="text1"/>
          <w:position w:val="0"/>
          <w:sz w:val="28"/>
          <w:szCs w:val="28"/>
          <w:u w:val="single"/>
          <w14:textFill>
            <w14:solidFill>
              <w14:schemeClr w14:val="tx1"/>
            </w14:solidFill>
          </w14:textFill>
        </w:rPr>
        <w:t>铜陵学院风雨操场智能化系统深化设计项目</w:t>
      </w:r>
      <w:r>
        <w:rPr>
          <w:rFonts w:hint="default" w:ascii="宋体" w:hAnsi="宋体" w:eastAsia="宋体"/>
          <w:color w:val="auto"/>
          <w:position w:val="0"/>
          <w:sz w:val="28"/>
          <w:szCs w:val="28"/>
        </w:rPr>
        <w:t>”竞争性磋商活动的合法代理人，以我方名义全权处理与该项目响应、磋商、签订合同以及合同执行有关的一切事务。</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特此声明。</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法定代表人签字或盖章：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职务：</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代理人（被授权人）签字或盖章：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职务：</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供应商名称：（公章）</w:t>
      </w:r>
    </w:p>
    <w:p>
      <w:pPr>
        <w:numPr>
          <w:ilvl w:val="0"/>
          <w:numId w:val="0"/>
        </w:numPr>
        <w:autoSpaceDE/>
        <w:autoSpaceDN/>
        <w:spacing w:before="0" w:after="0" w:line="360" w:lineRule="auto"/>
        <w:ind w:right="0" w:firstLine="60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日期：</w:t>
      </w:r>
    </w:p>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r>
        <w:br w:type="page"/>
      </w:r>
      <w:r>
        <w:rPr>
          <w:rFonts w:hint="default" w:ascii="宋体" w:hAnsi="宋体" w:eastAsia="宋体"/>
          <w:b/>
          <w:color w:val="auto"/>
          <w:position w:val="0"/>
          <w:sz w:val="30"/>
          <w:szCs w:val="30"/>
        </w:rPr>
        <w:t>五、资格证明文件</w:t>
      </w: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left="600" w:right="0" w:firstLine="0"/>
        <w:jc w:val="both"/>
        <w:rPr>
          <w:rFonts w:hint="default" w:ascii="宋体" w:hAnsi="宋体" w:eastAsia="宋体"/>
          <w:color w:val="auto"/>
          <w:position w:val="0"/>
          <w:sz w:val="30"/>
          <w:szCs w:val="30"/>
        </w:rPr>
      </w:pPr>
      <w:r>
        <w:rPr>
          <w:rFonts w:hint="default" w:ascii="宋体" w:hAnsi="宋体" w:eastAsia="宋体"/>
          <w:color w:val="auto"/>
          <w:position w:val="0"/>
          <w:sz w:val="30"/>
          <w:szCs w:val="30"/>
        </w:rPr>
        <w:t>1、营业执照副本（复印件）；</w:t>
      </w:r>
    </w:p>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r>
        <w:rPr>
          <w:rFonts w:hint="default" w:ascii="宋体" w:hAnsi="宋体" w:eastAsia="宋体"/>
          <w:color w:val="auto"/>
          <w:position w:val="0"/>
          <w:sz w:val="30"/>
          <w:szCs w:val="30"/>
        </w:rPr>
        <w:t>2、磋商文件中所要求的其他资格证明文件（复印件）；</w:t>
      </w: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pPr>
    </w:p>
    <w:p>
      <w:pPr>
        <w:numPr>
          <w:ilvl w:val="0"/>
          <w:numId w:val="0"/>
        </w:numPr>
        <w:autoSpaceDE/>
        <w:autoSpaceDN/>
        <w:spacing w:before="0" w:after="0" w:line="240" w:lineRule="auto"/>
        <w:ind w:right="0" w:firstLine="562"/>
        <w:jc w:val="both"/>
        <w:rPr>
          <w:rFonts w:hint="default" w:ascii="Times New Roman" w:hAnsi="Times New Roman" w:eastAsia="Times New Roman"/>
          <w:b/>
          <w:color w:val="auto"/>
          <w:position w:val="0"/>
          <w:sz w:val="28"/>
          <w:szCs w:val="28"/>
        </w:rPr>
      </w:pPr>
      <w:r>
        <w:rPr>
          <w:rFonts w:hint="default" w:ascii="Times New Roman" w:hAnsi="Times New Roman" w:eastAsia="Times New Roman"/>
          <w:b/>
          <w:color w:val="auto"/>
          <w:position w:val="0"/>
          <w:sz w:val="28"/>
          <w:szCs w:val="28"/>
        </w:rPr>
        <w:t>六、履行合同所必需的设备专业技术能力证明文件</w:t>
      </w:r>
    </w:p>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服务本项目人员一览表</w:t>
      </w:r>
    </w:p>
    <w:tbl>
      <w:tblPr>
        <w:tblStyle w:val="33"/>
        <w:tblW w:w="1034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286"/>
        <w:gridCol w:w="1080"/>
        <w:gridCol w:w="1080"/>
        <w:gridCol w:w="1080"/>
        <w:gridCol w:w="1800"/>
        <w:gridCol w:w="1620"/>
        <w:gridCol w:w="239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vMerge w:val="restart"/>
            <w:tcBorders>
              <w:top w:val="single" w:color="auto" w:sz="12" w:space="0"/>
              <w:left w:val="single" w:color="auto" w:sz="12"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类别</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姓名</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年龄</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专业</w:t>
            </w:r>
          </w:p>
        </w:tc>
        <w:tc>
          <w:tcPr>
            <w:tcW w:w="1800" w:type="dxa"/>
            <w:vMerge w:val="restart"/>
            <w:tcBorders>
              <w:top w:val="single" w:color="auto" w:sz="12"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文化程度</w:t>
            </w:r>
          </w:p>
        </w:tc>
        <w:tc>
          <w:tcPr>
            <w:tcW w:w="4016" w:type="dxa"/>
            <w:gridSpan w:val="2"/>
            <w:tcBorders>
              <w:top w:val="single" w:color="auto" w:sz="12"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证书</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vMerge w:val="continue"/>
            <w:tcBorders>
              <w:top w:val="single" w:color="auto" w:sz="12" w:space="0"/>
              <w:left w:val="single" w:color="auto" w:sz="12"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tc>
        <w:tc>
          <w:tcPr>
            <w:tcW w:w="1800" w:type="dxa"/>
            <w:vMerge w:val="continue"/>
            <w:tcBorders>
              <w:top w:val="single" w:color="auto" w:sz="12" w:space="0"/>
              <w:left w:val="single" w:color="auto" w:sz="6" w:space="0"/>
              <w:bottom w:val="single" w:color="auto" w:sz="6" w:space="0"/>
              <w:right w:val="single" w:color="auto" w:sz="6" w:space="0"/>
            </w:tcBorders>
            <w:vAlign w:val="center"/>
          </w:tc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名称</w:t>
            </w: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r>
              <w:rPr>
                <w:rFonts w:hint="default" w:ascii="宋体" w:hAnsi="Times New Roman" w:eastAsia="Times New Roman"/>
                <w:color w:val="auto"/>
                <w:position w:val="0"/>
                <w:sz w:val="28"/>
                <w:szCs w:val="28"/>
              </w:rPr>
              <w:t>编号</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9" w:hRule="atLeast"/>
          <w:jc w:val="center"/>
        </w:trPr>
        <w:tc>
          <w:tcPr>
            <w:tcW w:w="1286" w:type="dxa"/>
            <w:tcBorders>
              <w:top w:val="single" w:color="auto" w:sz="6" w:space="0"/>
              <w:left w:val="single" w:color="auto" w:sz="12"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800" w:type="dxa"/>
            <w:tcBorders>
              <w:top w:val="single" w:color="auto" w:sz="6" w:space="0"/>
              <w:left w:val="single" w:color="auto" w:sz="6"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1620" w:type="dxa"/>
            <w:tcBorders>
              <w:top w:val="single" w:color="auto" w:sz="6" w:space="0"/>
              <w:left w:val="single" w:color="auto" w:sz="6" w:space="0"/>
              <w:bottom w:val="single" w:color="auto" w:sz="12" w:space="0"/>
              <w:right w:val="single" w:color="auto" w:sz="6"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c>
          <w:tcPr>
            <w:tcW w:w="2396" w:type="dxa"/>
            <w:tcBorders>
              <w:top w:val="single" w:color="auto" w:sz="6" w:space="0"/>
              <w:left w:val="single" w:color="auto" w:sz="6" w:space="0"/>
              <w:bottom w:val="single" w:color="auto" w:sz="12" w:space="0"/>
              <w:right w:val="single" w:color="auto" w:sz="12" w:space="0"/>
            </w:tcBorders>
            <w:vAlign w:val="center"/>
          </w:tcPr>
          <w:p>
            <w:pPr>
              <w:numPr>
                <w:ilvl w:val="0"/>
                <w:numId w:val="0"/>
              </w:numPr>
              <w:wordWrap w:val="0"/>
              <w:autoSpaceDE/>
              <w:autoSpaceDN/>
              <w:spacing w:before="0" w:after="0" w:line="240" w:lineRule="auto"/>
              <w:ind w:right="0" w:firstLine="0"/>
              <w:jc w:val="center"/>
              <w:rPr>
                <w:rFonts w:hint="default" w:ascii="宋体" w:hAnsi="Times New Roman" w:eastAsia="Times New Roman"/>
                <w:color w:val="auto"/>
                <w:position w:val="0"/>
                <w:sz w:val="28"/>
                <w:szCs w:val="28"/>
              </w:rPr>
            </w:pPr>
          </w:p>
        </w:tc>
      </w:tr>
    </w:tbl>
    <w:p>
      <w:pPr>
        <w:numPr>
          <w:ilvl w:val="0"/>
          <w:numId w:val="0"/>
        </w:numPr>
        <w:wordWrap w:val="0"/>
        <w:autoSpaceDE/>
        <w:autoSpaceDN/>
        <w:spacing w:before="0" w:after="0" w:line="360" w:lineRule="auto"/>
        <w:ind w:right="0" w:firstLine="0"/>
        <w:jc w:val="both"/>
        <w:rPr>
          <w:rFonts w:hint="default" w:ascii="宋体" w:hAnsi="Times New Roman" w:eastAsia="Times New Roman"/>
          <w:b/>
          <w:color w:val="auto"/>
          <w:position w:val="0"/>
          <w:sz w:val="28"/>
          <w:szCs w:val="28"/>
        </w:rPr>
      </w:pPr>
      <w:r>
        <w:rPr>
          <w:rFonts w:hint="default" w:ascii="宋体" w:hAnsi="Times New Roman" w:eastAsia="Times New Roman"/>
          <w:b/>
          <w:color w:val="auto"/>
          <w:position w:val="0"/>
          <w:sz w:val="28"/>
          <w:szCs w:val="28"/>
        </w:rPr>
        <w:t>注：供应商对人员证件真实性负责。</w:t>
      </w:r>
    </w:p>
    <w:p>
      <w:pPr>
        <w:pStyle w:val="59"/>
        <w:numPr>
          <w:ilvl w:val="0"/>
          <w:numId w:val="0"/>
        </w:numPr>
        <w:autoSpaceDE/>
        <w:autoSpaceDN/>
        <w:spacing w:before="0" w:after="0" w:line="360" w:lineRule="auto"/>
        <w:ind w:right="0" w:firstLine="0"/>
        <w:jc w:val="left"/>
        <w:rPr>
          <w:rFonts w:hint="default" w:ascii="Times New Roman" w:hAnsi="Times New Roman" w:eastAsia="Times New Roman"/>
          <w:b/>
          <w:color w:val="auto"/>
          <w:position w:val="0"/>
          <w:sz w:val="28"/>
          <w:szCs w:val="28"/>
        </w:rPr>
      </w:pPr>
      <w:bookmarkStart w:id="6" w:name="_Toc383776359"/>
      <w:r>
        <w:rPr>
          <w:rFonts w:hint="default" w:ascii="Times New Roman" w:hAnsi="Times New Roman" w:eastAsia="Times New Roman"/>
          <w:b/>
          <w:color w:val="auto"/>
          <w:position w:val="0"/>
          <w:sz w:val="28"/>
          <w:szCs w:val="28"/>
        </w:rPr>
        <w:t>七、本磋商文件要求的其他证明材料</w:t>
      </w:r>
      <w:bookmarkEnd w:id="6"/>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center"/>
        <w:rPr>
          <w:rFonts w:hint="default" w:ascii="宋体" w:hAnsi="宋体" w:eastAsia="宋体"/>
          <w:b/>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r>
        <w:br w:type="page"/>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p>
    <w:p>
      <w:pPr>
        <w:numPr>
          <w:ilvl w:val="0"/>
          <w:numId w:val="0"/>
        </w:numPr>
        <w:autoSpaceDE/>
        <w:autoSpaceDN/>
        <w:spacing w:before="0" w:after="0" w:line="360" w:lineRule="auto"/>
        <w:ind w:right="0" w:firstLine="2108"/>
        <w:jc w:val="both"/>
        <w:rPr>
          <w:rFonts w:hint="default" w:ascii="宋体" w:hAnsi="宋体" w:eastAsia="宋体"/>
          <w:b/>
          <w:color w:val="auto"/>
          <w:position w:val="0"/>
          <w:sz w:val="30"/>
          <w:szCs w:val="30"/>
        </w:rPr>
      </w:pPr>
      <w:r>
        <w:rPr>
          <w:rFonts w:hint="default" w:ascii="宋体" w:hAnsi="宋体" w:eastAsia="宋体"/>
          <w:b/>
          <w:color w:val="auto"/>
          <w:position w:val="0"/>
          <w:sz w:val="30"/>
          <w:szCs w:val="30"/>
        </w:rPr>
        <w:t>磋商响应一轮报价表（格式）</w:t>
      </w:r>
    </w:p>
    <w:p>
      <w:pPr>
        <w:numPr>
          <w:ilvl w:val="0"/>
          <w:numId w:val="0"/>
        </w:numPr>
        <w:autoSpaceDE/>
        <w:autoSpaceDN/>
        <w:spacing w:before="0" w:after="0" w:line="360" w:lineRule="auto"/>
        <w:ind w:right="0" w:firstLine="0"/>
        <w:jc w:val="left"/>
        <w:rPr>
          <w:rFonts w:hint="default" w:ascii="宋体" w:hAnsi="宋体" w:eastAsia="宋体"/>
          <w:color w:val="auto"/>
          <w:position w:val="0"/>
          <w:sz w:val="30"/>
          <w:szCs w:val="30"/>
          <w:u w:val="single"/>
        </w:rPr>
      </w:pPr>
    </w:p>
    <w:tbl>
      <w:tblPr>
        <w:tblStyle w:val="33"/>
        <w:tblW w:w="9840" w:type="dxa"/>
        <w:jc w:val="center"/>
        <w:tblLayout w:type="fixed"/>
        <w:tblCellMar>
          <w:top w:w="0" w:type="dxa"/>
          <w:left w:w="108" w:type="dxa"/>
          <w:bottom w:w="0" w:type="dxa"/>
          <w:right w:w="108" w:type="dxa"/>
        </w:tblCellMar>
      </w:tblPr>
      <w:tblGrid>
        <w:gridCol w:w="1418"/>
        <w:gridCol w:w="3982"/>
        <w:gridCol w:w="4440"/>
      </w:tblGrid>
      <w:tr>
        <w:tblPrEx>
          <w:tblCellMar>
            <w:top w:w="0" w:type="dxa"/>
            <w:left w:w="108" w:type="dxa"/>
            <w:bottom w:w="0" w:type="dxa"/>
            <w:right w:w="108" w:type="dxa"/>
          </w:tblCellMar>
        </w:tblPrEx>
        <w:trPr>
          <w:cantSplit/>
          <w:trHeight w:val="69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序号</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项目内容</w:t>
            </w:r>
          </w:p>
        </w:tc>
        <w:tc>
          <w:tcPr>
            <w:tcW w:w="444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一轮报价（元）</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1</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left"/>
              <w:rPr>
                <w:rFonts w:hint="default" w:ascii="宋体" w:hAnsi="宋体" w:eastAsia="宋体"/>
                <w:color w:val="auto"/>
                <w:position w:val="0"/>
                <w:sz w:val="30"/>
                <w:szCs w:val="30"/>
              </w:rPr>
            </w:pPr>
            <w:r>
              <w:rPr>
                <w:rFonts w:hint="default" w:ascii="宋体" w:hAnsi="宋体" w:eastAsia="宋体"/>
                <w:color w:val="000000" w:themeColor="text1"/>
                <w:position w:val="0"/>
                <w:sz w:val="30"/>
                <w:szCs w:val="30"/>
                <w14:textFill>
                  <w14:solidFill>
                    <w14:schemeClr w14:val="tx1"/>
                  </w14:solidFill>
                </w14:textFill>
              </w:rPr>
              <w:t>铜陵学院风雨操场智能化系统深化设计项目</w:t>
            </w:r>
          </w:p>
        </w:tc>
        <w:tc>
          <w:tcPr>
            <w:tcW w:w="444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1100"/>
              <w:jc w:val="left"/>
              <w:rPr>
                <w:rFonts w:hint="default" w:ascii="宋体" w:hAnsi="宋体" w:eastAsia="宋体"/>
                <w:color w:val="auto"/>
                <w:position w:val="0"/>
                <w:sz w:val="22"/>
                <w:szCs w:val="22"/>
              </w:rPr>
            </w:pPr>
          </w:p>
        </w:tc>
      </w:tr>
      <w:tr>
        <w:tblPrEx>
          <w:tblCellMar>
            <w:top w:w="0" w:type="dxa"/>
            <w:left w:w="108" w:type="dxa"/>
            <w:bottom w:w="0" w:type="dxa"/>
            <w:right w:w="108" w:type="dxa"/>
          </w:tblCellMar>
        </w:tblPrEx>
        <w:trPr>
          <w:cantSplit/>
          <w:trHeight w:val="102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合计</w:t>
            </w:r>
          </w:p>
        </w:tc>
        <w:tc>
          <w:tcPr>
            <w:tcW w:w="842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1"/>
                <w:szCs w:val="21"/>
              </w:rPr>
            </w:pPr>
            <w:r>
              <w:rPr>
                <w:rFonts w:hint="default" w:ascii="宋体" w:hAnsi="宋体" w:eastAsia="宋体"/>
                <w:color w:val="auto"/>
                <w:position w:val="0"/>
                <w:sz w:val="30"/>
                <w:szCs w:val="30"/>
              </w:rPr>
              <w:t>大写：                          小写：</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1"/>
                <w:szCs w:val="21"/>
              </w:rPr>
            </w:pPr>
            <w:r>
              <w:rPr>
                <w:rFonts w:hint="default" w:ascii="宋体" w:hAnsi="宋体" w:eastAsia="宋体"/>
                <w:b/>
                <w:color w:val="auto"/>
                <w:position w:val="0"/>
                <w:sz w:val="30"/>
                <w:szCs w:val="30"/>
              </w:rPr>
              <w:t>其他说明：</w:t>
            </w:r>
          </w:p>
        </w:tc>
        <w:tc>
          <w:tcPr>
            <w:tcW w:w="842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Times New Roman" w:hAnsi="Times New Roman" w:eastAsia="Times New Roman"/>
                <w:b/>
                <w:color w:val="auto"/>
                <w:position w:val="0"/>
                <w:sz w:val="28"/>
                <w:szCs w:val="28"/>
              </w:rPr>
            </w:pPr>
            <w:r>
              <w:rPr>
                <w:rFonts w:hint="default" w:ascii="Times New Roman" w:hAnsi="Times New Roman" w:eastAsia="Times New Roman"/>
                <w:b/>
                <w:color w:val="auto"/>
                <w:position w:val="0"/>
                <w:sz w:val="28"/>
                <w:szCs w:val="28"/>
              </w:rPr>
              <w:t>1、本投标报价必须以人民币的形式表示。</w:t>
            </w:r>
          </w:p>
          <w:p>
            <w:pPr>
              <w:numPr>
                <w:ilvl w:val="0"/>
                <w:numId w:val="0"/>
              </w:numPr>
              <w:autoSpaceDE/>
              <w:autoSpaceDN/>
              <w:spacing w:before="0" w:after="0" w:line="360" w:lineRule="auto"/>
              <w:ind w:right="0" w:firstLine="0"/>
              <w:jc w:val="both"/>
              <w:rPr>
                <w:rFonts w:hint="default" w:ascii="Times New Roman" w:hAnsi="宋体" w:eastAsia="宋体"/>
                <w:color w:val="auto"/>
                <w:position w:val="0"/>
                <w:sz w:val="21"/>
                <w:szCs w:val="21"/>
              </w:rPr>
            </w:pPr>
            <w:r>
              <w:rPr>
                <w:rFonts w:hint="default" w:ascii="Times New Roman" w:hAnsi="Times New Roman" w:eastAsia="Times New Roman"/>
                <w:b/>
                <w:color w:val="auto"/>
                <w:position w:val="0"/>
                <w:sz w:val="28"/>
                <w:szCs w:val="28"/>
              </w:rPr>
              <w:t>2、投标总报价包括完成本项目所需的一切费用。</w:t>
            </w:r>
          </w:p>
        </w:tc>
      </w:tr>
    </w:tbl>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磋商响应单位名称：</w:t>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法人或被授权人（签字或盖章）：</w:t>
      </w:r>
    </w:p>
    <w:p>
      <w:pPr>
        <w:numPr>
          <w:ilvl w:val="0"/>
          <w:numId w:val="0"/>
        </w:numPr>
        <w:autoSpaceDE/>
        <w:autoSpaceDN/>
        <w:spacing w:before="0" w:after="0" w:line="360" w:lineRule="auto"/>
        <w:ind w:right="0" w:firstLine="0"/>
        <w:jc w:val="both"/>
        <w:rPr>
          <w:rFonts w:hint="default" w:ascii="宋体" w:hAnsi="宋体" w:eastAsia="宋体"/>
          <w:b/>
          <w:color w:val="auto"/>
          <w:position w:val="0"/>
          <w:sz w:val="30"/>
          <w:szCs w:val="30"/>
        </w:rPr>
        <w:sectPr>
          <w:pgSz w:w="11906" w:h="16838"/>
          <w:pgMar w:top="1440" w:right="1800" w:bottom="1440" w:left="1800" w:header="851" w:footer="992" w:gutter="0"/>
          <w:pgNumType w:fmt="decimal"/>
          <w:docGrid w:type="lines" w:linePitch="312" w:charSpace="0"/>
        </w:sectPr>
      </w:pPr>
      <w:r>
        <w:rPr>
          <w:rFonts w:hint="default" w:ascii="宋体" w:hAnsi="宋体" w:eastAsia="宋体"/>
          <w:color w:val="auto"/>
          <w:position w:val="0"/>
          <w:sz w:val="28"/>
          <w:szCs w:val="28"/>
        </w:rPr>
        <w:t>日期：</w:t>
      </w:r>
    </w:p>
    <w:p>
      <w:pPr>
        <w:numPr>
          <w:ilvl w:val="0"/>
          <w:numId w:val="0"/>
        </w:numPr>
        <w:autoSpaceDE/>
        <w:autoSpaceDN/>
        <w:spacing w:before="0" w:after="0" w:line="360" w:lineRule="auto"/>
        <w:ind w:right="0" w:firstLine="2108"/>
        <w:jc w:val="both"/>
        <w:rPr>
          <w:rFonts w:hint="default" w:ascii="宋体" w:hAnsi="宋体" w:eastAsia="宋体"/>
          <w:b/>
          <w:color w:val="auto"/>
          <w:position w:val="0"/>
          <w:sz w:val="30"/>
          <w:szCs w:val="30"/>
        </w:rPr>
      </w:pPr>
      <w:r>
        <w:rPr>
          <w:rFonts w:hint="default" w:ascii="宋体" w:hAnsi="宋体" w:eastAsia="宋体"/>
          <w:b/>
          <w:color w:val="auto"/>
          <w:position w:val="0"/>
          <w:sz w:val="30"/>
          <w:szCs w:val="30"/>
        </w:rPr>
        <w:t>磋商响应最后报价表（格式）</w:t>
      </w:r>
    </w:p>
    <w:p>
      <w:pPr>
        <w:numPr>
          <w:ilvl w:val="0"/>
          <w:numId w:val="0"/>
        </w:numPr>
        <w:autoSpaceDE/>
        <w:autoSpaceDN/>
        <w:spacing w:before="0" w:after="0" w:line="360" w:lineRule="auto"/>
        <w:ind w:right="0" w:firstLine="0"/>
        <w:jc w:val="left"/>
        <w:rPr>
          <w:rFonts w:hint="default" w:ascii="宋体" w:hAnsi="宋体" w:eastAsia="宋体"/>
          <w:b/>
          <w:color w:val="auto"/>
          <w:position w:val="0"/>
          <w:sz w:val="24"/>
          <w:szCs w:val="24"/>
        </w:rPr>
      </w:pPr>
    </w:p>
    <w:p>
      <w:pPr>
        <w:numPr>
          <w:ilvl w:val="0"/>
          <w:numId w:val="0"/>
        </w:numPr>
        <w:autoSpaceDE/>
        <w:autoSpaceDN/>
        <w:spacing w:before="0" w:after="0" w:line="360" w:lineRule="auto"/>
        <w:ind w:right="0" w:firstLine="0"/>
        <w:jc w:val="left"/>
        <w:rPr>
          <w:rFonts w:hint="default" w:ascii="宋体" w:hAnsi="宋体" w:eastAsia="宋体"/>
          <w:b/>
          <w:color w:val="auto"/>
          <w:position w:val="0"/>
          <w:sz w:val="30"/>
          <w:szCs w:val="30"/>
        </w:rPr>
      </w:pPr>
      <w:r>
        <w:rPr>
          <w:rFonts w:hint="default" w:ascii="宋体" w:hAnsi="宋体" w:eastAsia="宋体"/>
          <w:b/>
          <w:color w:val="auto"/>
          <w:position w:val="0"/>
          <w:sz w:val="24"/>
          <w:szCs w:val="24"/>
        </w:rPr>
        <w:t>（此表由磋商响应人手持，不密封在磋商响应文件中。在磋商结束后进行最终报价时现场填写）</w:t>
      </w:r>
    </w:p>
    <w:p>
      <w:pPr>
        <w:numPr>
          <w:ilvl w:val="0"/>
          <w:numId w:val="0"/>
        </w:numPr>
        <w:autoSpaceDE/>
        <w:autoSpaceDN/>
        <w:spacing w:before="0" w:after="0" w:line="360" w:lineRule="auto"/>
        <w:ind w:right="0" w:firstLine="0"/>
        <w:jc w:val="left"/>
        <w:rPr>
          <w:rFonts w:hint="default" w:ascii="宋体" w:hAnsi="宋体" w:eastAsia="宋体"/>
          <w:color w:val="auto"/>
          <w:position w:val="0"/>
          <w:sz w:val="30"/>
          <w:szCs w:val="30"/>
          <w:u w:val="single"/>
        </w:rPr>
      </w:pPr>
    </w:p>
    <w:tbl>
      <w:tblPr>
        <w:tblStyle w:val="33"/>
        <w:tblW w:w="9840" w:type="dxa"/>
        <w:jc w:val="center"/>
        <w:tblLayout w:type="fixed"/>
        <w:tblCellMar>
          <w:top w:w="0" w:type="dxa"/>
          <w:left w:w="108" w:type="dxa"/>
          <w:bottom w:w="0" w:type="dxa"/>
          <w:right w:w="108" w:type="dxa"/>
        </w:tblCellMar>
      </w:tblPr>
      <w:tblGrid>
        <w:gridCol w:w="1418"/>
        <w:gridCol w:w="3982"/>
        <w:gridCol w:w="2265"/>
        <w:gridCol w:w="2175"/>
      </w:tblGrid>
      <w:tr>
        <w:tblPrEx>
          <w:tblCellMar>
            <w:top w:w="0" w:type="dxa"/>
            <w:left w:w="108" w:type="dxa"/>
            <w:bottom w:w="0" w:type="dxa"/>
            <w:right w:w="108" w:type="dxa"/>
          </w:tblCellMar>
        </w:tblPrEx>
        <w:trPr>
          <w:cantSplit/>
          <w:trHeight w:val="105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序号</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项目内容</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一轮报价（元）</w:t>
            </w: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最终报价（元）</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1</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left"/>
              <w:rPr>
                <w:rFonts w:hint="default" w:ascii="宋体" w:hAnsi="宋体" w:eastAsia="宋体"/>
                <w:color w:val="auto"/>
                <w:position w:val="0"/>
                <w:sz w:val="30"/>
                <w:szCs w:val="30"/>
              </w:rPr>
            </w:pPr>
            <w:r>
              <w:rPr>
                <w:rFonts w:hint="default" w:ascii="宋体" w:hAnsi="宋体" w:eastAsia="宋体"/>
                <w:color w:val="000000" w:themeColor="text1"/>
                <w:position w:val="0"/>
                <w:sz w:val="30"/>
                <w:szCs w:val="30"/>
                <w14:textFill>
                  <w14:solidFill>
                    <w14:schemeClr w14:val="tx1"/>
                  </w14:solidFill>
                </w14:textFill>
              </w:rPr>
              <w:t>铜陵学院风雨操场智能化系统深化设计项目</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30"/>
                <w:szCs w:val="30"/>
              </w:rPr>
            </w:pP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1100"/>
              <w:jc w:val="left"/>
              <w:rPr>
                <w:rFonts w:hint="default" w:ascii="宋体" w:hAnsi="宋体" w:eastAsia="宋体"/>
                <w:color w:val="auto"/>
                <w:position w:val="0"/>
                <w:sz w:val="22"/>
                <w:szCs w:val="22"/>
              </w:rPr>
            </w:pPr>
          </w:p>
        </w:tc>
      </w:tr>
      <w:tr>
        <w:tblPrEx>
          <w:tblCellMar>
            <w:top w:w="0" w:type="dxa"/>
            <w:left w:w="108" w:type="dxa"/>
            <w:bottom w:w="0" w:type="dxa"/>
            <w:right w:w="108" w:type="dxa"/>
          </w:tblCellMar>
        </w:tblPrEx>
        <w:trPr>
          <w:cantSplit/>
          <w:trHeight w:val="102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center"/>
              <w:rPr>
                <w:rFonts w:hint="default" w:ascii="宋体" w:hAnsi="宋体" w:eastAsia="宋体"/>
                <w:color w:val="auto"/>
                <w:position w:val="0"/>
                <w:sz w:val="21"/>
                <w:szCs w:val="21"/>
              </w:rPr>
            </w:pPr>
            <w:r>
              <w:rPr>
                <w:rFonts w:hint="default" w:ascii="宋体" w:hAnsi="宋体" w:eastAsia="宋体"/>
                <w:color w:val="auto"/>
                <w:position w:val="0"/>
                <w:sz w:val="30"/>
                <w:szCs w:val="30"/>
              </w:rPr>
              <w:t>合计</w:t>
            </w:r>
          </w:p>
        </w:tc>
        <w:tc>
          <w:tcPr>
            <w:tcW w:w="8422" w:type="dxa"/>
            <w:gridSpan w:val="3"/>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1"/>
                <w:szCs w:val="21"/>
              </w:rPr>
            </w:pPr>
            <w:r>
              <w:rPr>
                <w:rFonts w:hint="default" w:ascii="宋体" w:hAnsi="宋体" w:eastAsia="宋体"/>
                <w:color w:val="auto"/>
                <w:position w:val="0"/>
                <w:sz w:val="30"/>
                <w:szCs w:val="30"/>
              </w:rPr>
              <w:t>大写：                          小写：</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宋体" w:hAnsi="宋体" w:eastAsia="宋体"/>
                <w:color w:val="auto"/>
                <w:position w:val="0"/>
                <w:sz w:val="21"/>
                <w:szCs w:val="21"/>
              </w:rPr>
            </w:pPr>
            <w:r>
              <w:rPr>
                <w:rFonts w:hint="default" w:ascii="宋体" w:hAnsi="宋体" w:eastAsia="宋体"/>
                <w:b/>
                <w:color w:val="auto"/>
                <w:position w:val="0"/>
                <w:sz w:val="30"/>
                <w:szCs w:val="30"/>
              </w:rPr>
              <w:t>其他说明：</w:t>
            </w:r>
          </w:p>
        </w:tc>
        <w:tc>
          <w:tcPr>
            <w:tcW w:w="8422" w:type="dxa"/>
            <w:gridSpan w:val="3"/>
            <w:tcBorders>
              <w:top w:val="single" w:color="000000" w:sz="12" w:space="0"/>
              <w:left w:val="single" w:color="000000" w:sz="12" w:space="0"/>
              <w:bottom w:val="single" w:color="000000" w:sz="12" w:space="0"/>
              <w:right w:val="single" w:color="000000" w:sz="12" w:space="0"/>
            </w:tcBorders>
            <w:shd w:val="clear" w:color="000000" w:fill="FFFFFF"/>
            <w:vAlign w:val="center"/>
          </w:tcPr>
          <w:p>
            <w:pPr>
              <w:numPr>
                <w:ilvl w:val="0"/>
                <w:numId w:val="0"/>
              </w:numPr>
              <w:autoSpaceDE/>
              <w:autoSpaceDN/>
              <w:spacing w:before="0" w:after="0" w:line="360" w:lineRule="auto"/>
              <w:ind w:right="0" w:firstLine="0"/>
              <w:jc w:val="both"/>
              <w:rPr>
                <w:rFonts w:hint="default" w:ascii="Times New Roman" w:hAnsi="Times New Roman" w:eastAsia="Times New Roman"/>
                <w:b/>
                <w:color w:val="auto"/>
                <w:position w:val="0"/>
                <w:sz w:val="28"/>
                <w:szCs w:val="28"/>
              </w:rPr>
            </w:pPr>
            <w:r>
              <w:rPr>
                <w:rFonts w:hint="default" w:ascii="Times New Roman" w:hAnsi="Times New Roman" w:eastAsia="Times New Roman"/>
                <w:b/>
                <w:color w:val="auto"/>
                <w:position w:val="0"/>
                <w:sz w:val="28"/>
                <w:szCs w:val="28"/>
              </w:rPr>
              <w:t>1、本投标报价必须以人民币的形式表示。</w:t>
            </w:r>
          </w:p>
          <w:p>
            <w:pPr>
              <w:numPr>
                <w:ilvl w:val="0"/>
                <w:numId w:val="0"/>
              </w:numPr>
              <w:autoSpaceDE/>
              <w:autoSpaceDN/>
              <w:spacing w:before="0" w:after="0" w:line="360" w:lineRule="auto"/>
              <w:ind w:right="0" w:firstLine="0"/>
              <w:jc w:val="both"/>
              <w:rPr>
                <w:rFonts w:hint="default" w:ascii="Times New Roman" w:hAnsi="宋体" w:eastAsia="宋体"/>
                <w:color w:val="auto"/>
                <w:position w:val="0"/>
                <w:sz w:val="21"/>
                <w:szCs w:val="21"/>
              </w:rPr>
            </w:pPr>
            <w:r>
              <w:rPr>
                <w:rFonts w:hint="default" w:ascii="Times New Roman" w:hAnsi="Times New Roman" w:eastAsia="Times New Roman"/>
                <w:b/>
                <w:color w:val="auto"/>
                <w:position w:val="0"/>
                <w:sz w:val="28"/>
                <w:szCs w:val="28"/>
              </w:rPr>
              <w:t>2、投标总报价包括完成项目所需的一切费用。</w:t>
            </w:r>
          </w:p>
        </w:tc>
      </w:tr>
    </w:tbl>
    <w:p>
      <w:pPr>
        <w:numPr>
          <w:ilvl w:val="0"/>
          <w:numId w:val="0"/>
        </w:numPr>
        <w:autoSpaceDE/>
        <w:autoSpaceDN/>
        <w:spacing w:before="0" w:after="0" w:line="360" w:lineRule="auto"/>
        <w:ind w:right="0" w:firstLine="60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30"/>
          <w:szCs w:val="30"/>
        </w:rPr>
      </w:pP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rPr>
      </w:pPr>
      <w:r>
        <w:rPr>
          <w:rFonts w:hint="default" w:ascii="宋体" w:hAnsi="宋体" w:eastAsia="宋体"/>
          <w:color w:val="auto"/>
          <w:position w:val="0"/>
          <w:sz w:val="28"/>
          <w:szCs w:val="28"/>
        </w:rPr>
        <w:t>磋商响应单位名称：</w:t>
      </w:r>
    </w:p>
    <w:p>
      <w:pPr>
        <w:numPr>
          <w:ilvl w:val="0"/>
          <w:numId w:val="0"/>
        </w:numPr>
        <w:autoSpaceDE/>
        <w:autoSpaceDN/>
        <w:spacing w:before="0" w:after="0" w:line="360" w:lineRule="auto"/>
        <w:ind w:right="0" w:firstLine="0"/>
        <w:jc w:val="both"/>
        <w:rPr>
          <w:rFonts w:hint="default" w:ascii="宋体" w:hAnsi="宋体" w:eastAsia="宋体"/>
          <w:color w:val="auto"/>
          <w:position w:val="0"/>
          <w:sz w:val="28"/>
          <w:szCs w:val="28"/>
          <w:u w:val="single"/>
        </w:rPr>
      </w:pPr>
      <w:r>
        <w:rPr>
          <w:rFonts w:hint="default" w:ascii="宋体" w:hAnsi="宋体" w:eastAsia="宋体"/>
          <w:color w:val="auto"/>
          <w:position w:val="0"/>
          <w:sz w:val="28"/>
          <w:szCs w:val="28"/>
        </w:rPr>
        <w:t>法人或被授权人（签字或盖章）：</w:t>
      </w:r>
    </w:p>
    <w:p>
      <w:pPr>
        <w:numPr>
          <w:ilvl w:val="0"/>
          <w:numId w:val="0"/>
        </w:numPr>
        <w:autoSpaceDE/>
        <w:autoSpaceDN/>
        <w:spacing w:before="0" w:after="0" w:line="360" w:lineRule="auto"/>
        <w:ind w:right="0" w:firstLine="0"/>
        <w:jc w:val="both"/>
        <w:rPr>
          <w:rFonts w:hint="default" w:ascii="Times New Roman" w:hAnsi="Times New Roman" w:eastAsia="Times New Roman"/>
          <w:color w:val="auto"/>
          <w:position w:val="0"/>
          <w:sz w:val="21"/>
          <w:szCs w:val="21"/>
        </w:rPr>
      </w:pPr>
      <w:r>
        <w:rPr>
          <w:rFonts w:hint="default" w:ascii="宋体" w:hAnsi="宋体" w:eastAsia="宋体"/>
          <w:color w:val="auto"/>
          <w:position w:val="0"/>
          <w:sz w:val="28"/>
          <w:szCs w:val="28"/>
        </w:rPr>
        <w:t>日期：</w:t>
      </w:r>
      <w:r>
        <w:rPr>
          <w:rFonts w:hint="default" w:ascii="Times New Roman" w:hAnsi="Times New Roman" w:eastAsia="Times New Roman"/>
          <w:color w:val="auto"/>
          <w:position w:val="0"/>
          <w:sz w:val="21"/>
          <w:szCs w:val="21"/>
        </w:rPr>
        <w:t xml:space="preserve"> </w:t>
      </w:r>
    </w:p>
    <w:sectPr>
      <w:pgSz w:w="11906" w:h="16838"/>
      <w:pgMar w:top="1440" w:right="1800" w:bottom="1440" w:left="1800" w:header="851" w:footer="992" w:gutter="0"/>
      <w:pgNumType w:fmt="decimal"/>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hakuyoxingshu7000"/>
    <w:panose1 w:val="020F0502020204030204"/>
    <w:charset w:val="00"/>
    <w:family w:val="auto"/>
    <w:pitch w:val="default"/>
    <w:sig w:usb0="00000000" w:usb1="00000000" w:usb2="00000000" w:usb3="00000000" w:csb0="FFFFFFFF"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numPr>
        <w:ilvl w:val="0"/>
        <w:numId w:val="0"/>
      </w:numPr>
      <w:autoSpaceDE/>
      <w:autoSpaceDN/>
      <w:snapToGrid w:val="0"/>
      <w:spacing w:before="0" w:after="0" w:line="240" w:lineRule="auto"/>
      <w:ind w:right="0" w:firstLine="0"/>
      <w:jc w:val="center"/>
      <w:rPr>
        <w:rFonts w:hint="default" w:ascii="Times New Roman" w:hAnsi="Times New Roman" w:eastAsia="Times New Roman"/>
        <w:color w:val="auto"/>
        <w:position w:val="0"/>
        <w:sz w:val="18"/>
        <w:szCs w:val="18"/>
      </w:rPr>
    </w:pPr>
    <w:r>
      <w:rPr>
        <w:rFonts w:hint="default" w:ascii="Times New Roman" w:hAnsi="Times New Roman" w:eastAsia="Times New Roman"/>
        <w:color w:val="auto"/>
        <w:position w:val="0"/>
        <w:sz w:val="18"/>
        <w:szCs w:val="18"/>
      </w:rPr>
      <w:fldChar w:fldCharType="begin"/>
    </w:r>
    <w:r>
      <w:instrText xml:space="preserve">PAGE  \* MERGEFORMAT</w:instrText>
    </w:r>
    <w:r>
      <w:fldChar w:fldCharType="separate"/>
    </w:r>
    <w:r>
      <w:rPr>
        <w:rFonts w:hint="default" w:ascii="Times New Roman" w:hAnsi="Times New Roman" w:eastAsia="Times New Roman"/>
        <w:color w:val="auto"/>
        <w:position w:val="0"/>
        <w:sz w:val="18"/>
        <w:szCs w:val="18"/>
      </w:rPr>
      <w:t>14</w:t>
    </w:r>
    <w:r>
      <w:rPr>
        <w:rFonts w:hint="default" w:ascii="Times New Roman" w:hAnsi="Times New Roman" w:eastAsia="Times New Roman"/>
        <w:color w:val="auto"/>
        <w:position w:val="0"/>
        <w:sz w:val="18"/>
        <w:szCs w:val="18"/>
      </w:rPr>
      <w:fldChar w:fldCharType="end"/>
    </w:r>
  </w:p>
  <w:p>
    <w:pPr>
      <w:pStyle w:val="23"/>
      <w:numPr>
        <w:ilvl w:val="0"/>
        <w:numId w:val="0"/>
      </w:numPr>
      <w:autoSpaceDE/>
      <w:autoSpaceDN/>
      <w:snapToGrid w:val="0"/>
      <w:spacing w:before="0" w:after="0" w:line="240" w:lineRule="auto"/>
      <w:ind w:right="360" w:firstLine="0"/>
      <w:jc w:val="left"/>
      <w:rPr>
        <w:rFonts w:hint="default" w:ascii="Times New Roman" w:hAnsi="Times New Roman" w:eastAsia="Times New Roman"/>
        <w:color w:val="auto"/>
        <w:position w:val="0"/>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numPr>
        <w:ilvl w:val="0"/>
        <w:numId w:val="0"/>
      </w:numPr>
      <w:pBdr>
        <w:bottom w:val="none" w:color="000000" w:sz="0" w:space="0"/>
      </w:pBdr>
      <w:autoSpaceDE/>
      <w:autoSpaceDN/>
      <w:snapToGrid w:val="0"/>
      <w:spacing w:before="0" w:after="0" w:line="240" w:lineRule="auto"/>
      <w:ind w:right="0" w:firstLine="0"/>
      <w:jc w:val="center"/>
      <w:rPr>
        <w:rFonts w:hint="default" w:ascii="Times New Roman" w:hAnsi="Times New Roman" w:eastAsia="Times New Roman"/>
        <w:color w:val="auto"/>
        <w:positio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numPr>
        <w:ilvl w:val="0"/>
        <w:numId w:val="0"/>
      </w:numPr>
      <w:pBdr>
        <w:bottom w:val="none" w:color="000000" w:sz="0" w:space="0"/>
      </w:pBdr>
      <w:autoSpaceDE/>
      <w:autoSpaceDN/>
      <w:snapToGrid w:val="0"/>
      <w:spacing w:before="0" w:after="0" w:line="240" w:lineRule="auto"/>
      <w:ind w:right="0" w:firstLine="0"/>
      <w:jc w:val="center"/>
      <w:rPr>
        <w:rFonts w:hint="default" w:ascii="Times New Roman" w:hAnsi="Times New Roman" w:eastAsia="Times New Roman"/>
        <w:color w:val="auto"/>
        <w:position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multilevel"/>
    <w:tmpl w:val="2F000000"/>
    <w:lvl w:ilvl="0" w:tentative="0">
      <w:start w:val="1"/>
      <w:numFmt w:val="decimal"/>
      <w:pStyle w:val="58"/>
      <w:suff w:val="nothing"/>
      <w:lvlText w:val="%1、"/>
      <w:lvlJc w:val="left"/>
      <w:rPr>
        <w:w w:val="100"/>
        <w:sz w:val="20"/>
        <w:szCs w:val="20"/>
        <w:shd w:val="clear"/>
      </w:rPr>
    </w:lvl>
    <w:lvl w:ilvl="1" w:tentative="0">
      <w:start w:val="1"/>
      <w:numFmt w:val="decimal"/>
      <w:suff w:val="nothing"/>
      <w:lvlText w:val="%1、"/>
      <w:lvlJc w:val="left"/>
      <w:rPr>
        <w:w w:val="100"/>
        <w:sz w:val="20"/>
        <w:szCs w:val="20"/>
        <w:shd w:val="clear"/>
      </w:rPr>
    </w:lvl>
    <w:lvl w:ilvl="2" w:tentative="0">
      <w:start w:val="1"/>
      <w:numFmt w:val="decimal"/>
      <w:suff w:val="nothing"/>
      <w:lvlText w:val="%1、"/>
      <w:lvlJc w:val="left"/>
      <w:rPr>
        <w:w w:val="100"/>
        <w:sz w:val="20"/>
        <w:szCs w:val="20"/>
        <w:shd w:val="clear"/>
      </w:rPr>
    </w:lvl>
    <w:lvl w:ilvl="3" w:tentative="0">
      <w:start w:val="1"/>
      <w:numFmt w:val="decimal"/>
      <w:suff w:val="nothing"/>
      <w:lvlText w:val="%1、"/>
      <w:lvlJc w:val="left"/>
      <w:rPr>
        <w:w w:val="100"/>
        <w:sz w:val="20"/>
        <w:szCs w:val="20"/>
        <w:shd w:val="clear"/>
      </w:rPr>
    </w:lvl>
    <w:lvl w:ilvl="4" w:tentative="0">
      <w:start w:val="1"/>
      <w:numFmt w:val="decimal"/>
      <w:suff w:val="nothing"/>
      <w:lvlText w:val="%1、"/>
      <w:lvlJc w:val="left"/>
      <w:rPr>
        <w:w w:val="100"/>
        <w:sz w:val="20"/>
        <w:szCs w:val="20"/>
        <w:shd w:val="clear"/>
      </w:rPr>
    </w:lvl>
    <w:lvl w:ilvl="5" w:tentative="0">
      <w:start w:val="1"/>
      <w:numFmt w:val="decimal"/>
      <w:suff w:val="nothing"/>
      <w:lvlText w:val="%1、"/>
      <w:lvlJc w:val="left"/>
      <w:rPr>
        <w:w w:val="100"/>
        <w:sz w:val="20"/>
        <w:szCs w:val="20"/>
        <w:shd w:val="clear"/>
      </w:rPr>
    </w:lvl>
    <w:lvl w:ilvl="6" w:tentative="0">
      <w:start w:val="1"/>
      <w:numFmt w:val="decimal"/>
      <w:suff w:val="nothing"/>
      <w:lvlText w:val="%1、"/>
      <w:lvlJc w:val="left"/>
      <w:rPr>
        <w:w w:val="100"/>
        <w:sz w:val="20"/>
        <w:szCs w:val="20"/>
        <w:shd w:val="clear"/>
      </w:rPr>
    </w:lvl>
    <w:lvl w:ilvl="7" w:tentative="0">
      <w:start w:val="1"/>
      <w:numFmt w:val="decimal"/>
      <w:suff w:val="nothing"/>
      <w:lvlText w:val="%1、"/>
      <w:lvlJc w:val="left"/>
      <w:rPr>
        <w:w w:val="100"/>
        <w:sz w:val="20"/>
        <w:szCs w:val="20"/>
        <w:shd w:val="clear"/>
      </w:rPr>
    </w:lvl>
    <w:lvl w:ilvl="8" w:tentative="0">
      <w:start w:val="1"/>
      <w:numFmt w:val="decimal"/>
      <w:suff w:val="nothing"/>
      <w:lvlText w:val="%1、"/>
      <w:lvlJc w:val="left"/>
      <w:rPr>
        <w:w w:val="100"/>
        <w:sz w:val="20"/>
        <w:szCs w:val="20"/>
        <w:shd w:val="clear"/>
      </w:rPr>
    </w:lvl>
  </w:abstractNum>
  <w:abstractNum w:abstractNumId="1">
    <w:nsid w:val="2F000001"/>
    <w:multiLevelType w:val="multilevel"/>
    <w:tmpl w:val="2F000001"/>
    <w:lvl w:ilvl="0" w:tentative="0">
      <w:start w:val="1"/>
      <w:numFmt w:val="decimal"/>
      <w:lvlText w:val="%1."/>
      <w:lvlJc w:val="left"/>
      <w:rPr>
        <w:w w:val="100"/>
        <w:sz w:val="20"/>
        <w:szCs w:val="20"/>
        <w:shd w:val="clear"/>
      </w:rPr>
    </w:lvl>
    <w:lvl w:ilvl="1" w:tentative="0">
      <w:start w:val="1"/>
      <w:numFmt w:val="decimal"/>
      <w:lvlText w:val="%1."/>
      <w:lvlJc w:val="left"/>
      <w:rPr>
        <w:w w:val="100"/>
        <w:sz w:val="20"/>
        <w:szCs w:val="20"/>
        <w:shd w:val="clear"/>
      </w:rPr>
    </w:lvl>
    <w:lvl w:ilvl="2" w:tentative="0">
      <w:start w:val="1"/>
      <w:numFmt w:val="decimal"/>
      <w:lvlText w:val="%1."/>
      <w:lvlJc w:val="left"/>
      <w:rPr>
        <w:w w:val="100"/>
        <w:sz w:val="20"/>
        <w:szCs w:val="20"/>
        <w:shd w:val="clear"/>
      </w:rPr>
    </w:lvl>
    <w:lvl w:ilvl="3" w:tentative="0">
      <w:start w:val="1"/>
      <w:numFmt w:val="decimal"/>
      <w:lvlText w:val="%1."/>
      <w:lvlJc w:val="left"/>
      <w:rPr>
        <w:w w:val="100"/>
        <w:sz w:val="20"/>
        <w:szCs w:val="20"/>
        <w:shd w:val="clear"/>
      </w:rPr>
    </w:lvl>
    <w:lvl w:ilvl="4" w:tentative="0">
      <w:start w:val="1"/>
      <w:numFmt w:val="decimal"/>
      <w:lvlText w:val="%1."/>
      <w:lvlJc w:val="left"/>
      <w:rPr>
        <w:w w:val="100"/>
        <w:sz w:val="20"/>
        <w:szCs w:val="20"/>
        <w:shd w:val="clear"/>
      </w:rPr>
    </w:lvl>
    <w:lvl w:ilvl="5" w:tentative="0">
      <w:start w:val="1"/>
      <w:numFmt w:val="decimal"/>
      <w:lvlText w:val="%1."/>
      <w:lvlJc w:val="left"/>
      <w:rPr>
        <w:w w:val="100"/>
        <w:sz w:val="20"/>
        <w:szCs w:val="20"/>
        <w:shd w:val="clear"/>
      </w:rPr>
    </w:lvl>
    <w:lvl w:ilvl="6" w:tentative="0">
      <w:start w:val="1"/>
      <w:numFmt w:val="decimal"/>
      <w:lvlText w:val="%1."/>
      <w:lvlJc w:val="left"/>
      <w:rPr>
        <w:w w:val="100"/>
        <w:sz w:val="20"/>
        <w:szCs w:val="20"/>
        <w:shd w:val="clear"/>
      </w:rPr>
    </w:lvl>
    <w:lvl w:ilvl="7" w:tentative="0">
      <w:start w:val="1"/>
      <w:numFmt w:val="decimal"/>
      <w:lvlText w:val="%1."/>
      <w:lvlJc w:val="left"/>
      <w:rPr>
        <w:w w:val="100"/>
        <w:sz w:val="20"/>
        <w:szCs w:val="20"/>
        <w:shd w:val="clear"/>
      </w:rPr>
    </w:lvl>
    <w:lvl w:ilvl="8" w:tentative="0">
      <w:start w:val="1"/>
      <w:numFmt w:val="decimal"/>
      <w:lvlText w:val="%1."/>
      <w:lvlJc w:val="left"/>
      <w:rPr>
        <w:w w:val="100"/>
        <w:sz w:val="20"/>
        <w:szCs w:val="20"/>
        <w:shd w:val="clear"/>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5"/>
  </w:compat>
  <w:rsids>
    <w:rsidRoot w:val="00000000"/>
    <w:rsid w:val="13207779"/>
    <w:rsid w:val="138055EC"/>
    <w:rsid w:val="15F11C59"/>
    <w:rsid w:val="185558D5"/>
    <w:rsid w:val="50856C8D"/>
    <w:rsid w:val="530A38B1"/>
    <w:rsid w:val="5D752343"/>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name="toc 1"/>
    <w:lsdException w:qFormat="1" w:unhideWhenUsed="0" w:uiPriority="29"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qFormat="1" w:unhideWhenUsed="0" w:uiPriority="152" w:semiHidden="0" w:name="annotation text"/>
    <w:lsdException w:qFormat="1" w:unhideWhenUsed="0" w:uiPriority="159" w:semiHidden="0" w:name="header"/>
    <w:lsdException w:qFormat="1" w:unhideWhenUsed="0" w:uiPriority="157"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158" w:semiHidden="0" w:name="envelope return"/>
    <w:lsdException w:unhideWhenUsed="0" w:uiPriority="0" w:semiHidden="0" w:name="footnote reference"/>
    <w:lsdException w:qFormat="1" w:unhideWhenUsed="0" w:uiPriority="16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2" w:name="Default Paragraph Font"/>
    <w:lsdException w:qFormat="1" w:unhideWhenUsed="0" w:uiPriority="153" w:semiHidden="0" w:name="Body Text"/>
    <w:lsdException w:qFormat="1" w:unhideWhenUsed="0" w:uiPriority="15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16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167" w:semiHidden="0" w:name="Hyperlink"/>
    <w:lsdException w:qFormat="1" w:unhideWhenUsed="0" w:uiPriority="162"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qFormat="1" w:unhideWhenUsed="0" w:uiPriority="155" w:semiHidden="0" w:name="Plain Text"/>
    <w:lsdException w:unhideWhenUsed="0" w:uiPriority="0" w:semiHidden="0" w:name="E-mail Signature"/>
    <w:lsdException w:unhideWhenUsed="0" w:uiPriority="0" w:semiHidden="0" w:name="Normal (Web)"/>
    <w:lsdException w:qFormat="1" w:unhideWhenUsed="0" w:uiPriority="165" w:semiHidden="0" w:name="HTML Acronym"/>
    <w:lsdException w:unhideWhenUsed="0" w:uiPriority="0" w:semiHidden="0" w:name="HTML Address"/>
    <w:lsdException w:qFormat="1" w:unhideWhenUsed="0" w:uiPriority="170" w:semiHidden="0" w:name="HTML Cite"/>
    <w:lsdException w:qFormat="1" w:unhideWhenUsed="0" w:uiPriority="168" w:semiHidden="0" w:name="HTML Code"/>
    <w:lsdException w:qFormat="1" w:unhideWhenUsed="0" w:uiPriority="163" w:semiHidden="0" w:name="HTML Definition"/>
    <w:lsdException w:qFormat="1" w:unhideWhenUsed="0" w:uiPriority="171" w:semiHidden="0" w:name="HTML Keyboard"/>
    <w:lsdException w:unhideWhenUsed="0" w:uiPriority="0" w:semiHidden="0" w:name="HTML Preformatted"/>
    <w:lsdException w:qFormat="1" w:unhideWhenUsed="0" w:uiPriority="172" w:semiHidden="0" w:name="HTML Sample"/>
    <w:lsdException w:qFormat="1" w:unhideWhenUsed="0" w:uiPriority="164" w:semiHidden="0" w:name="HTML Typewriter"/>
    <w:lsdException w:qFormat="1" w:unhideWhenUsed="0" w:uiPriority="166" w:semiHidden="0" w:name="HTML Variable"/>
    <w:lsdException w:qFormat="1" w:unhideWhenUsed="0" w:uiPriority="37" w:semiHidden="0" w:name="Normal Table"/>
    <w:lsdException w:qFormat="1" w:unhideWhenUsed="0" w:uiPriority="16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156" w:semiHidden="0"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wordWrap/>
      <w:autoSpaceDE/>
      <w:autoSpaceDN/>
      <w:jc w:val="both"/>
    </w:pPr>
    <w:rPr>
      <w:rFonts w:ascii="Times New Roman" w:hAnsi="Times New Roman" w:eastAsia="Times New Roman" w:cstheme="minorBidi"/>
      <w:w w:val="100"/>
      <w:sz w:val="21"/>
      <w:szCs w:val="21"/>
      <w:shd w:val="clear"/>
    </w:rPr>
  </w:style>
  <w:style w:type="paragraph" w:styleId="6">
    <w:name w:val="heading 1"/>
    <w:next w:val="1"/>
    <w:qFormat/>
    <w:uiPriority w:val="7"/>
    <w:pPr>
      <w:widowControl/>
      <w:wordWrap/>
      <w:autoSpaceDE/>
      <w:autoSpaceDN/>
      <w:jc w:val="both"/>
    </w:pPr>
    <w:rPr>
      <w:rFonts w:ascii="Times New Roman" w:hAnsi="Times New Roman" w:eastAsia="Times New Roman" w:cstheme="minorBidi"/>
      <w:w w:val="100"/>
      <w:sz w:val="28"/>
      <w:szCs w:val="28"/>
      <w:shd w:val="clear"/>
    </w:rPr>
  </w:style>
  <w:style w:type="paragraph" w:styleId="7">
    <w:name w:val="heading 2"/>
    <w:basedOn w:val="1"/>
    <w:next w:val="1"/>
    <w:qFormat/>
    <w:uiPriority w:val="8"/>
    <w:pPr>
      <w:keepNext/>
      <w:keepLines/>
      <w:widowControl/>
      <w:wordWrap/>
      <w:autoSpaceDE/>
      <w:autoSpaceDN/>
    </w:pPr>
    <w:rPr>
      <w:rFonts w:ascii="Arial" w:hAnsi="Arial" w:eastAsia="Arial"/>
      <w:b/>
      <w:w w:val="100"/>
      <w:sz w:val="32"/>
      <w:szCs w:val="32"/>
      <w:shd w:val="clear"/>
    </w:rPr>
  </w:style>
  <w:style w:type="paragraph" w:styleId="8">
    <w:name w:val="heading 3"/>
    <w:next w:val="1"/>
    <w:qFormat/>
    <w:uiPriority w:val="9"/>
    <w:pPr>
      <w:widowControl/>
      <w:wordWrap/>
      <w:autoSpaceDE/>
      <w:autoSpaceDN/>
      <w:ind w:left="1000" w:hanging="400"/>
      <w:jc w:val="both"/>
    </w:pPr>
    <w:rPr>
      <w:rFonts w:ascii="Times New Roman" w:hAnsi="Times New Roman" w:eastAsia="Times New Roman" w:cstheme="minorBidi"/>
      <w:w w:val="100"/>
      <w:sz w:val="21"/>
      <w:szCs w:val="21"/>
      <w:shd w:val="clear"/>
    </w:rPr>
  </w:style>
  <w:style w:type="paragraph" w:styleId="9">
    <w:name w:val="heading 4"/>
    <w:next w:val="1"/>
    <w:qFormat/>
    <w:uiPriority w:val="10"/>
    <w:pPr>
      <w:widowControl/>
      <w:wordWrap/>
      <w:autoSpaceDE/>
      <w:autoSpaceDN/>
      <w:ind w:left="1200" w:hanging="400"/>
      <w:jc w:val="both"/>
    </w:pPr>
    <w:rPr>
      <w:rFonts w:ascii="Times New Roman" w:hAnsi="Times New Roman" w:eastAsia="Times New Roman" w:cstheme="minorBidi"/>
      <w:b/>
      <w:w w:val="100"/>
      <w:sz w:val="21"/>
      <w:szCs w:val="21"/>
      <w:shd w:val="clear"/>
    </w:rPr>
  </w:style>
  <w:style w:type="paragraph" w:styleId="10">
    <w:name w:val="heading 5"/>
    <w:next w:val="1"/>
    <w:qFormat/>
    <w:uiPriority w:val="11"/>
    <w:pPr>
      <w:widowControl/>
      <w:wordWrap/>
      <w:autoSpaceDE/>
      <w:autoSpaceDN/>
      <w:ind w:left="1400" w:hanging="400"/>
      <w:jc w:val="both"/>
    </w:pPr>
    <w:rPr>
      <w:rFonts w:ascii="Times New Roman" w:hAnsi="Times New Roman" w:eastAsia="Times New Roman" w:cstheme="minorBidi"/>
      <w:w w:val="100"/>
      <w:sz w:val="21"/>
      <w:szCs w:val="21"/>
      <w:shd w:val="clear"/>
    </w:rPr>
  </w:style>
  <w:style w:type="paragraph" w:styleId="11">
    <w:name w:val="heading 6"/>
    <w:next w:val="1"/>
    <w:qFormat/>
    <w:uiPriority w:val="12"/>
    <w:pPr>
      <w:widowControl/>
      <w:wordWrap/>
      <w:autoSpaceDE/>
      <w:autoSpaceDN/>
      <w:ind w:left="1600" w:hanging="400"/>
      <w:jc w:val="both"/>
    </w:pPr>
    <w:rPr>
      <w:rFonts w:ascii="Times New Roman" w:hAnsi="Times New Roman" w:eastAsia="Times New Roman" w:cstheme="minorBidi"/>
      <w:b/>
      <w:w w:val="100"/>
      <w:sz w:val="21"/>
      <w:szCs w:val="21"/>
      <w:shd w:val="clear"/>
    </w:rPr>
  </w:style>
  <w:style w:type="paragraph" w:styleId="12">
    <w:name w:val="heading 7"/>
    <w:next w:val="1"/>
    <w:qFormat/>
    <w:uiPriority w:val="13"/>
    <w:pPr>
      <w:widowControl/>
      <w:wordWrap/>
      <w:autoSpaceDE/>
      <w:autoSpaceDN/>
      <w:ind w:left="1800" w:hanging="400"/>
      <w:jc w:val="both"/>
    </w:pPr>
    <w:rPr>
      <w:rFonts w:ascii="Times New Roman" w:hAnsi="Times New Roman" w:eastAsia="Times New Roman" w:cstheme="minorBidi"/>
      <w:w w:val="100"/>
      <w:sz w:val="21"/>
      <w:szCs w:val="21"/>
      <w:shd w:val="clear"/>
    </w:rPr>
  </w:style>
  <w:style w:type="paragraph" w:styleId="13">
    <w:name w:val="heading 8"/>
    <w:next w:val="1"/>
    <w:qFormat/>
    <w:uiPriority w:val="14"/>
    <w:pPr>
      <w:widowControl/>
      <w:wordWrap/>
      <w:autoSpaceDE/>
      <w:autoSpaceDN/>
      <w:ind w:left="2000" w:hanging="400"/>
      <w:jc w:val="both"/>
    </w:pPr>
    <w:rPr>
      <w:rFonts w:ascii="Times New Roman" w:hAnsi="Times New Roman" w:eastAsia="Times New Roman" w:cstheme="minorBidi"/>
      <w:w w:val="100"/>
      <w:sz w:val="21"/>
      <w:szCs w:val="21"/>
      <w:shd w:val="clear"/>
    </w:rPr>
  </w:style>
  <w:style w:type="paragraph" w:styleId="14">
    <w:name w:val="heading 9"/>
    <w:next w:val="1"/>
    <w:qFormat/>
    <w:uiPriority w:val="15"/>
    <w:pPr>
      <w:widowControl/>
      <w:wordWrap/>
      <w:autoSpaceDE/>
      <w:autoSpaceDN/>
      <w:ind w:left="2200" w:hanging="400"/>
      <w:jc w:val="both"/>
    </w:pPr>
    <w:rPr>
      <w:rFonts w:ascii="Times New Roman" w:hAnsi="Times New Roman" w:eastAsia="Times New Roman" w:cstheme="minorBidi"/>
      <w:w w:val="100"/>
      <w:sz w:val="21"/>
      <w:szCs w:val="21"/>
      <w:shd w:val="clear"/>
    </w:rPr>
  </w:style>
  <w:style w:type="character" w:default="1" w:styleId="34">
    <w:name w:val="Default Paragraph Font"/>
    <w:semiHidden/>
    <w:unhideWhenUsed/>
    <w:qFormat/>
    <w:uiPriority w:val="2"/>
  </w:style>
  <w:style w:type="table" w:default="1" w:styleId="33">
    <w:name w:val="Normal Table"/>
    <w:qFormat/>
    <w:uiPriority w:val="37"/>
    <w:tblPr>
      <w:tblCellMar>
        <w:top w:w="0" w:type="dxa"/>
        <w:left w:w="108" w:type="dxa"/>
        <w:bottom w:w="0" w:type="dxa"/>
        <w:right w:w="108" w:type="dxa"/>
      </w:tblCellMar>
    </w:tblPr>
  </w:style>
  <w:style w:type="paragraph" w:styleId="2">
    <w:name w:val="Body Text First Indent 2"/>
    <w:basedOn w:val="3"/>
    <w:qFormat/>
    <w:uiPriority w:val="161"/>
    <w:pPr>
      <w:widowControl/>
      <w:wordWrap/>
      <w:autoSpaceDE/>
      <w:autoSpaceDN/>
      <w:ind w:left="420" w:firstLine="420"/>
    </w:pPr>
    <w:rPr>
      <w:rFonts w:ascii="Times New Roman" w:hAnsi="Times New Roman" w:eastAsia="Times New Roman"/>
      <w:w w:val="100"/>
      <w:sz w:val="20"/>
      <w:szCs w:val="20"/>
      <w:shd w:val="clear"/>
    </w:rPr>
  </w:style>
  <w:style w:type="paragraph" w:styleId="3">
    <w:name w:val="Body Text Indent"/>
    <w:basedOn w:val="4"/>
    <w:next w:val="5"/>
    <w:qFormat/>
    <w:uiPriority w:val="154"/>
    <w:pPr>
      <w:widowControl/>
      <w:wordWrap/>
      <w:autoSpaceDE/>
      <w:autoSpaceDN/>
      <w:ind w:firstLine="630"/>
    </w:pPr>
    <w:rPr>
      <w:w w:val="100"/>
      <w:sz w:val="32"/>
      <w:szCs w:val="32"/>
      <w:shd w:val="clear"/>
    </w:rPr>
  </w:style>
  <w:style w:type="paragraph" w:customStyle="1" w:styleId="4">
    <w:name w:val="正文1"/>
    <w:qFormat/>
    <w:uiPriority w:val="99"/>
    <w:pPr>
      <w:widowControl w:val="0"/>
      <w:spacing w:line="360" w:lineRule="auto"/>
      <w:jc w:val="both"/>
    </w:pPr>
    <w:rPr>
      <w:rFonts w:ascii="宋体" w:hAnsi="宋体" w:eastAsia="宋体" w:cs="宋体"/>
      <w:sz w:val="21"/>
      <w:szCs w:val="21"/>
      <w:lang w:val="en-US" w:eastAsia="zh-CN" w:bidi="ar-SA"/>
    </w:rPr>
  </w:style>
  <w:style w:type="paragraph" w:styleId="5">
    <w:name w:val="envelope return"/>
    <w:basedOn w:val="1"/>
    <w:qFormat/>
    <w:uiPriority w:val="158"/>
    <w:pPr>
      <w:widowControl/>
      <w:wordWrap/>
      <w:autoSpaceDE/>
      <w:autoSpaceDN/>
    </w:pPr>
    <w:rPr>
      <w:rFonts w:ascii="Arial" w:hAnsi="Arial" w:eastAsia="Arial"/>
      <w:w w:val="100"/>
      <w:sz w:val="20"/>
      <w:szCs w:val="20"/>
      <w:shd w:val="clear"/>
    </w:rPr>
  </w:style>
  <w:style w:type="paragraph" w:styleId="15">
    <w:name w:val="toc 7"/>
    <w:next w:val="1"/>
    <w:unhideWhenUsed/>
    <w:qFormat/>
    <w:uiPriority w:val="34"/>
    <w:pPr>
      <w:widowControl/>
      <w:wordWrap/>
      <w:autoSpaceDE/>
      <w:autoSpaceDN/>
      <w:ind w:left="2550" w:firstLine="0"/>
      <w:jc w:val="both"/>
    </w:pPr>
    <w:rPr>
      <w:rFonts w:ascii="Times New Roman" w:hAnsi="Times New Roman" w:eastAsia="Times New Roman" w:cstheme="minorBidi"/>
      <w:w w:val="100"/>
      <w:sz w:val="21"/>
      <w:szCs w:val="21"/>
      <w:shd w:val="clear"/>
    </w:rPr>
  </w:style>
  <w:style w:type="paragraph" w:styleId="16">
    <w:name w:val="annotation text"/>
    <w:basedOn w:val="1"/>
    <w:link w:val="69"/>
    <w:qFormat/>
    <w:uiPriority w:val="152"/>
    <w:pPr>
      <w:widowControl/>
      <w:wordWrap/>
      <w:autoSpaceDE/>
      <w:autoSpaceDN/>
    </w:pPr>
  </w:style>
  <w:style w:type="paragraph" w:styleId="17">
    <w:name w:val="Body Text"/>
    <w:basedOn w:val="1"/>
    <w:qFormat/>
    <w:uiPriority w:val="153"/>
    <w:rPr>
      <w:rFonts w:ascii="宋体" w:hAnsi="宋体" w:eastAsia="宋体"/>
      <w:w w:val="100"/>
      <w:sz w:val="24"/>
      <w:szCs w:val="24"/>
      <w:shd w:val="clear"/>
    </w:rPr>
  </w:style>
  <w:style w:type="paragraph" w:styleId="18">
    <w:name w:val="toc 5"/>
    <w:next w:val="1"/>
    <w:unhideWhenUsed/>
    <w:qFormat/>
    <w:uiPriority w:val="32"/>
    <w:pPr>
      <w:widowControl/>
      <w:wordWrap/>
      <w:autoSpaceDE/>
      <w:autoSpaceDN/>
      <w:ind w:left="1700" w:firstLine="0"/>
      <w:jc w:val="both"/>
    </w:pPr>
    <w:rPr>
      <w:rFonts w:ascii="Times New Roman" w:hAnsi="Times New Roman" w:eastAsia="Times New Roman" w:cstheme="minorBidi"/>
      <w:w w:val="100"/>
      <w:sz w:val="21"/>
      <w:szCs w:val="21"/>
      <w:shd w:val="clear"/>
    </w:rPr>
  </w:style>
  <w:style w:type="paragraph" w:styleId="19">
    <w:name w:val="toc 3"/>
    <w:next w:val="1"/>
    <w:unhideWhenUsed/>
    <w:qFormat/>
    <w:uiPriority w:val="30"/>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styleId="20">
    <w:name w:val="Plain Text"/>
    <w:basedOn w:val="1"/>
    <w:qFormat/>
    <w:uiPriority w:val="155"/>
    <w:rPr>
      <w:rFonts w:ascii="宋体" w:hAnsi="宋体" w:eastAsia="Courier New"/>
      <w:w w:val="100"/>
      <w:sz w:val="20"/>
      <w:szCs w:val="20"/>
      <w:shd w:val="clear"/>
    </w:rPr>
  </w:style>
  <w:style w:type="paragraph" w:styleId="21">
    <w:name w:val="toc 8"/>
    <w:next w:val="1"/>
    <w:unhideWhenUsed/>
    <w:qFormat/>
    <w:uiPriority w:val="35"/>
    <w:pPr>
      <w:widowControl/>
      <w:wordWrap/>
      <w:autoSpaceDE/>
      <w:autoSpaceDN/>
      <w:ind w:left="2975" w:firstLine="0"/>
      <w:jc w:val="both"/>
    </w:pPr>
    <w:rPr>
      <w:rFonts w:ascii="Times New Roman" w:hAnsi="Times New Roman" w:eastAsia="Times New Roman" w:cstheme="minorBidi"/>
      <w:w w:val="100"/>
      <w:sz w:val="21"/>
      <w:szCs w:val="21"/>
      <w:shd w:val="clear"/>
    </w:rPr>
  </w:style>
  <w:style w:type="paragraph" w:styleId="22">
    <w:name w:val="Balloon Text"/>
    <w:basedOn w:val="1"/>
    <w:link w:val="71"/>
    <w:qFormat/>
    <w:uiPriority w:val="156"/>
    <w:rPr>
      <w:w w:val="100"/>
      <w:sz w:val="18"/>
      <w:szCs w:val="18"/>
      <w:shd w:val="clear"/>
    </w:rPr>
  </w:style>
  <w:style w:type="paragraph" w:styleId="23">
    <w:name w:val="footer"/>
    <w:basedOn w:val="1"/>
    <w:qFormat/>
    <w:uiPriority w:val="157"/>
    <w:pPr>
      <w:widowControl/>
      <w:tabs>
        <w:tab w:val="center" w:pos="4153"/>
        <w:tab w:val="right" w:pos="8306"/>
      </w:tabs>
      <w:wordWrap/>
      <w:autoSpaceDE/>
      <w:autoSpaceDN/>
    </w:pPr>
    <w:rPr>
      <w:w w:val="100"/>
      <w:sz w:val="18"/>
      <w:szCs w:val="18"/>
      <w:shd w:val="clear"/>
    </w:rPr>
  </w:style>
  <w:style w:type="paragraph" w:styleId="24">
    <w:name w:val="header"/>
    <w:basedOn w:val="1"/>
    <w:qFormat/>
    <w:uiPriority w:val="159"/>
    <w:pPr>
      <w:widowControl/>
      <w:tabs>
        <w:tab w:val="center" w:pos="4153"/>
        <w:tab w:val="right" w:pos="8306"/>
      </w:tabs>
      <w:wordWrap/>
      <w:autoSpaceDE/>
      <w:autoSpaceDN/>
      <w:jc w:val="center"/>
    </w:pPr>
    <w:rPr>
      <w:w w:val="100"/>
      <w:sz w:val="18"/>
      <w:szCs w:val="18"/>
      <w:shd w:val="clear"/>
    </w:rPr>
  </w:style>
  <w:style w:type="paragraph" w:styleId="25">
    <w:name w:val="toc 1"/>
    <w:basedOn w:val="1"/>
    <w:next w:val="1"/>
    <w:semiHidden/>
    <w:qFormat/>
    <w:uiPriority w:val="28"/>
  </w:style>
  <w:style w:type="paragraph" w:styleId="26">
    <w:name w:val="toc 4"/>
    <w:next w:val="1"/>
    <w:unhideWhenUsed/>
    <w:qFormat/>
    <w:uiPriority w:val="31"/>
    <w:pPr>
      <w:widowControl/>
      <w:wordWrap/>
      <w:autoSpaceDE/>
      <w:autoSpaceDN/>
      <w:ind w:left="1275" w:firstLine="0"/>
      <w:jc w:val="both"/>
    </w:pPr>
    <w:rPr>
      <w:rFonts w:ascii="Times New Roman" w:hAnsi="Times New Roman" w:eastAsia="Times New Roman" w:cstheme="minorBidi"/>
      <w:w w:val="100"/>
      <w:sz w:val="21"/>
      <w:szCs w:val="21"/>
      <w:shd w:val="clear"/>
    </w:rPr>
  </w:style>
  <w:style w:type="paragraph" w:styleId="27">
    <w:name w:val="Subtitle"/>
    <w:qFormat/>
    <w:uiPriority w:val="16"/>
    <w:pPr>
      <w:widowControl/>
      <w:wordWrap/>
      <w:autoSpaceDE/>
      <w:autoSpaceDN/>
      <w:jc w:val="center"/>
    </w:pPr>
    <w:rPr>
      <w:rFonts w:ascii="Times New Roman" w:hAnsi="Times New Roman" w:eastAsia="Times New Roman" w:cstheme="minorBidi"/>
      <w:w w:val="100"/>
      <w:sz w:val="24"/>
      <w:szCs w:val="24"/>
      <w:shd w:val="clear"/>
    </w:rPr>
  </w:style>
  <w:style w:type="paragraph" w:styleId="28">
    <w:name w:val="toc 6"/>
    <w:next w:val="1"/>
    <w:unhideWhenUsed/>
    <w:qFormat/>
    <w:uiPriority w:val="33"/>
    <w:pPr>
      <w:widowControl/>
      <w:wordWrap/>
      <w:autoSpaceDE/>
      <w:autoSpaceDN/>
      <w:ind w:left="2125" w:firstLine="0"/>
      <w:jc w:val="both"/>
    </w:pPr>
    <w:rPr>
      <w:rFonts w:ascii="Times New Roman" w:hAnsi="Times New Roman" w:eastAsia="Times New Roman" w:cstheme="minorBidi"/>
      <w:w w:val="100"/>
      <w:sz w:val="21"/>
      <w:szCs w:val="21"/>
      <w:shd w:val="clear"/>
    </w:rPr>
  </w:style>
  <w:style w:type="paragraph" w:styleId="29">
    <w:name w:val="toc 2"/>
    <w:basedOn w:val="1"/>
    <w:next w:val="1"/>
    <w:semiHidden/>
    <w:qFormat/>
    <w:uiPriority w:val="29"/>
    <w:pPr>
      <w:widowControl/>
      <w:wordWrap/>
      <w:autoSpaceDE/>
      <w:autoSpaceDN/>
      <w:ind w:left="420" w:firstLine="0"/>
    </w:pPr>
  </w:style>
  <w:style w:type="paragraph" w:styleId="30">
    <w:name w:val="toc 9"/>
    <w:next w:val="1"/>
    <w:unhideWhenUsed/>
    <w:qFormat/>
    <w:uiPriority w:val="36"/>
    <w:pPr>
      <w:widowControl/>
      <w:wordWrap/>
      <w:autoSpaceDE/>
      <w:autoSpaceDN/>
      <w:ind w:left="3400" w:firstLine="0"/>
      <w:jc w:val="both"/>
    </w:pPr>
    <w:rPr>
      <w:rFonts w:ascii="Times New Roman" w:hAnsi="Times New Roman" w:eastAsia="Times New Roman" w:cstheme="minorBidi"/>
      <w:w w:val="100"/>
      <w:sz w:val="21"/>
      <w:szCs w:val="21"/>
      <w:shd w:val="clear"/>
    </w:rPr>
  </w:style>
  <w:style w:type="paragraph" w:styleId="31">
    <w:name w:val="Title"/>
    <w:qFormat/>
    <w:uiPriority w:val="6"/>
    <w:pPr>
      <w:widowControl/>
      <w:wordWrap/>
      <w:autoSpaceDE/>
      <w:autoSpaceDN/>
      <w:jc w:val="center"/>
    </w:pPr>
    <w:rPr>
      <w:rFonts w:ascii="Times New Roman" w:hAnsi="Times New Roman" w:eastAsia="Times New Roman" w:cstheme="minorBidi"/>
      <w:b/>
      <w:w w:val="100"/>
      <w:sz w:val="32"/>
      <w:szCs w:val="32"/>
      <w:shd w:val="clear"/>
    </w:rPr>
  </w:style>
  <w:style w:type="paragraph" w:styleId="32">
    <w:name w:val="annotation subject"/>
    <w:basedOn w:val="16"/>
    <w:next w:val="16"/>
    <w:link w:val="70"/>
    <w:qFormat/>
    <w:uiPriority w:val="160"/>
    <w:rPr>
      <w:b/>
      <w:w w:val="100"/>
      <w:sz w:val="20"/>
      <w:szCs w:val="20"/>
      <w:shd w:val="clear"/>
    </w:rPr>
  </w:style>
  <w:style w:type="character" w:styleId="35">
    <w:name w:val="Strong"/>
    <w:basedOn w:val="34"/>
    <w:qFormat/>
    <w:uiPriority w:val="20"/>
  </w:style>
  <w:style w:type="character" w:styleId="36">
    <w:name w:val="FollowedHyperlink"/>
    <w:basedOn w:val="34"/>
    <w:qFormat/>
    <w:uiPriority w:val="162"/>
    <w:rPr>
      <w:color w:val="800080"/>
      <w:w w:val="100"/>
      <w:sz w:val="20"/>
      <w:szCs w:val="20"/>
      <w:u w:val="none"/>
      <w:shd w:val="clear"/>
    </w:rPr>
  </w:style>
  <w:style w:type="character" w:styleId="37">
    <w:name w:val="Emphasis"/>
    <w:basedOn w:val="34"/>
    <w:qFormat/>
    <w:uiPriority w:val="18"/>
  </w:style>
  <w:style w:type="character" w:styleId="38">
    <w:name w:val="HTML Definition"/>
    <w:basedOn w:val="34"/>
    <w:qFormat/>
    <w:uiPriority w:val="163"/>
  </w:style>
  <w:style w:type="character" w:styleId="39">
    <w:name w:val="HTML Typewriter"/>
    <w:basedOn w:val="34"/>
    <w:qFormat/>
    <w:uiPriority w:val="164"/>
    <w:rPr>
      <w:rFonts w:ascii="monospace" w:hAnsi="monospace" w:eastAsia="monospace"/>
      <w:w w:val="100"/>
      <w:sz w:val="20"/>
      <w:szCs w:val="20"/>
      <w:shd w:val="clear"/>
    </w:rPr>
  </w:style>
  <w:style w:type="character" w:styleId="40">
    <w:name w:val="HTML Acronym"/>
    <w:basedOn w:val="34"/>
    <w:qFormat/>
    <w:uiPriority w:val="165"/>
  </w:style>
  <w:style w:type="character" w:styleId="41">
    <w:name w:val="HTML Variable"/>
    <w:basedOn w:val="34"/>
    <w:qFormat/>
    <w:uiPriority w:val="166"/>
  </w:style>
  <w:style w:type="character" w:styleId="42">
    <w:name w:val="Hyperlink"/>
    <w:basedOn w:val="34"/>
    <w:qFormat/>
    <w:uiPriority w:val="167"/>
    <w:rPr>
      <w:color w:val="666666"/>
      <w:w w:val="100"/>
      <w:sz w:val="20"/>
      <w:szCs w:val="20"/>
      <w:u w:val="none"/>
      <w:shd w:val="clear"/>
    </w:rPr>
  </w:style>
  <w:style w:type="character" w:styleId="43">
    <w:name w:val="HTML Code"/>
    <w:basedOn w:val="34"/>
    <w:qFormat/>
    <w:uiPriority w:val="168"/>
    <w:rPr>
      <w:rFonts w:ascii="monospace" w:hAnsi="monospace" w:eastAsia="monospace"/>
      <w:w w:val="100"/>
      <w:sz w:val="20"/>
      <w:szCs w:val="20"/>
      <w:shd w:val="clear"/>
    </w:rPr>
  </w:style>
  <w:style w:type="character" w:styleId="44">
    <w:name w:val="annotation reference"/>
    <w:basedOn w:val="34"/>
    <w:qFormat/>
    <w:uiPriority w:val="169"/>
    <w:rPr>
      <w:w w:val="100"/>
      <w:sz w:val="21"/>
      <w:szCs w:val="21"/>
      <w:shd w:val="clear"/>
    </w:rPr>
  </w:style>
  <w:style w:type="character" w:styleId="45">
    <w:name w:val="HTML Cite"/>
    <w:basedOn w:val="34"/>
    <w:qFormat/>
    <w:uiPriority w:val="170"/>
  </w:style>
  <w:style w:type="character" w:styleId="46">
    <w:name w:val="HTML Keyboard"/>
    <w:basedOn w:val="34"/>
    <w:qFormat/>
    <w:uiPriority w:val="171"/>
    <w:rPr>
      <w:rFonts w:ascii="monospace" w:hAnsi="monospace" w:eastAsia="monospace"/>
      <w:w w:val="100"/>
      <w:sz w:val="20"/>
      <w:szCs w:val="20"/>
      <w:shd w:val="clear"/>
    </w:rPr>
  </w:style>
  <w:style w:type="character" w:styleId="47">
    <w:name w:val="HTML Sample"/>
    <w:basedOn w:val="34"/>
    <w:qFormat/>
    <w:uiPriority w:val="172"/>
    <w:rPr>
      <w:rFonts w:ascii="monospace" w:hAnsi="monospace" w:eastAsia="monospace"/>
      <w:w w:val="100"/>
      <w:sz w:val="20"/>
      <w:szCs w:val="20"/>
      <w:shd w:val="clear"/>
    </w:rPr>
  </w:style>
  <w:style w:type="paragraph" w:styleId="48">
    <w:name w:val="No Spacing"/>
    <w:qFormat/>
    <w:uiPriority w:val="5"/>
    <w:pPr>
      <w:widowControl/>
      <w:wordWrap/>
      <w:autoSpaceDE/>
      <w:autoSpaceDN/>
      <w:jc w:val="both"/>
    </w:pPr>
    <w:rPr>
      <w:rFonts w:ascii="Times New Roman" w:hAnsi="Times New Roman" w:eastAsia="Times New Roman" w:cstheme="minorBidi"/>
      <w:w w:val="100"/>
      <w:sz w:val="21"/>
      <w:szCs w:val="21"/>
      <w:shd w:val="clear"/>
    </w:rPr>
  </w:style>
  <w:style w:type="character" w:customStyle="1" w:styleId="49">
    <w:name w:val="Subtle Emphasis"/>
    <w:qFormat/>
    <w:uiPriority w:val="17"/>
    <w:rPr>
      <w:i/>
      <w:color w:val="404040"/>
      <w:w w:val="100"/>
      <w:sz w:val="21"/>
      <w:szCs w:val="21"/>
      <w:shd w:val="clear"/>
    </w:rPr>
  </w:style>
  <w:style w:type="character" w:customStyle="1" w:styleId="50">
    <w:name w:val="Intense Emphasis"/>
    <w:qFormat/>
    <w:uiPriority w:val="19"/>
    <w:rPr>
      <w:i/>
      <w:color w:val="5B9BD5"/>
      <w:w w:val="100"/>
      <w:sz w:val="21"/>
      <w:szCs w:val="21"/>
      <w:shd w:val="clear"/>
    </w:rPr>
  </w:style>
  <w:style w:type="paragraph" w:styleId="51">
    <w:name w:val="Quote"/>
    <w:qFormat/>
    <w:uiPriority w:val="21"/>
    <w:pPr>
      <w:widowControl/>
      <w:wordWrap/>
      <w:autoSpaceDE/>
      <w:autoSpaceDN/>
      <w:ind w:left="864" w:right="864" w:firstLine="0"/>
      <w:jc w:val="center"/>
    </w:pPr>
    <w:rPr>
      <w:rFonts w:ascii="Times New Roman" w:hAnsi="Times New Roman" w:eastAsia="Times New Roman" w:cstheme="minorBidi"/>
      <w:i/>
      <w:color w:val="404040"/>
      <w:w w:val="100"/>
      <w:sz w:val="21"/>
      <w:szCs w:val="21"/>
      <w:shd w:val="clear"/>
    </w:rPr>
  </w:style>
  <w:style w:type="paragraph" w:styleId="52">
    <w:name w:val="Intense Quote"/>
    <w:qFormat/>
    <w:uiPriority w:val="22"/>
    <w:pPr>
      <w:widowControl/>
      <w:wordWrap/>
      <w:autoSpaceDE/>
      <w:autoSpaceDN/>
      <w:ind w:left="950" w:right="950" w:firstLine="0"/>
      <w:jc w:val="center"/>
    </w:pPr>
    <w:rPr>
      <w:rFonts w:ascii="Times New Roman" w:hAnsi="Times New Roman" w:eastAsia="Times New Roman" w:cstheme="minorBidi"/>
      <w:i/>
      <w:color w:val="5B9BD5"/>
      <w:w w:val="100"/>
      <w:sz w:val="21"/>
      <w:szCs w:val="21"/>
      <w:shd w:val="clear"/>
    </w:rPr>
  </w:style>
  <w:style w:type="character" w:customStyle="1" w:styleId="53">
    <w:name w:val="Subtle Reference"/>
    <w:qFormat/>
    <w:uiPriority w:val="23"/>
    <w:rPr>
      <w:smallCaps/>
      <w:color w:val="5A5A5A"/>
      <w:w w:val="100"/>
      <w:sz w:val="21"/>
      <w:szCs w:val="21"/>
      <w:shd w:val="clear"/>
    </w:rPr>
  </w:style>
  <w:style w:type="character" w:customStyle="1" w:styleId="54">
    <w:name w:val="Intense Reference"/>
    <w:qFormat/>
    <w:uiPriority w:val="24"/>
    <w:rPr>
      <w:b/>
      <w:smallCaps/>
      <w:color w:val="5B9BD5"/>
      <w:w w:val="100"/>
      <w:sz w:val="21"/>
      <w:szCs w:val="21"/>
      <w:shd w:val="clear"/>
    </w:rPr>
  </w:style>
  <w:style w:type="character" w:customStyle="1" w:styleId="55">
    <w:name w:val="Book Title"/>
    <w:qFormat/>
    <w:uiPriority w:val="25"/>
    <w:rPr>
      <w:b/>
      <w:i/>
      <w:w w:val="100"/>
      <w:sz w:val="21"/>
      <w:szCs w:val="21"/>
      <w:shd w:val="clear"/>
    </w:rPr>
  </w:style>
  <w:style w:type="paragraph" w:styleId="56">
    <w:name w:val="List Paragraph"/>
    <w:qFormat/>
    <w:uiPriority w:val="26"/>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customStyle="1" w:styleId="57">
    <w:name w:val="TOC Heading"/>
    <w:unhideWhenUsed/>
    <w:qFormat/>
    <w:uiPriority w:val="27"/>
    <w:pPr>
      <w:widowControl/>
      <w:wordWrap/>
      <w:autoSpaceDE/>
      <w:autoSpaceDN/>
    </w:pPr>
    <w:rPr>
      <w:rFonts w:ascii="Times New Roman" w:hAnsi="Times New Roman" w:eastAsia="Times New Roman" w:cstheme="minorBidi"/>
      <w:color w:val="2E74B5"/>
      <w:w w:val="100"/>
      <w:sz w:val="32"/>
      <w:szCs w:val="32"/>
      <w:shd w:val="clear"/>
    </w:rPr>
  </w:style>
  <w:style w:type="paragraph" w:customStyle="1" w:styleId="58">
    <w:name w:val="001大标题"/>
    <w:basedOn w:val="1"/>
    <w:qFormat/>
    <w:uiPriority w:val="173"/>
    <w:pPr>
      <w:widowControl/>
      <w:numPr>
        <w:ilvl w:val="0"/>
        <w:numId w:val="1"/>
      </w:numPr>
      <w:tabs>
        <w:tab w:val="left" w:pos="1080"/>
      </w:tabs>
      <w:wordWrap/>
      <w:autoSpaceDE/>
      <w:autoSpaceDN/>
      <w:jc w:val="center"/>
    </w:pPr>
    <w:rPr>
      <w:rFonts w:ascii="宋体" w:hAnsi="宋体" w:eastAsia="宋体"/>
      <w:b/>
      <w:w w:val="100"/>
      <w:sz w:val="30"/>
      <w:szCs w:val="30"/>
      <w:shd w:val="clear"/>
    </w:rPr>
  </w:style>
  <w:style w:type="paragraph" w:customStyle="1" w:styleId="59">
    <w:name w:val="002标题"/>
    <w:basedOn w:val="1"/>
    <w:qFormat/>
    <w:uiPriority w:val="174"/>
    <w:pPr>
      <w:widowControl/>
      <w:wordWrap/>
      <w:autoSpaceDE/>
      <w:autoSpaceDN/>
      <w:jc w:val="center"/>
    </w:pPr>
    <w:rPr>
      <w:w w:val="100"/>
      <w:sz w:val="30"/>
      <w:szCs w:val="30"/>
      <w:shd w:val="clear"/>
    </w:rPr>
  </w:style>
  <w:style w:type="paragraph" w:customStyle="1" w:styleId="60">
    <w:name w:val="样式"/>
    <w:qFormat/>
    <w:uiPriority w:val="175"/>
    <w:pPr>
      <w:widowControl/>
      <w:wordWrap/>
      <w:autoSpaceDE w:val="0"/>
      <w:autoSpaceDN w:val="0"/>
    </w:pPr>
    <w:rPr>
      <w:rFonts w:ascii="宋体" w:hAnsi="宋体" w:eastAsia="宋体" w:cstheme="minorBidi"/>
      <w:w w:val="100"/>
      <w:sz w:val="24"/>
      <w:szCs w:val="24"/>
      <w:shd w:val="clear"/>
    </w:rPr>
  </w:style>
  <w:style w:type="paragraph" w:customStyle="1" w:styleId="61">
    <w:name w:val="Table Paragraph"/>
    <w:basedOn w:val="1"/>
    <w:qFormat/>
    <w:uiPriority w:val="176"/>
    <w:rPr>
      <w:rFonts w:ascii="宋体" w:hAnsi="宋体" w:eastAsia="宋体"/>
      <w:w w:val="100"/>
      <w:sz w:val="20"/>
      <w:szCs w:val="20"/>
      <w:shd w:val="clear"/>
    </w:rPr>
  </w:style>
  <w:style w:type="paragraph" w:customStyle="1" w:styleId="62">
    <w:name w:val="01标题一"/>
    <w:basedOn w:val="1"/>
    <w:qFormat/>
    <w:uiPriority w:val="177"/>
    <w:rPr>
      <w:rFonts w:ascii="宋体" w:hAnsi="宋体" w:eastAsia="宋体"/>
      <w:b/>
      <w:w w:val="100"/>
      <w:sz w:val="28"/>
      <w:szCs w:val="28"/>
      <w:shd w:val="clear"/>
    </w:rPr>
  </w:style>
  <w:style w:type="character" w:customStyle="1" w:styleId="63">
    <w:name w:val="bds_more"/>
    <w:basedOn w:val="34"/>
    <w:qFormat/>
    <w:uiPriority w:val="178"/>
    <w:rPr>
      <w:rFonts w:ascii="宋体" w:hAnsi="宋体" w:eastAsia="宋体"/>
      <w:w w:val="100"/>
      <w:sz w:val="20"/>
      <w:szCs w:val="20"/>
      <w:shd w:val="clear"/>
    </w:rPr>
  </w:style>
  <w:style w:type="character" w:customStyle="1" w:styleId="64">
    <w:name w:val="bds_more1"/>
    <w:basedOn w:val="34"/>
    <w:qFormat/>
    <w:uiPriority w:val="179"/>
  </w:style>
  <w:style w:type="character" w:customStyle="1" w:styleId="65">
    <w:name w:val="bds_more2"/>
    <w:basedOn w:val="34"/>
    <w:qFormat/>
    <w:uiPriority w:val="180"/>
  </w:style>
  <w:style w:type="character" w:customStyle="1" w:styleId="66">
    <w:name w:val="bds_nopic"/>
    <w:basedOn w:val="34"/>
    <w:qFormat/>
    <w:uiPriority w:val="181"/>
  </w:style>
  <w:style w:type="character" w:customStyle="1" w:styleId="67">
    <w:name w:val="bds_nopic1"/>
    <w:basedOn w:val="34"/>
    <w:qFormat/>
    <w:uiPriority w:val="182"/>
  </w:style>
  <w:style w:type="character" w:customStyle="1" w:styleId="68">
    <w:name w:val="bds_nopic2"/>
    <w:basedOn w:val="34"/>
    <w:qFormat/>
    <w:uiPriority w:val="183"/>
  </w:style>
  <w:style w:type="character" w:customStyle="1" w:styleId="69">
    <w:name w:val="批注文字 Char"/>
    <w:basedOn w:val="34"/>
    <w:link w:val="16"/>
    <w:qFormat/>
    <w:uiPriority w:val="184"/>
    <w:rPr>
      <w:w w:val="100"/>
      <w:sz w:val="21"/>
      <w:szCs w:val="21"/>
      <w:shd w:val="clear"/>
    </w:rPr>
  </w:style>
  <w:style w:type="character" w:customStyle="1" w:styleId="70">
    <w:name w:val="批注主题 Char"/>
    <w:basedOn w:val="69"/>
    <w:link w:val="32"/>
    <w:qFormat/>
    <w:uiPriority w:val="185"/>
    <w:rPr>
      <w:b/>
      <w:w w:val="100"/>
      <w:sz w:val="20"/>
      <w:szCs w:val="20"/>
      <w:shd w:val="clear"/>
    </w:rPr>
  </w:style>
  <w:style w:type="character" w:customStyle="1" w:styleId="71">
    <w:name w:val="批注框文本 Char"/>
    <w:basedOn w:val="34"/>
    <w:link w:val="22"/>
    <w:qFormat/>
    <w:uiPriority w:val="186"/>
    <w:rPr>
      <w:w w:val="100"/>
      <w:sz w:val="18"/>
      <w:szCs w:val="18"/>
      <w:shd w:val="cle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1932</Words>
  <Characters>0</Characters>
  <Lines>91</Lines>
  <Paragraphs>25</Paragraphs>
  <TotalTime>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2020-08-14T00:29:00Z</dcterms:created>
  <dc:creator>啊圆呀~</dc:creator>
  <cp:lastModifiedBy>啊圆呀~</cp:lastModifiedBy>
  <dcterms:modified xsi:type="dcterms:W3CDTF">2020-08-20T02:54:36Z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