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5"/>
        <w:spacing w:line="360" w:lineRule="auto"/>
        <w:jc w:val="left"/>
        <w:rPr>
          <w:rFonts w:hint="eastAsia" w:ascii="宋体" w:hAnsi="宋体" w:eastAsia="宋体" w:cs="宋体"/>
          <w:b/>
          <w:color w:val="auto"/>
          <w:szCs w:val="28"/>
          <w:highlight w:val="none"/>
          <w:u w:val="none"/>
        </w:rPr>
      </w:pPr>
      <w:bookmarkStart w:id="0" w:name="_Toc183682346"/>
      <w:bookmarkStart w:id="1" w:name="_Toc183582209"/>
      <w:bookmarkStart w:id="2" w:name="_Toc217446038"/>
      <w:bookmarkStart w:id="3" w:name="_Toc89075875"/>
      <w:bookmarkStart w:id="4" w:name="_Toc77400779"/>
    </w:p>
    <w:p>
      <w:pPr>
        <w:wordWrap w:val="0"/>
        <w:spacing w:line="360" w:lineRule="auto"/>
        <w:rPr>
          <w:rFonts w:hint="eastAsia" w:ascii="宋体" w:hAnsi="宋体" w:eastAsia="宋体" w:cs="宋体"/>
          <w:b/>
          <w:color w:val="auto"/>
          <w:sz w:val="48"/>
          <w:szCs w:val="48"/>
          <w:highlight w:val="none"/>
        </w:rPr>
      </w:pPr>
    </w:p>
    <w:p>
      <w:pPr>
        <w:wordWrap w:val="0"/>
        <w:spacing w:line="360" w:lineRule="auto"/>
        <w:rPr>
          <w:rFonts w:hint="eastAsia" w:ascii="宋体" w:hAnsi="宋体" w:eastAsia="宋体" w:cs="宋体"/>
          <w:b/>
          <w:color w:val="auto"/>
          <w:sz w:val="48"/>
          <w:szCs w:val="48"/>
          <w:highlight w:val="none"/>
        </w:rPr>
      </w:pPr>
    </w:p>
    <w:p>
      <w:pPr>
        <w:wordWrap w:val="0"/>
        <w:spacing w:line="360" w:lineRule="auto"/>
        <w:rPr>
          <w:rFonts w:hint="eastAsia" w:ascii="宋体" w:hAnsi="宋体" w:eastAsia="宋体" w:cs="宋体"/>
          <w:b/>
          <w:color w:val="auto"/>
          <w:sz w:val="52"/>
          <w:szCs w:val="52"/>
          <w:highlight w:val="none"/>
        </w:rPr>
      </w:pPr>
    </w:p>
    <w:p>
      <w:pPr>
        <w:pStyle w:val="35"/>
        <w:wordWrap w:val="0"/>
        <w:spacing w:line="360" w:lineRule="auto"/>
        <w:jc w:val="center"/>
        <w:rPr>
          <w:rFonts w:hint="eastAsia" w:hAnsi="宋体" w:eastAsia="宋体" w:cs="宋体"/>
          <w:b/>
          <w:bCs w:val="0"/>
          <w:color w:val="auto"/>
          <w:sz w:val="44"/>
          <w:szCs w:val="44"/>
          <w:highlight w:val="none"/>
          <w:lang w:eastAsia="zh-CN"/>
        </w:rPr>
      </w:pPr>
      <w:r>
        <w:rPr>
          <w:rFonts w:hint="eastAsia" w:hAnsi="宋体" w:eastAsia="宋体" w:cs="宋体"/>
          <w:b/>
          <w:bCs w:val="0"/>
          <w:color w:val="auto"/>
          <w:sz w:val="44"/>
          <w:szCs w:val="44"/>
          <w:highlight w:val="none"/>
          <w:lang w:eastAsia="zh-CN"/>
        </w:rPr>
        <w:t>铜陵学院财经基地档案编整服务采购</w:t>
      </w:r>
    </w:p>
    <w:p>
      <w:pPr>
        <w:pStyle w:val="35"/>
        <w:wordWrap w:val="0"/>
        <w:spacing w:line="360" w:lineRule="auto"/>
        <w:jc w:val="center"/>
        <w:rPr>
          <w:rFonts w:hint="eastAsia" w:ascii="宋体" w:hAnsi="宋体" w:eastAsia="宋体" w:cs="宋体"/>
          <w:b/>
          <w:color w:val="auto"/>
          <w:sz w:val="44"/>
          <w:szCs w:val="44"/>
          <w:highlight w:val="none"/>
        </w:rPr>
      </w:pPr>
      <w:r>
        <w:rPr>
          <w:rFonts w:hint="eastAsia" w:hAnsi="宋体" w:eastAsia="宋体" w:cs="宋体"/>
          <w:b/>
          <w:color w:val="auto"/>
          <w:sz w:val="44"/>
          <w:szCs w:val="44"/>
          <w:highlight w:val="none"/>
          <w:lang w:eastAsia="zh-CN"/>
        </w:rPr>
        <w:t>市场比价</w:t>
      </w:r>
      <w:r>
        <w:rPr>
          <w:rFonts w:hint="eastAsia" w:ascii="宋体" w:hAnsi="宋体" w:eastAsia="宋体" w:cs="宋体"/>
          <w:b/>
          <w:color w:val="auto"/>
          <w:sz w:val="44"/>
          <w:szCs w:val="44"/>
          <w:highlight w:val="none"/>
        </w:rPr>
        <w:t>文件</w:t>
      </w:r>
    </w:p>
    <w:p>
      <w:pPr>
        <w:pStyle w:val="35"/>
        <w:wordWrap w:val="0"/>
        <w:spacing w:line="360" w:lineRule="auto"/>
        <w:jc w:val="center"/>
        <w:rPr>
          <w:rFonts w:hint="eastAsia" w:ascii="宋体" w:hAnsi="宋体" w:eastAsia="宋体" w:cs="宋体"/>
          <w:b/>
          <w:color w:val="auto"/>
          <w:szCs w:val="28"/>
          <w:highlight w:val="none"/>
        </w:rPr>
      </w:pPr>
    </w:p>
    <w:p>
      <w:pPr>
        <w:pStyle w:val="35"/>
        <w:spacing w:line="360" w:lineRule="auto"/>
        <w:jc w:val="center"/>
        <w:rPr>
          <w:rFonts w:hint="eastAsia" w:ascii="宋体" w:hAnsi="宋体" w:eastAsia="宋体" w:cs="宋体"/>
          <w:b/>
          <w:color w:val="auto"/>
          <w:szCs w:val="28"/>
          <w:highlight w:val="none"/>
          <w:u w:val="none"/>
          <w:lang w:eastAsia="zh-CN"/>
        </w:rPr>
      </w:pPr>
      <w:r>
        <w:rPr>
          <w:rFonts w:hint="eastAsia" w:ascii="宋体" w:hAnsi="宋体" w:eastAsia="宋体" w:cs="宋体"/>
          <w:b/>
          <w:color w:val="auto"/>
          <w:szCs w:val="28"/>
          <w:highlight w:val="none"/>
          <w:u w:val="none"/>
        </w:rPr>
        <w:t>项目编号：</w:t>
      </w:r>
      <w:r>
        <w:rPr>
          <w:rFonts w:hint="eastAsia" w:hAnsi="宋体" w:eastAsia="宋体" w:cs="宋体"/>
          <w:b/>
          <w:color w:val="auto"/>
          <w:szCs w:val="28"/>
          <w:highlight w:val="none"/>
          <w:u w:val="none"/>
          <w:lang w:val="en-US" w:eastAsia="zh-CN"/>
        </w:rPr>
        <w:t>tlxyzb</w:t>
      </w:r>
      <w:r>
        <w:rPr>
          <w:rFonts w:hint="eastAsia" w:ascii="宋体" w:hAnsi="宋体" w:eastAsia="宋体" w:cs="宋体"/>
          <w:b/>
          <w:color w:val="auto"/>
          <w:szCs w:val="28"/>
          <w:highlight w:val="none"/>
          <w:u w:val="none"/>
        </w:rPr>
        <w:t>[</w:t>
      </w:r>
      <w:r>
        <w:rPr>
          <w:rFonts w:hint="eastAsia" w:hAnsi="宋体" w:eastAsia="宋体" w:cs="宋体"/>
          <w:b/>
          <w:color w:val="auto"/>
          <w:szCs w:val="28"/>
          <w:highlight w:val="none"/>
          <w:u w:val="none"/>
          <w:lang w:eastAsia="zh-CN"/>
        </w:rPr>
        <w:t>202</w:t>
      </w:r>
      <w:r>
        <w:rPr>
          <w:rFonts w:hint="eastAsia" w:hAnsi="宋体" w:eastAsia="宋体" w:cs="宋体"/>
          <w:b/>
          <w:color w:val="auto"/>
          <w:szCs w:val="28"/>
          <w:highlight w:val="none"/>
          <w:u w:val="none"/>
          <w:lang w:val="en-US" w:eastAsia="zh-CN"/>
        </w:rPr>
        <w:t>3</w:t>
      </w:r>
      <w:r>
        <w:rPr>
          <w:rFonts w:hint="eastAsia" w:ascii="宋体" w:hAnsi="宋体" w:eastAsia="宋体" w:cs="宋体"/>
          <w:b/>
          <w:color w:val="auto"/>
          <w:szCs w:val="28"/>
          <w:highlight w:val="none"/>
          <w:u w:val="none"/>
        </w:rPr>
        <w:t>]</w:t>
      </w:r>
      <w:r>
        <w:rPr>
          <w:rFonts w:hint="eastAsia" w:hAnsi="宋体" w:eastAsia="宋体" w:cs="宋体"/>
          <w:b/>
          <w:color w:val="auto"/>
          <w:szCs w:val="28"/>
          <w:highlight w:val="none"/>
          <w:u w:val="none"/>
          <w:lang w:val="en-US" w:eastAsia="zh-CN"/>
        </w:rPr>
        <w:t xml:space="preserve"> 35</w:t>
      </w:r>
      <w:r>
        <w:rPr>
          <w:rFonts w:hint="eastAsia" w:hAnsi="宋体" w:eastAsia="宋体" w:cs="宋体"/>
          <w:b/>
          <w:color w:val="auto"/>
          <w:szCs w:val="28"/>
          <w:highlight w:val="none"/>
          <w:u w:val="none"/>
          <w:lang w:eastAsia="zh-CN"/>
        </w:rPr>
        <w:t>号</w:t>
      </w:r>
    </w:p>
    <w:p>
      <w:pPr>
        <w:pStyle w:val="35"/>
        <w:wordWrap w:val="0"/>
        <w:spacing w:line="360" w:lineRule="auto"/>
        <w:jc w:val="center"/>
        <w:rPr>
          <w:rFonts w:hint="eastAsia" w:ascii="宋体" w:hAnsi="宋体" w:eastAsia="宋体" w:cs="宋体"/>
          <w:b/>
          <w:color w:val="auto"/>
          <w:szCs w:val="28"/>
          <w:highlight w:val="none"/>
        </w:rPr>
      </w:pPr>
    </w:p>
    <w:p>
      <w:pPr>
        <w:pStyle w:val="35"/>
        <w:wordWrap w:val="0"/>
        <w:spacing w:line="360" w:lineRule="auto"/>
        <w:jc w:val="center"/>
        <w:rPr>
          <w:rFonts w:hint="eastAsia" w:ascii="宋体" w:hAnsi="宋体" w:eastAsia="宋体" w:cs="宋体"/>
          <w:b/>
          <w:color w:val="auto"/>
          <w:szCs w:val="28"/>
          <w:highlight w:val="none"/>
        </w:rPr>
      </w:pPr>
    </w:p>
    <w:p>
      <w:pPr>
        <w:pStyle w:val="35"/>
        <w:wordWrap w:val="0"/>
        <w:spacing w:line="360" w:lineRule="auto"/>
        <w:jc w:val="center"/>
        <w:rPr>
          <w:rFonts w:hint="eastAsia" w:ascii="宋体" w:hAnsi="宋体" w:eastAsia="宋体" w:cs="宋体"/>
          <w:b/>
          <w:color w:val="auto"/>
          <w:szCs w:val="28"/>
          <w:highlight w:val="none"/>
        </w:rPr>
      </w:pPr>
    </w:p>
    <w:p>
      <w:pPr>
        <w:pStyle w:val="35"/>
        <w:wordWrap w:val="0"/>
        <w:spacing w:line="360" w:lineRule="auto"/>
        <w:jc w:val="center"/>
        <w:rPr>
          <w:rFonts w:hint="eastAsia" w:ascii="宋体" w:hAnsi="宋体" w:eastAsia="宋体" w:cs="宋体"/>
          <w:b/>
          <w:color w:val="auto"/>
          <w:szCs w:val="28"/>
          <w:highlight w:val="none"/>
        </w:rPr>
      </w:pPr>
    </w:p>
    <w:p>
      <w:pPr>
        <w:pStyle w:val="35"/>
        <w:wordWrap w:val="0"/>
        <w:spacing w:line="360" w:lineRule="auto"/>
        <w:jc w:val="center"/>
        <w:rPr>
          <w:rFonts w:hint="eastAsia" w:ascii="宋体" w:hAnsi="宋体" w:eastAsia="宋体" w:cs="宋体"/>
          <w:b/>
          <w:color w:val="auto"/>
          <w:szCs w:val="28"/>
          <w:highlight w:val="none"/>
        </w:rPr>
      </w:pPr>
    </w:p>
    <w:p>
      <w:pPr>
        <w:pStyle w:val="35"/>
        <w:wordWrap w:val="0"/>
        <w:spacing w:line="360" w:lineRule="auto"/>
        <w:jc w:val="center"/>
        <w:rPr>
          <w:rFonts w:hint="eastAsia" w:ascii="宋体" w:hAnsi="宋体" w:eastAsia="宋体" w:cs="宋体"/>
          <w:b/>
          <w:color w:val="auto"/>
          <w:szCs w:val="28"/>
          <w:highlight w:val="none"/>
        </w:rPr>
      </w:pPr>
    </w:p>
    <w:p>
      <w:pPr>
        <w:pStyle w:val="35"/>
        <w:wordWrap w:val="0"/>
        <w:spacing w:line="360" w:lineRule="auto"/>
        <w:jc w:val="center"/>
        <w:rPr>
          <w:rFonts w:hint="eastAsia" w:ascii="宋体" w:hAnsi="宋体" w:eastAsia="宋体" w:cs="宋体"/>
          <w:b/>
          <w:color w:val="auto"/>
          <w:szCs w:val="28"/>
          <w:highlight w:val="none"/>
        </w:rPr>
      </w:pPr>
    </w:p>
    <w:tbl>
      <w:tblPr>
        <w:tblStyle w:val="20"/>
        <w:tblW w:w="91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64"/>
        <w:gridCol w:w="484"/>
        <w:gridCol w:w="58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2864" w:type="dxa"/>
            <w:vAlign w:val="center"/>
          </w:tcPr>
          <w:p>
            <w:pPr>
              <w:pStyle w:val="35"/>
              <w:keepNext w:val="0"/>
              <w:keepLines w:val="0"/>
              <w:suppressLineNumbers w:val="0"/>
              <w:wordWrap w:val="0"/>
              <w:spacing w:before="0" w:beforeAutospacing="0" w:after="0" w:afterAutospacing="0" w:line="360" w:lineRule="auto"/>
              <w:ind w:left="0" w:right="0"/>
              <w:jc w:val="distribute"/>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采购人</w:t>
            </w:r>
          </w:p>
        </w:tc>
        <w:tc>
          <w:tcPr>
            <w:tcW w:w="484" w:type="dxa"/>
            <w:vAlign w:val="center"/>
          </w:tcPr>
          <w:p>
            <w:pPr>
              <w:pStyle w:val="35"/>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b/>
                <w:color w:val="auto"/>
                <w:szCs w:val="28"/>
                <w:highlight w:val="none"/>
              </w:rPr>
            </w:pPr>
            <w:r>
              <w:rPr>
                <w:rFonts w:hint="eastAsia" w:ascii="宋体" w:hAnsi="宋体" w:eastAsia="宋体" w:cs="宋体"/>
                <w:b/>
                <w:color w:val="auto"/>
                <w:spacing w:val="60"/>
                <w:szCs w:val="28"/>
                <w:highlight w:val="none"/>
              </w:rPr>
              <w:t>：</w:t>
            </w:r>
          </w:p>
        </w:tc>
        <w:tc>
          <w:tcPr>
            <w:tcW w:w="5834" w:type="dxa"/>
            <w:vAlign w:val="center"/>
          </w:tcPr>
          <w:p>
            <w:pPr>
              <w:pStyle w:val="35"/>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b/>
                <w:color w:val="auto"/>
                <w:szCs w:val="28"/>
                <w:highlight w:val="none"/>
              </w:rPr>
            </w:pPr>
            <w:r>
              <w:rPr>
                <w:rFonts w:hint="eastAsia" w:hAnsi="宋体" w:eastAsia="宋体" w:cs="宋体"/>
                <w:b/>
                <w:bCs/>
                <w:color w:val="auto"/>
                <w:szCs w:val="28"/>
                <w:highlight w:val="none"/>
                <w:lang w:eastAsia="zh-CN"/>
              </w:rPr>
              <w:t>铜陵学院</w:t>
            </w:r>
            <w:r>
              <w:rPr>
                <w:rFonts w:hint="eastAsia" w:ascii="宋体" w:hAnsi="宋体" w:eastAsia="宋体" w:cs="宋体"/>
                <w:b/>
                <w:bCs/>
                <w:color w:val="auto"/>
                <w:szCs w:val="28"/>
                <w:highlight w:val="none"/>
              </w:rPr>
              <w:t>（盖章</w:t>
            </w:r>
            <w:r>
              <w:rPr>
                <w:rFonts w:hint="eastAsia" w:ascii="宋体" w:hAnsi="宋体" w:eastAsia="宋体" w:cs="宋体"/>
                <w:b/>
                <w:color w:val="auto"/>
                <w:sz w:val="24"/>
                <w:szCs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80" w:hRule="atLeast"/>
        </w:trPr>
        <w:tc>
          <w:tcPr>
            <w:tcW w:w="2864" w:type="dxa"/>
            <w:vAlign w:val="center"/>
          </w:tcPr>
          <w:p>
            <w:pPr>
              <w:pStyle w:val="35"/>
              <w:keepNext w:val="0"/>
              <w:keepLines w:val="0"/>
              <w:suppressLineNumbers w:val="0"/>
              <w:wordWrap w:val="0"/>
              <w:spacing w:before="0" w:beforeAutospacing="0" w:after="0" w:afterAutospacing="0" w:line="360" w:lineRule="auto"/>
              <w:ind w:left="0" w:right="0"/>
              <w:jc w:val="distribute"/>
              <w:rPr>
                <w:rFonts w:hint="eastAsia" w:ascii="宋体" w:hAnsi="宋体" w:eastAsia="宋体" w:cs="宋体"/>
                <w:b/>
                <w:color w:val="auto"/>
                <w:spacing w:val="60"/>
                <w:szCs w:val="28"/>
                <w:highlight w:val="none"/>
              </w:rPr>
            </w:pPr>
            <w:r>
              <w:rPr>
                <w:rFonts w:hint="eastAsia" w:ascii="宋体" w:hAnsi="宋体" w:eastAsia="宋体" w:cs="宋体"/>
                <w:b/>
                <w:color w:val="auto"/>
                <w:spacing w:val="60"/>
                <w:szCs w:val="28"/>
                <w:highlight w:val="none"/>
              </w:rPr>
              <w:t>日期</w:t>
            </w:r>
          </w:p>
        </w:tc>
        <w:tc>
          <w:tcPr>
            <w:tcW w:w="484" w:type="dxa"/>
            <w:vAlign w:val="center"/>
          </w:tcPr>
          <w:p>
            <w:pPr>
              <w:pStyle w:val="35"/>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b/>
                <w:color w:val="auto"/>
                <w:spacing w:val="-20"/>
                <w:szCs w:val="28"/>
                <w:highlight w:val="none"/>
              </w:rPr>
            </w:pPr>
            <w:r>
              <w:rPr>
                <w:rFonts w:hint="eastAsia" w:ascii="宋体" w:hAnsi="宋体" w:eastAsia="宋体" w:cs="宋体"/>
                <w:b/>
                <w:color w:val="auto"/>
                <w:spacing w:val="-20"/>
                <w:szCs w:val="28"/>
                <w:highlight w:val="none"/>
              </w:rPr>
              <w:t>：</w:t>
            </w:r>
          </w:p>
        </w:tc>
        <w:tc>
          <w:tcPr>
            <w:tcW w:w="5834" w:type="dxa"/>
            <w:vAlign w:val="center"/>
          </w:tcPr>
          <w:p>
            <w:pPr>
              <w:pStyle w:val="35"/>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b/>
                <w:bCs/>
                <w:color w:val="auto"/>
                <w:szCs w:val="28"/>
                <w:highlight w:val="none"/>
              </w:rPr>
            </w:pPr>
            <w:r>
              <w:rPr>
                <w:rFonts w:hint="eastAsia" w:hAnsi="宋体" w:eastAsia="宋体" w:cs="宋体"/>
                <w:b/>
                <w:bCs/>
                <w:color w:val="auto"/>
                <w:szCs w:val="28"/>
                <w:highlight w:val="none"/>
                <w:lang w:eastAsia="zh-CN"/>
              </w:rPr>
              <w:t>202</w:t>
            </w:r>
            <w:r>
              <w:rPr>
                <w:rFonts w:hint="eastAsia" w:hAnsi="宋体" w:eastAsia="宋体" w:cs="宋体"/>
                <w:b/>
                <w:bCs/>
                <w:color w:val="auto"/>
                <w:szCs w:val="28"/>
                <w:highlight w:val="none"/>
                <w:lang w:val="en-US" w:eastAsia="zh-CN"/>
              </w:rPr>
              <w:t>3</w:t>
            </w:r>
            <w:r>
              <w:rPr>
                <w:rFonts w:hint="eastAsia" w:ascii="宋体" w:hAnsi="宋体" w:eastAsia="宋体" w:cs="宋体"/>
                <w:b/>
                <w:bCs/>
                <w:color w:val="auto"/>
                <w:szCs w:val="28"/>
                <w:highlight w:val="none"/>
              </w:rPr>
              <w:t>年</w:t>
            </w:r>
            <w:r>
              <w:rPr>
                <w:rFonts w:hint="eastAsia" w:hAnsi="宋体" w:eastAsia="宋体" w:cs="宋体"/>
                <w:b/>
                <w:bCs/>
                <w:color w:val="auto"/>
                <w:szCs w:val="28"/>
                <w:highlight w:val="none"/>
                <w:lang w:val="en-US" w:eastAsia="zh-CN"/>
              </w:rPr>
              <w:t>04</w:t>
            </w:r>
            <w:r>
              <w:rPr>
                <w:rFonts w:hint="eastAsia" w:ascii="宋体" w:hAnsi="宋体" w:eastAsia="宋体" w:cs="宋体"/>
                <w:b/>
                <w:bCs/>
                <w:color w:val="auto"/>
                <w:szCs w:val="28"/>
                <w:highlight w:val="none"/>
                <w:lang w:val="en-US" w:eastAsia="zh-CN"/>
              </w:rPr>
              <w:t>月</w:t>
            </w:r>
          </w:p>
        </w:tc>
      </w:tr>
    </w:tbl>
    <w:p>
      <w:pPr>
        <w:pStyle w:val="35"/>
        <w:spacing w:line="360" w:lineRule="auto"/>
        <w:jc w:val="center"/>
        <w:rPr>
          <w:rFonts w:hint="eastAsia" w:ascii="宋体" w:hAnsi="宋体" w:eastAsia="宋体" w:cs="宋体"/>
          <w:color w:val="auto"/>
          <w:szCs w:val="28"/>
          <w:highlight w:val="none"/>
        </w:rPr>
      </w:pPr>
      <w:r>
        <w:rPr>
          <w:rFonts w:hint="eastAsia" w:ascii="宋体" w:hAnsi="宋体" w:eastAsia="宋体" w:cs="宋体"/>
          <w:color w:val="auto"/>
          <w:szCs w:val="28"/>
          <w:highlight w:val="none"/>
        </w:rPr>
        <w:br w:type="page"/>
      </w:r>
    </w:p>
    <w:p>
      <w:pPr>
        <w:pStyle w:val="35"/>
        <w:spacing w:line="360" w:lineRule="auto"/>
        <w:jc w:val="center"/>
        <w:rPr>
          <w:rFonts w:hint="eastAsia" w:ascii="宋体" w:hAnsi="宋体" w:eastAsia="宋体" w:cs="宋体"/>
          <w:b/>
          <w:color w:val="auto"/>
          <w:kern w:val="44"/>
          <w:szCs w:val="28"/>
          <w:highlight w:val="none"/>
        </w:rPr>
      </w:pPr>
      <w:r>
        <w:rPr>
          <w:rFonts w:hint="eastAsia" w:ascii="宋体" w:hAnsi="宋体" w:eastAsia="宋体" w:cs="宋体"/>
          <w:b/>
          <w:color w:val="auto"/>
          <w:kern w:val="44"/>
          <w:sz w:val="36"/>
          <w:szCs w:val="36"/>
          <w:highlight w:val="none"/>
        </w:rPr>
        <w:t>目    录</w:t>
      </w:r>
    </w:p>
    <w:p>
      <w:pPr>
        <w:pStyle w:val="35"/>
        <w:spacing w:line="360" w:lineRule="auto"/>
        <w:jc w:val="center"/>
        <w:rPr>
          <w:rFonts w:hint="eastAsia" w:ascii="宋体" w:hAnsi="宋体" w:eastAsia="宋体" w:cs="宋体"/>
          <w:b/>
          <w:color w:val="auto"/>
          <w:kern w:val="44"/>
          <w:szCs w:val="28"/>
          <w:highlight w:val="none"/>
        </w:rPr>
      </w:pPr>
    </w:p>
    <w:p>
      <w:pPr>
        <w:pStyle w:val="35"/>
        <w:numPr>
          <w:ilvl w:val="0"/>
          <w:numId w:val="1"/>
        </w:num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hAnsi="宋体" w:eastAsia="宋体" w:cs="宋体"/>
          <w:color w:val="auto"/>
          <w:sz w:val="28"/>
          <w:szCs w:val="28"/>
          <w:highlight w:val="none"/>
          <w:lang w:eastAsia="zh-CN"/>
        </w:rPr>
        <w:t>市场比价</w:t>
      </w:r>
      <w:r>
        <w:rPr>
          <w:rFonts w:hint="eastAsia" w:ascii="宋体" w:hAnsi="宋体" w:eastAsia="宋体" w:cs="宋体"/>
          <w:color w:val="auto"/>
          <w:sz w:val="28"/>
          <w:szCs w:val="28"/>
          <w:highlight w:val="none"/>
          <w:lang w:eastAsia="zh-CN"/>
        </w:rPr>
        <w:t>公告</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第二章  </w:t>
      </w:r>
      <w:r>
        <w:rPr>
          <w:rFonts w:hint="eastAsia" w:ascii="宋体" w:hAnsi="宋体" w:cs="宋体"/>
          <w:color w:val="auto"/>
          <w:sz w:val="28"/>
          <w:szCs w:val="28"/>
          <w:highlight w:val="none"/>
          <w:lang w:eastAsia="zh-CN"/>
        </w:rPr>
        <w:t>市场比价</w:t>
      </w:r>
      <w:r>
        <w:rPr>
          <w:rFonts w:hint="eastAsia" w:ascii="宋体" w:hAnsi="宋体" w:eastAsia="宋体" w:cs="宋体"/>
          <w:color w:val="auto"/>
          <w:sz w:val="28"/>
          <w:szCs w:val="28"/>
          <w:highlight w:val="none"/>
        </w:rPr>
        <w:t>响应供应商须知前附表</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第三章  </w:t>
      </w:r>
      <w:r>
        <w:rPr>
          <w:rFonts w:hint="eastAsia" w:ascii="宋体" w:hAnsi="宋体" w:cs="宋体"/>
          <w:color w:val="auto"/>
          <w:sz w:val="28"/>
          <w:szCs w:val="28"/>
          <w:highlight w:val="none"/>
          <w:lang w:eastAsia="zh-CN"/>
        </w:rPr>
        <w:t>市场比价</w:t>
      </w:r>
      <w:r>
        <w:rPr>
          <w:rFonts w:hint="eastAsia" w:ascii="宋体" w:hAnsi="宋体" w:eastAsia="宋体" w:cs="宋体"/>
          <w:color w:val="auto"/>
          <w:sz w:val="28"/>
          <w:szCs w:val="28"/>
          <w:highlight w:val="none"/>
        </w:rPr>
        <w:t>响应供应商须知</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（一）总则</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w:t>
      </w:r>
      <w:r>
        <w:rPr>
          <w:rFonts w:hint="eastAsia" w:ascii="宋体" w:hAnsi="宋体" w:cs="宋体"/>
          <w:color w:val="auto"/>
          <w:sz w:val="28"/>
          <w:szCs w:val="28"/>
          <w:highlight w:val="none"/>
          <w:lang w:eastAsia="zh-CN"/>
        </w:rPr>
        <w:t>市场比价</w:t>
      </w:r>
      <w:r>
        <w:rPr>
          <w:rFonts w:hint="eastAsia" w:ascii="宋体" w:hAnsi="宋体" w:eastAsia="宋体" w:cs="宋体"/>
          <w:color w:val="auto"/>
          <w:sz w:val="28"/>
          <w:szCs w:val="28"/>
          <w:highlight w:val="none"/>
        </w:rPr>
        <w:t>文件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w:t>
      </w:r>
      <w:r>
        <w:rPr>
          <w:rFonts w:hint="eastAsia" w:ascii="宋体" w:hAnsi="宋体" w:cs="宋体"/>
          <w:color w:val="auto"/>
          <w:sz w:val="28"/>
          <w:szCs w:val="28"/>
          <w:highlight w:val="none"/>
          <w:lang w:eastAsia="zh-CN"/>
        </w:rPr>
        <w:t>市场比价</w:t>
      </w:r>
      <w:r>
        <w:rPr>
          <w:rFonts w:hint="eastAsia" w:ascii="宋体" w:hAnsi="宋体" w:eastAsia="宋体" w:cs="宋体"/>
          <w:color w:val="auto"/>
          <w:sz w:val="28"/>
          <w:szCs w:val="28"/>
          <w:highlight w:val="none"/>
        </w:rPr>
        <w:t>响应供应商</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w:t>
      </w:r>
      <w:r>
        <w:rPr>
          <w:rFonts w:hint="eastAsia" w:ascii="宋体" w:hAnsi="宋体" w:cs="宋体"/>
          <w:color w:val="auto"/>
          <w:sz w:val="28"/>
          <w:szCs w:val="28"/>
          <w:highlight w:val="none"/>
          <w:lang w:eastAsia="zh-CN"/>
        </w:rPr>
        <w:t>市场比价</w:t>
      </w:r>
      <w:r>
        <w:rPr>
          <w:rFonts w:hint="eastAsia" w:ascii="宋体" w:hAnsi="宋体" w:eastAsia="宋体" w:cs="宋体"/>
          <w:color w:val="auto"/>
          <w:sz w:val="28"/>
          <w:szCs w:val="28"/>
          <w:highlight w:val="none"/>
        </w:rPr>
        <w:t>响应文件的编制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（五）</w:t>
      </w:r>
      <w:r>
        <w:rPr>
          <w:rFonts w:hint="eastAsia" w:ascii="宋体" w:hAnsi="宋体" w:cs="宋体"/>
          <w:color w:val="auto"/>
          <w:sz w:val="28"/>
          <w:szCs w:val="28"/>
          <w:highlight w:val="none"/>
          <w:lang w:eastAsia="zh-CN"/>
        </w:rPr>
        <w:t>市场比价</w:t>
      </w:r>
      <w:r>
        <w:rPr>
          <w:rFonts w:hint="eastAsia" w:ascii="宋体" w:hAnsi="宋体" w:eastAsia="宋体" w:cs="宋体"/>
          <w:color w:val="auto"/>
          <w:sz w:val="28"/>
          <w:szCs w:val="28"/>
          <w:highlight w:val="none"/>
        </w:rPr>
        <w:t>响应文件的递交</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（六）开标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（七）评标定标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（八）废标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（九）评标办法</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（十）合同的签订、履行及验收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第四章  项目需求</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第五章  采购合同</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第六章 </w:t>
      </w:r>
      <w:r>
        <w:rPr>
          <w:rFonts w:hint="eastAsia" w:ascii="宋体" w:hAnsi="宋体" w:cs="宋体"/>
          <w:color w:val="auto"/>
          <w:sz w:val="28"/>
          <w:szCs w:val="28"/>
          <w:highlight w:val="none"/>
          <w:lang w:eastAsia="zh-CN"/>
        </w:rPr>
        <w:t>市场比价</w:t>
      </w:r>
      <w:r>
        <w:rPr>
          <w:rFonts w:hint="eastAsia" w:ascii="宋体" w:hAnsi="宋体" w:eastAsia="宋体" w:cs="宋体"/>
          <w:color w:val="auto"/>
          <w:sz w:val="28"/>
          <w:szCs w:val="28"/>
          <w:highlight w:val="none"/>
        </w:rPr>
        <w:t>文件格式</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（一）资格、技术商务部分</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（二）报价部分</w:t>
      </w:r>
    </w:p>
    <w:p>
      <w:pPr>
        <w:spacing w:line="360" w:lineRule="auto"/>
        <w:rPr>
          <w:rFonts w:hint="eastAsia" w:ascii="宋体" w:hAnsi="宋体" w:eastAsia="宋体" w:cs="宋体"/>
          <w:color w:val="auto"/>
          <w:sz w:val="28"/>
          <w:szCs w:val="28"/>
          <w:highlight w:val="none"/>
        </w:rPr>
      </w:pPr>
    </w:p>
    <w:p>
      <w:pPr>
        <w:pStyle w:val="4"/>
        <w:spacing w:line="360" w:lineRule="auto"/>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第一章 </w:t>
      </w:r>
      <w:r>
        <w:rPr>
          <w:rFonts w:hint="eastAsia" w:ascii="宋体" w:hAnsi="宋体" w:eastAsia="宋体" w:cs="宋体"/>
          <w:color w:val="auto"/>
          <w:sz w:val="30"/>
          <w:szCs w:val="30"/>
          <w:highlight w:val="none"/>
          <w:lang w:eastAsia="zh-CN"/>
        </w:rPr>
        <w:t>市场比价公告</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一、项目基本情况</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1.项目编号：</w:t>
      </w:r>
      <w:r>
        <w:rPr>
          <w:rFonts w:hint="eastAsia" w:ascii="宋体" w:hAnsi="宋体" w:cs="宋体"/>
          <w:color w:val="auto"/>
          <w:kern w:val="0"/>
          <w:sz w:val="24"/>
          <w:szCs w:val="24"/>
          <w:highlight w:val="none"/>
          <w:lang w:val="en-US" w:eastAsia="zh-CN"/>
        </w:rPr>
        <w:t>tlxyzb</w:t>
      </w:r>
      <w:r>
        <w:rPr>
          <w:rFonts w:hint="eastAsia" w:ascii="宋体" w:hAnsi="宋体" w:eastAsia="宋体" w:cs="宋体"/>
          <w:color w:val="auto"/>
          <w:kern w:val="0"/>
          <w:sz w:val="24"/>
          <w:szCs w:val="24"/>
          <w:highlight w:val="none"/>
          <w:lang w:val="en-US" w:eastAsia="zh-CN"/>
        </w:rPr>
        <w:t>[202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35</w:t>
      </w:r>
      <w:r>
        <w:rPr>
          <w:rFonts w:hint="eastAsia" w:ascii="宋体" w:hAnsi="宋体" w:eastAsia="宋体" w:cs="宋体"/>
          <w:color w:val="auto"/>
          <w:kern w:val="0"/>
          <w:sz w:val="24"/>
          <w:szCs w:val="24"/>
          <w:highlight w:val="none"/>
          <w:lang w:val="en-US" w:eastAsia="zh-CN"/>
        </w:rPr>
        <w:t xml:space="preserve">号                </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2.项目名称</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铜陵学院财经教育产教融合实训基地A、B组团工程全过程档</w:t>
      </w:r>
      <w:r>
        <w:rPr>
          <w:rFonts w:hint="eastAsia" w:ascii="宋体" w:hAnsi="宋体" w:cs="宋体"/>
          <w:color w:val="auto"/>
          <w:kern w:val="0"/>
          <w:sz w:val="24"/>
          <w:szCs w:val="24"/>
          <w:highlight w:val="none"/>
          <w:lang w:val="en-US" w:eastAsia="zh-CN"/>
        </w:rPr>
        <w:t>案编整服务采购</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3.采购方式：</w:t>
      </w:r>
      <w:r>
        <w:rPr>
          <w:rFonts w:hint="eastAsia" w:ascii="宋体" w:hAnsi="宋体" w:cs="宋体"/>
          <w:color w:val="auto"/>
          <w:kern w:val="0"/>
          <w:sz w:val="24"/>
          <w:szCs w:val="24"/>
          <w:highlight w:val="none"/>
          <w:lang w:val="en-US" w:eastAsia="zh-CN"/>
        </w:rPr>
        <w:t>市场比价</w:t>
      </w:r>
      <w:r>
        <w:rPr>
          <w:rFonts w:hint="eastAsia" w:ascii="宋体" w:hAnsi="宋体" w:eastAsia="宋体" w:cs="宋体"/>
          <w:color w:val="auto"/>
          <w:kern w:val="0"/>
          <w:sz w:val="24"/>
          <w:szCs w:val="24"/>
          <w:highlight w:val="none"/>
          <w:lang w:val="en-US" w:eastAsia="zh-CN"/>
        </w:rPr>
        <w:t xml:space="preserve"> </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4.预算金额：</w:t>
      </w:r>
      <w:r>
        <w:rPr>
          <w:rFonts w:hint="eastAsia" w:ascii="宋体" w:hAnsi="宋体" w:cs="宋体"/>
          <w:color w:val="auto"/>
          <w:kern w:val="0"/>
          <w:sz w:val="24"/>
          <w:szCs w:val="24"/>
          <w:highlight w:val="none"/>
          <w:lang w:val="en-US" w:eastAsia="zh-CN"/>
        </w:rPr>
        <w:t>5万</w:t>
      </w:r>
      <w:r>
        <w:rPr>
          <w:rFonts w:hint="eastAsia" w:ascii="宋体" w:hAnsi="宋体" w:eastAsia="宋体" w:cs="宋体"/>
          <w:color w:val="auto"/>
          <w:kern w:val="0"/>
          <w:sz w:val="24"/>
          <w:szCs w:val="24"/>
          <w:highlight w:val="none"/>
          <w:lang w:val="en-US" w:eastAsia="zh-CN"/>
        </w:rPr>
        <w:t>元</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5.最高限价：</w:t>
      </w:r>
      <w:r>
        <w:rPr>
          <w:rFonts w:hint="eastAsia" w:ascii="宋体" w:hAnsi="宋体" w:cs="宋体"/>
          <w:color w:val="auto"/>
          <w:kern w:val="0"/>
          <w:sz w:val="24"/>
          <w:szCs w:val="24"/>
          <w:highlight w:val="none"/>
          <w:lang w:val="en-US" w:eastAsia="zh-CN"/>
        </w:rPr>
        <w:t>5万</w:t>
      </w:r>
      <w:r>
        <w:rPr>
          <w:rFonts w:hint="eastAsia" w:ascii="宋体" w:hAnsi="宋体" w:eastAsia="宋体" w:cs="宋体"/>
          <w:color w:val="auto"/>
          <w:kern w:val="0"/>
          <w:sz w:val="24"/>
          <w:szCs w:val="24"/>
          <w:highlight w:val="none"/>
          <w:lang w:val="en-US" w:eastAsia="zh-CN"/>
        </w:rPr>
        <w:t>元</w:t>
      </w:r>
    </w:p>
    <w:p>
      <w:pPr>
        <w:adjustRightInd w:val="0"/>
        <w:snapToGrid w:val="0"/>
        <w:spacing w:line="42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6.资金来源：自筹</w:t>
      </w:r>
      <w:r>
        <w:rPr>
          <w:rFonts w:hint="eastAsia" w:ascii="宋体" w:hAnsi="宋体" w:cs="宋体"/>
          <w:color w:val="auto"/>
          <w:kern w:val="0"/>
          <w:sz w:val="24"/>
          <w:szCs w:val="24"/>
          <w:highlight w:val="none"/>
          <w:lang w:val="en-US" w:eastAsia="zh-CN"/>
        </w:rPr>
        <w:t>，已落实</w:t>
      </w:r>
      <w:r>
        <w:rPr>
          <w:rFonts w:hint="eastAsia" w:ascii="宋体" w:hAnsi="宋体" w:eastAsia="宋体" w:cs="宋体"/>
          <w:color w:val="auto"/>
          <w:kern w:val="0"/>
          <w:sz w:val="24"/>
          <w:szCs w:val="24"/>
          <w:highlight w:val="none"/>
          <w:lang w:val="en-US" w:eastAsia="zh-CN"/>
        </w:rPr>
        <w:t>；</w:t>
      </w:r>
    </w:p>
    <w:p>
      <w:pPr>
        <w:adjustRightInd w:val="0"/>
        <w:snapToGrid w:val="0"/>
        <w:spacing w:line="42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lang w:val="en-US" w:eastAsia="zh-CN"/>
        </w:rPr>
        <w:t>.建设地点：铜陵学院翠湖校区 ；</w:t>
      </w:r>
    </w:p>
    <w:p>
      <w:pPr>
        <w:adjustRightInd w:val="0"/>
        <w:snapToGrid w:val="0"/>
        <w:spacing w:line="42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lang w:val="en-US" w:eastAsia="zh-CN"/>
        </w:rPr>
        <w:t>.建设规模：铜陵学院财经教育产教融合实训基地（A、B组团）项目总建筑面积为55214.67㎡，其中财经教育产教融合实训基地（A组团）建筑主楼地上十层、地下一层；裙楼地上六层、地下一层。财经教育产教融合实训基地（B组团）建筑地上六层、地下一层；</w:t>
      </w:r>
    </w:p>
    <w:p>
      <w:pPr>
        <w:adjustRightInd w:val="0"/>
        <w:snapToGrid w:val="0"/>
        <w:spacing w:line="42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lang w:val="en-US" w:eastAsia="zh-CN"/>
        </w:rPr>
        <w:t>.建设合同价：约28000万元 ；</w:t>
      </w:r>
    </w:p>
    <w:p>
      <w:pPr>
        <w:adjustRightInd w:val="0"/>
        <w:snapToGrid w:val="0"/>
        <w:spacing w:line="42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lang w:val="en-US" w:eastAsia="zh-CN"/>
        </w:rPr>
        <w:t>.建设合同工期：650 日历天。</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二、投标供应商资格</w:t>
      </w:r>
    </w:p>
    <w:p>
      <w:pPr>
        <w:widowControl/>
        <w:shd w:val="clear" w:color="auto" w:fill="FFFFFF"/>
        <w:spacing w:line="360" w:lineRule="auto"/>
        <w:ind w:firstLine="480" w:firstLineChars="200"/>
        <w:rPr>
          <w:rStyle w:val="116"/>
          <w:rFonts w:hint="eastAsia" w:ascii="宋体" w:hAnsi="宋体" w:eastAsia="宋体" w:cs="宋体"/>
          <w:color w:val="auto"/>
          <w:kern w:val="2"/>
          <w:sz w:val="24"/>
          <w:szCs w:val="24"/>
          <w:highlight w:val="none"/>
          <w:lang w:val="en-US" w:eastAsia="zh-CN" w:bidi="ar-SA"/>
        </w:rPr>
      </w:pPr>
      <w:r>
        <w:rPr>
          <w:rStyle w:val="116"/>
          <w:rFonts w:hint="eastAsia" w:ascii="宋体" w:hAnsi="宋体" w:eastAsia="宋体" w:cs="宋体"/>
          <w:color w:val="auto"/>
          <w:kern w:val="2"/>
          <w:sz w:val="24"/>
          <w:szCs w:val="24"/>
          <w:highlight w:val="none"/>
          <w:lang w:val="en-US" w:eastAsia="zh-CN" w:bidi="ar-SA"/>
        </w:rPr>
        <w:t>1.必须是中华人民共和国境内注册的企业法人或事业单位法人，必须具有工商管理部门核发的有效营业执照，业务范围必须包括档案整理类项目；（复印件加盖公章）</w:t>
      </w:r>
    </w:p>
    <w:p>
      <w:pPr>
        <w:widowControl/>
        <w:shd w:val="clear" w:color="auto" w:fill="FFFFFF"/>
        <w:spacing w:line="360" w:lineRule="auto"/>
        <w:ind w:firstLine="480" w:firstLineChars="200"/>
        <w:rPr>
          <w:rStyle w:val="116"/>
          <w:rFonts w:hint="eastAsia" w:ascii="宋体" w:hAnsi="宋体" w:eastAsia="宋体" w:cs="宋体"/>
          <w:color w:val="auto"/>
          <w:kern w:val="2"/>
          <w:sz w:val="24"/>
          <w:szCs w:val="24"/>
          <w:highlight w:val="none"/>
          <w:lang w:val="en-US" w:eastAsia="zh-CN" w:bidi="ar-SA"/>
        </w:rPr>
      </w:pPr>
      <w:r>
        <w:rPr>
          <w:rStyle w:val="116"/>
          <w:rFonts w:hint="eastAsia" w:ascii="宋体" w:hAnsi="宋体" w:eastAsia="宋体" w:cs="宋体"/>
          <w:color w:val="auto"/>
          <w:kern w:val="2"/>
          <w:sz w:val="24"/>
          <w:szCs w:val="24"/>
          <w:highlight w:val="none"/>
          <w:lang w:val="en-US" w:eastAsia="zh-CN" w:bidi="ar-SA"/>
        </w:rPr>
        <w:t>2.投标人2020 年1月1日以来完成过2次（含）以上建筑面积≥20000㎡的新建建筑档案编整业绩。（时间以《建设工程档案验收申请表》</w:t>
      </w:r>
      <w:r>
        <w:rPr>
          <w:rStyle w:val="116"/>
          <w:rFonts w:hint="eastAsia" w:ascii="宋体" w:hAnsi="宋体" w:cs="宋体"/>
          <w:color w:val="auto"/>
          <w:kern w:val="2"/>
          <w:sz w:val="24"/>
          <w:szCs w:val="24"/>
          <w:highlight w:val="none"/>
          <w:lang w:val="en-US" w:eastAsia="zh-CN" w:bidi="ar-SA"/>
        </w:rPr>
        <w:t>地</w:t>
      </w:r>
      <w:r>
        <w:rPr>
          <w:rStyle w:val="116"/>
          <w:rFonts w:hint="eastAsia" w:ascii="宋体" w:hAnsi="宋体" w:eastAsia="宋体" w:cs="宋体"/>
          <w:color w:val="auto"/>
          <w:kern w:val="2"/>
          <w:sz w:val="24"/>
          <w:szCs w:val="24"/>
          <w:highlight w:val="none"/>
          <w:lang w:val="en-US" w:eastAsia="zh-CN" w:bidi="ar-SA"/>
        </w:rPr>
        <w:t>市</w:t>
      </w:r>
      <w:r>
        <w:rPr>
          <w:rStyle w:val="116"/>
          <w:rFonts w:hint="eastAsia" w:ascii="宋体" w:hAnsi="宋体" w:cs="宋体"/>
          <w:color w:val="auto"/>
          <w:kern w:val="2"/>
          <w:sz w:val="24"/>
          <w:szCs w:val="24"/>
          <w:highlight w:val="none"/>
          <w:lang w:val="en-US" w:eastAsia="zh-CN" w:bidi="ar-SA"/>
        </w:rPr>
        <w:t>级</w:t>
      </w:r>
      <w:r>
        <w:rPr>
          <w:rStyle w:val="116"/>
          <w:rFonts w:hint="eastAsia" w:ascii="宋体" w:hAnsi="宋体" w:eastAsia="宋体" w:cs="宋体"/>
          <w:color w:val="auto"/>
          <w:kern w:val="2"/>
          <w:sz w:val="24"/>
          <w:szCs w:val="24"/>
          <w:highlight w:val="none"/>
          <w:lang w:val="en-US" w:eastAsia="zh-CN" w:bidi="ar-SA"/>
        </w:rPr>
        <w:t xml:space="preserve">城市基本建设档案馆签字盖章时间为准；建筑面积以《建设工程档案验收申请表》中登记建筑面积为准）； </w:t>
      </w:r>
    </w:p>
    <w:p>
      <w:pPr>
        <w:widowControl/>
        <w:shd w:val="clear" w:color="auto" w:fill="FFFFFF"/>
        <w:spacing w:line="360" w:lineRule="auto"/>
        <w:ind w:firstLine="480" w:firstLineChars="200"/>
        <w:rPr>
          <w:rStyle w:val="116"/>
          <w:rFonts w:hint="eastAsia" w:ascii="宋体" w:hAnsi="宋体" w:eastAsia="宋体" w:cs="宋体"/>
          <w:color w:val="auto"/>
          <w:kern w:val="2"/>
          <w:sz w:val="24"/>
          <w:szCs w:val="24"/>
          <w:highlight w:val="none"/>
          <w:lang w:val="en-US" w:eastAsia="zh-CN" w:bidi="ar-SA"/>
        </w:rPr>
      </w:pPr>
      <w:r>
        <w:rPr>
          <w:rStyle w:val="116"/>
          <w:rFonts w:hint="eastAsia" w:ascii="宋体" w:hAnsi="宋体" w:eastAsia="宋体" w:cs="宋体"/>
          <w:color w:val="auto"/>
          <w:kern w:val="2"/>
          <w:sz w:val="24"/>
          <w:szCs w:val="24"/>
          <w:highlight w:val="none"/>
          <w:lang w:val="en-US" w:eastAsia="zh-CN" w:bidi="ar-SA"/>
        </w:rPr>
        <w:t>3.法定代表人身份证明书或法人授权委托书；（加盖公章）。</w:t>
      </w:r>
    </w:p>
    <w:p>
      <w:pPr>
        <w:widowControl/>
        <w:shd w:val="clear" w:color="auto" w:fill="FFFFFF"/>
        <w:spacing w:line="360" w:lineRule="auto"/>
        <w:ind w:firstLine="480" w:firstLineChars="200"/>
        <w:rPr>
          <w:rStyle w:val="116"/>
          <w:rFonts w:hint="eastAsia" w:ascii="宋体" w:hAnsi="宋体" w:eastAsia="宋体" w:cs="宋体"/>
          <w:color w:val="auto"/>
          <w:kern w:val="2"/>
          <w:sz w:val="24"/>
          <w:szCs w:val="24"/>
          <w:highlight w:val="none"/>
          <w:lang w:val="en-US" w:eastAsia="zh-CN" w:bidi="ar-SA"/>
        </w:rPr>
      </w:pPr>
      <w:r>
        <w:rPr>
          <w:rStyle w:val="116"/>
          <w:rFonts w:hint="eastAsia" w:ascii="宋体" w:hAnsi="宋体" w:eastAsia="宋体" w:cs="宋体"/>
          <w:color w:val="auto"/>
          <w:kern w:val="2"/>
          <w:sz w:val="24"/>
          <w:szCs w:val="24"/>
          <w:highlight w:val="none"/>
          <w:lang w:val="en-US" w:eastAsia="zh-CN" w:bidi="ar-SA"/>
        </w:rPr>
        <w:t>4.参加政府采购活动近三年内无重大违法记录的声明；</w:t>
      </w:r>
    </w:p>
    <w:p>
      <w:pPr>
        <w:widowControl/>
        <w:shd w:val="clear" w:color="auto" w:fill="FFFFFF"/>
        <w:spacing w:line="360" w:lineRule="auto"/>
        <w:ind w:firstLine="480" w:firstLineChars="200"/>
        <w:rPr>
          <w:rStyle w:val="116"/>
          <w:rFonts w:hint="eastAsia" w:ascii="宋体" w:hAnsi="宋体" w:eastAsia="宋体" w:cs="宋体"/>
          <w:color w:val="auto"/>
          <w:kern w:val="2"/>
          <w:sz w:val="24"/>
          <w:szCs w:val="24"/>
          <w:highlight w:val="none"/>
          <w:lang w:val="en-US" w:eastAsia="zh-CN" w:bidi="ar-SA"/>
        </w:rPr>
      </w:pPr>
      <w:r>
        <w:rPr>
          <w:rStyle w:val="116"/>
          <w:rFonts w:hint="eastAsia" w:ascii="宋体" w:hAnsi="宋体" w:eastAsia="宋体" w:cs="宋体"/>
          <w:color w:val="auto"/>
          <w:kern w:val="2"/>
          <w:sz w:val="24"/>
          <w:szCs w:val="24"/>
          <w:highlight w:val="none"/>
          <w:lang w:val="en-US" w:eastAsia="zh-CN" w:bidi="ar-SA"/>
        </w:rPr>
        <w:t>5.本项目不接受联合体投标。</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三、获取采购文件</w:t>
      </w:r>
    </w:p>
    <w:p>
      <w:pPr>
        <w:widowControl/>
        <w:shd w:val="clear" w:color="auto" w:fill="auto"/>
        <w:spacing w:line="360" w:lineRule="auto"/>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1.时间：2023年4月7日至2023年4月17日自行在铜陵学院官网下载（</w:t>
      </w:r>
      <w:r>
        <w:rPr>
          <w:rFonts w:hint="eastAsia" w:ascii="宋体" w:hAnsi="宋体" w:eastAsia="宋体" w:cs="宋体"/>
          <w:color w:val="auto"/>
          <w:kern w:val="0"/>
          <w:sz w:val="24"/>
          <w:szCs w:val="24"/>
          <w:highlight w:val="none"/>
        </w:rPr>
        <w:t>http://gzc.tlu.edu.cn/</w:t>
      </w:r>
      <w:r>
        <w:rPr>
          <w:rFonts w:hint="eastAsia" w:ascii="宋体" w:hAnsi="宋体" w:cs="宋体"/>
          <w:color w:val="auto"/>
          <w:sz w:val="24"/>
          <w:highlight w:val="none"/>
          <w:lang w:val="en-US" w:eastAsia="zh-CN"/>
        </w:rPr>
        <w:t>）。</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cs="宋体"/>
          <w:color w:val="auto"/>
          <w:sz w:val="24"/>
          <w:highlight w:val="none"/>
          <w:lang w:val="en-US" w:eastAsia="zh-CN"/>
        </w:rPr>
        <w:t>2.</w:t>
      </w:r>
      <w:r>
        <w:rPr>
          <w:rFonts w:hint="eastAsia" w:ascii="宋体" w:hAnsi="宋体" w:eastAsia="宋体" w:cs="宋体"/>
          <w:color w:val="auto"/>
          <w:kern w:val="0"/>
          <w:sz w:val="24"/>
          <w:szCs w:val="24"/>
          <w:highlight w:val="none"/>
        </w:rPr>
        <w:t>采购文件如有修正，将</w:t>
      </w:r>
      <w:r>
        <w:rPr>
          <w:rFonts w:hint="eastAsia" w:ascii="宋体" w:hAnsi="宋体" w:eastAsia="宋体" w:cs="宋体"/>
          <w:color w:val="auto"/>
          <w:kern w:val="0"/>
          <w:sz w:val="24"/>
          <w:szCs w:val="24"/>
          <w:highlight w:val="none"/>
          <w:lang w:val="en-US" w:eastAsia="zh-CN"/>
        </w:rPr>
        <w:t>以书面形式告知所有潜在投标人</w:t>
      </w:r>
      <w:r>
        <w:rPr>
          <w:rFonts w:hint="eastAsia" w:ascii="宋体" w:hAnsi="宋体" w:eastAsia="宋体" w:cs="宋体"/>
          <w:color w:val="auto"/>
          <w:kern w:val="0"/>
          <w:sz w:val="24"/>
          <w:szCs w:val="24"/>
          <w:highlight w:val="none"/>
        </w:rPr>
        <w:t>，与本采购文件具有同等效力。</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如有疑问或需要采购方进一步澄清的事宜，请在2023年4月10日上午11：00前，以书面形式向采购方提出或发电子邮件至gzc@tlu.edu.cn，如有答疑，采购方将于2023年4月11日下午5：00前，在铜陵学院国资处网站（http://gzc.tlu.edu.cn/）予以公布。各潜在的投标单位无论有无质疑，届时均请上网查看。</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四、响应文件提交</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凡符合投标资格、有意向的投标单位，均为被</w:t>
      </w:r>
      <w:r>
        <w:rPr>
          <w:rFonts w:hint="eastAsia" w:ascii="宋体" w:hAnsi="宋体" w:cs="宋体"/>
          <w:color w:val="auto"/>
          <w:kern w:val="0"/>
          <w:sz w:val="24"/>
          <w:szCs w:val="24"/>
          <w:highlight w:val="none"/>
          <w:lang w:val="en-US" w:eastAsia="zh-CN"/>
        </w:rPr>
        <w:t>市场比价</w:t>
      </w:r>
      <w:r>
        <w:rPr>
          <w:rFonts w:hint="eastAsia" w:ascii="宋体" w:hAnsi="宋体" w:eastAsia="宋体" w:cs="宋体"/>
          <w:color w:val="auto"/>
          <w:kern w:val="0"/>
          <w:sz w:val="24"/>
          <w:szCs w:val="24"/>
          <w:highlight w:val="none"/>
          <w:lang w:val="en-US" w:eastAsia="zh-CN"/>
        </w:rPr>
        <w:t>对象。请有意参与投标报价的单位于2023年4月18日上午11：00前将投标文件送达铜陵学院南大门值班室，联系人：胡老师（13955931061）。</w:t>
      </w:r>
      <w:r>
        <w:rPr>
          <w:rFonts w:hint="eastAsia" w:ascii="宋体" w:hAnsi="宋体" w:eastAsia="宋体" w:cs="宋体"/>
          <w:color w:val="auto"/>
          <w:kern w:val="0"/>
          <w:sz w:val="24"/>
          <w:szCs w:val="24"/>
          <w:highlight w:val="yellow"/>
          <w:lang w:val="en-US" w:eastAsia="zh-CN"/>
        </w:rPr>
        <w:t>（因校园管理要求，请投标人在2023年4月18日上午8:30-11:00期间投递投标函，其它时段不接收）。</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五、开启</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时间：</w:t>
      </w:r>
      <w:r>
        <w:rPr>
          <w:rFonts w:hint="eastAsia" w:ascii="宋体" w:hAnsi="宋体" w:cs="宋体"/>
          <w:color w:val="auto"/>
          <w:kern w:val="0"/>
          <w:sz w:val="24"/>
          <w:szCs w:val="24"/>
          <w:highlight w:val="none"/>
          <w:lang w:eastAsia="zh-CN"/>
        </w:rPr>
        <w:t>采购人在监督部门监督下自行组织开标评审，投标人不参与开标。</w:t>
      </w:r>
      <w:r>
        <w:rPr>
          <w:rFonts w:hint="eastAsia" w:ascii="宋体" w:hAnsi="宋体" w:eastAsia="宋体" w:cs="宋体"/>
          <w:color w:val="auto"/>
          <w:kern w:val="0"/>
          <w:sz w:val="24"/>
          <w:szCs w:val="24"/>
          <w:highlight w:val="none"/>
          <w:lang w:val="en-US" w:eastAsia="zh-CN"/>
        </w:rPr>
        <w:t xml:space="preserve">                                            </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地点：铜陵</w:t>
      </w:r>
      <w:r>
        <w:rPr>
          <w:rFonts w:hint="eastAsia" w:ascii="宋体" w:hAnsi="宋体" w:cs="宋体"/>
          <w:color w:val="auto"/>
          <w:kern w:val="0"/>
          <w:sz w:val="24"/>
          <w:szCs w:val="24"/>
          <w:highlight w:val="none"/>
          <w:lang w:eastAsia="zh-CN"/>
        </w:rPr>
        <w:t>学院</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、其他补充事宜</w:t>
      </w:r>
    </w:p>
    <w:p>
      <w:pPr>
        <w:widowControl/>
        <w:shd w:val="clear" w:color="auto" w:fill="FFFFFF"/>
        <w:spacing w:line="360" w:lineRule="auto"/>
        <w:ind w:firstLine="240" w:firstLineChars="1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采购项目的名称、编号、数量、简要规格描述或项目基本概况介绍详见采购需求</w:t>
      </w:r>
      <w:r>
        <w:rPr>
          <w:rFonts w:hint="eastAsia" w:ascii="宋体" w:hAnsi="宋体" w:eastAsia="宋体" w:cs="宋体"/>
          <w:color w:val="auto"/>
          <w:kern w:val="0"/>
          <w:sz w:val="24"/>
          <w:szCs w:val="24"/>
          <w:highlight w:val="none"/>
          <w:lang w:eastAsia="zh-CN"/>
        </w:rPr>
        <w:t>。</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七</w:t>
      </w:r>
      <w:r>
        <w:rPr>
          <w:rFonts w:hint="eastAsia" w:ascii="宋体" w:hAnsi="宋体" w:eastAsia="宋体" w:cs="宋体"/>
          <w:b/>
          <w:bCs/>
          <w:color w:val="auto"/>
          <w:kern w:val="0"/>
          <w:sz w:val="24"/>
          <w:szCs w:val="24"/>
          <w:highlight w:val="none"/>
        </w:rPr>
        <w:t>、联系方法</w:t>
      </w:r>
    </w:p>
    <w:p>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1.采购人信息</w:t>
      </w:r>
    </w:p>
    <w:p>
      <w:pPr>
        <w:spacing w:line="360" w:lineRule="auto"/>
        <w:ind w:firstLine="480" w:firstLineChars="200"/>
        <w:jc w:val="left"/>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名 称：</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val="en-US" w:eastAsia="zh-CN"/>
        </w:rPr>
        <w:t xml:space="preserve">铜陵学院   </w:t>
      </w:r>
    </w:p>
    <w:p>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eastAsia="zh-CN"/>
        </w:rPr>
        <w:t>、联系电话</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程老师  0562-5881058</w:t>
      </w:r>
    </w:p>
    <w:p>
      <w:pPr>
        <w:spacing w:line="360" w:lineRule="auto"/>
        <w:ind w:firstLine="480" w:firstLineChars="200"/>
        <w:jc w:val="left"/>
        <w:rPr>
          <w:rFonts w:hint="eastAsia" w:ascii="宋体" w:hAnsi="宋体" w:eastAsia="宋体" w:cs="宋体"/>
          <w:color w:val="auto"/>
          <w:sz w:val="24"/>
          <w:szCs w:val="24"/>
          <w:highlight w:val="none"/>
          <w:lang w:eastAsia="zh-CN"/>
        </w:rPr>
      </w:pPr>
      <w:bookmarkStart w:id="5" w:name="_Toc28359009"/>
      <w:bookmarkStart w:id="6" w:name="_Toc28359086"/>
      <w:r>
        <w:rPr>
          <w:rFonts w:hint="eastAsia" w:ascii="宋体" w:hAnsi="宋体" w:eastAsia="宋体" w:cs="宋体"/>
          <w:color w:val="auto"/>
          <w:sz w:val="24"/>
          <w:szCs w:val="24"/>
          <w:highlight w:val="none"/>
        </w:rPr>
        <w:t>2.</w:t>
      </w:r>
      <w:bookmarkEnd w:id="5"/>
      <w:bookmarkEnd w:id="6"/>
      <w:r>
        <w:rPr>
          <w:rFonts w:hint="eastAsia" w:ascii="宋体" w:hAnsi="宋体" w:cs="宋体"/>
          <w:color w:val="auto"/>
          <w:sz w:val="24"/>
          <w:szCs w:val="24"/>
          <w:highlight w:val="none"/>
          <w:lang w:eastAsia="zh-CN"/>
        </w:rPr>
        <w:t>项目使用管理部门</w:t>
      </w:r>
    </w:p>
    <w:p>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u w:val="single"/>
        </w:rPr>
        <w:t>　铜陵</w:t>
      </w:r>
      <w:r>
        <w:rPr>
          <w:rFonts w:hint="eastAsia" w:ascii="宋体" w:hAnsi="宋体" w:cs="宋体"/>
          <w:color w:val="auto"/>
          <w:sz w:val="24"/>
          <w:szCs w:val="24"/>
          <w:highlight w:val="none"/>
          <w:u w:val="single"/>
          <w:lang w:eastAsia="zh-CN"/>
        </w:rPr>
        <w:t>学院基建办</w:t>
      </w:r>
      <w:r>
        <w:rPr>
          <w:rFonts w:hint="eastAsia" w:ascii="宋体" w:hAnsi="宋体" w:cs="宋体"/>
          <w:color w:val="auto"/>
          <w:sz w:val="24"/>
          <w:szCs w:val="24"/>
          <w:highlight w:val="none"/>
          <w:u w:val="single"/>
          <w:lang w:val="en-US" w:eastAsia="zh-CN"/>
        </w:rPr>
        <w:t xml:space="preserve">      </w:t>
      </w:r>
    </w:p>
    <w:p>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eastAsia="zh-CN"/>
        </w:rPr>
        <w:t>、联系电话</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u w:val="single"/>
          <w:lang w:eastAsia="zh-CN"/>
        </w:rPr>
        <w:t>许老师</w:t>
      </w:r>
      <w:r>
        <w:rPr>
          <w:rFonts w:hint="eastAsia" w:ascii="宋体" w:hAnsi="宋体" w:eastAsia="宋体" w:cs="宋体"/>
          <w:color w:val="auto"/>
          <w:sz w:val="24"/>
          <w:szCs w:val="24"/>
          <w:highlight w:val="none"/>
          <w:u w:val="single"/>
        </w:rPr>
        <w:t xml:space="preserve"> 0562-</w:t>
      </w:r>
      <w:r>
        <w:rPr>
          <w:rFonts w:hint="eastAsia" w:ascii="宋体" w:hAnsi="宋体" w:cs="宋体"/>
          <w:color w:val="auto"/>
          <w:sz w:val="24"/>
          <w:szCs w:val="24"/>
          <w:highlight w:val="none"/>
          <w:u w:val="single"/>
          <w:lang w:val="en-US" w:eastAsia="zh-CN"/>
        </w:rPr>
        <w:t>5881028</w:t>
      </w:r>
      <w:r>
        <w:rPr>
          <w:rFonts w:hint="eastAsia" w:ascii="宋体" w:hAnsi="宋体" w:eastAsia="宋体" w:cs="宋体"/>
          <w:color w:val="auto"/>
          <w:sz w:val="24"/>
          <w:szCs w:val="24"/>
          <w:highlight w:val="none"/>
          <w:u w:val="single"/>
        </w:rPr>
        <w:t xml:space="preserve"> </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val="en-US" w:eastAsia="zh-CN"/>
        </w:rPr>
        <w:t>八</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eastAsia="zh-CN"/>
        </w:rPr>
        <w:t>市场比价</w:t>
      </w:r>
      <w:r>
        <w:rPr>
          <w:rFonts w:hint="eastAsia" w:ascii="宋体" w:hAnsi="宋体" w:eastAsia="宋体" w:cs="宋体"/>
          <w:b/>
          <w:bCs/>
          <w:color w:val="auto"/>
          <w:kern w:val="0"/>
          <w:sz w:val="24"/>
          <w:szCs w:val="24"/>
          <w:highlight w:val="none"/>
        </w:rPr>
        <w:t>保证金</w:t>
      </w:r>
      <w:r>
        <w:rPr>
          <w:rFonts w:hint="eastAsia" w:ascii="宋体" w:hAnsi="宋体" w:cs="宋体"/>
          <w:b/>
          <w:bCs/>
          <w:color w:val="auto"/>
          <w:kern w:val="0"/>
          <w:sz w:val="24"/>
          <w:szCs w:val="24"/>
          <w:highlight w:val="none"/>
          <w:lang w:eastAsia="zh-CN"/>
        </w:rPr>
        <w:t>：无</w:t>
      </w:r>
    </w:p>
    <w:p>
      <w:pPr>
        <w:pStyle w:val="72"/>
        <w:wordWrap w:val="0"/>
        <w:spacing w:line="360" w:lineRule="auto"/>
        <w:jc w:val="both"/>
        <w:rPr>
          <w:rFonts w:hint="eastAsia" w:ascii="宋体" w:hAnsi="宋体" w:eastAsia="宋体" w:cs="宋体"/>
          <w:color w:val="auto"/>
          <w:sz w:val="28"/>
          <w:szCs w:val="28"/>
          <w:highlight w:val="none"/>
        </w:rPr>
      </w:pPr>
    </w:p>
    <w:p>
      <w:pPr>
        <w:pStyle w:val="72"/>
        <w:wordWrap w:val="0"/>
        <w:spacing w:line="360" w:lineRule="auto"/>
        <w:jc w:val="both"/>
        <w:rPr>
          <w:rFonts w:hint="eastAsia" w:ascii="宋体" w:hAnsi="宋体" w:eastAsia="宋体" w:cs="宋体"/>
          <w:color w:val="auto"/>
          <w:sz w:val="28"/>
          <w:szCs w:val="28"/>
          <w:highlight w:val="none"/>
        </w:rPr>
      </w:pPr>
    </w:p>
    <w:p>
      <w:pPr>
        <w:pStyle w:val="72"/>
        <w:wordWrap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第二章　供应商须知前附表</w:t>
      </w:r>
    </w:p>
    <w:tbl>
      <w:tblPr>
        <w:tblStyle w:val="20"/>
        <w:tblW w:w="90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04"/>
        <w:gridCol w:w="2920"/>
        <w:gridCol w:w="533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tblHeader/>
          <w:jc w:val="center"/>
        </w:trPr>
        <w:tc>
          <w:tcPr>
            <w:tcW w:w="804"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序号</w:t>
            </w:r>
          </w:p>
        </w:tc>
        <w:tc>
          <w:tcPr>
            <w:tcW w:w="2920"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条款名称</w:t>
            </w:r>
          </w:p>
        </w:tc>
        <w:tc>
          <w:tcPr>
            <w:tcW w:w="5333"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p>
        </w:tc>
        <w:tc>
          <w:tcPr>
            <w:tcW w:w="2920"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预算控制数</w:t>
            </w:r>
          </w:p>
        </w:tc>
        <w:tc>
          <w:tcPr>
            <w:tcW w:w="5333"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cs="宋体"/>
                <w:color w:val="auto"/>
                <w:kern w:val="0"/>
                <w:sz w:val="24"/>
                <w:szCs w:val="24"/>
                <w:highlight w:val="none"/>
                <w:lang w:val="en-US" w:eastAsia="zh-CN"/>
              </w:rPr>
              <w:t>5</w:t>
            </w:r>
            <w:bookmarkStart w:id="19" w:name="_GoBack"/>
            <w:bookmarkEnd w:id="19"/>
            <w:r>
              <w:rPr>
                <w:rFonts w:hint="eastAsia" w:cs="宋体"/>
                <w:color w:val="auto"/>
                <w:kern w:val="0"/>
                <w:sz w:val="24"/>
                <w:szCs w:val="24"/>
                <w:highlight w:val="none"/>
                <w:lang w:val="en-US" w:eastAsia="zh-CN"/>
              </w:rPr>
              <w:t>万</w:t>
            </w:r>
            <w:r>
              <w:rPr>
                <w:rFonts w:hint="eastAsia" w:ascii="宋体" w:hAnsi="宋体" w:eastAsia="宋体" w:cs="宋体"/>
                <w:color w:val="auto"/>
                <w:kern w:val="0"/>
                <w:sz w:val="24"/>
                <w:szCs w:val="24"/>
                <w:highlight w:val="none"/>
                <w:lang w:val="en-US" w:eastAsia="zh-CN"/>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2</w:t>
            </w:r>
          </w:p>
        </w:tc>
        <w:tc>
          <w:tcPr>
            <w:tcW w:w="2920"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供应商资格审查材料</w:t>
            </w:r>
          </w:p>
        </w:tc>
        <w:tc>
          <w:tcPr>
            <w:tcW w:w="5333"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详见</w:t>
            </w:r>
            <w:r>
              <w:rPr>
                <w:rFonts w:hint="eastAsia" w:cs="宋体"/>
                <w:color w:val="auto"/>
                <w:sz w:val="24"/>
                <w:szCs w:val="24"/>
                <w:highlight w:val="none"/>
                <w:lang w:val="zh-CN"/>
              </w:rPr>
              <w:t>市场比价</w:t>
            </w:r>
            <w:r>
              <w:rPr>
                <w:rFonts w:hint="eastAsia" w:ascii="宋体" w:hAnsi="宋体" w:eastAsia="宋体" w:cs="宋体"/>
                <w:color w:val="auto"/>
                <w:sz w:val="24"/>
                <w:szCs w:val="24"/>
                <w:highlight w:val="none"/>
                <w:lang w:val="zh-CN"/>
              </w:rPr>
              <w:t>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3</w:t>
            </w:r>
          </w:p>
        </w:tc>
        <w:tc>
          <w:tcPr>
            <w:tcW w:w="2920"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采购方式</w:t>
            </w:r>
          </w:p>
        </w:tc>
        <w:tc>
          <w:tcPr>
            <w:tcW w:w="5333"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cs="宋体"/>
                <w:color w:val="auto"/>
                <w:sz w:val="24"/>
                <w:szCs w:val="24"/>
                <w:highlight w:val="none"/>
                <w:lang w:val="zh-CN"/>
              </w:rPr>
              <w:t>市场比价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4</w:t>
            </w:r>
          </w:p>
        </w:tc>
        <w:tc>
          <w:tcPr>
            <w:tcW w:w="2920"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评标方法</w:t>
            </w:r>
          </w:p>
        </w:tc>
        <w:tc>
          <w:tcPr>
            <w:tcW w:w="5333"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cs="宋体"/>
                <w:color w:val="auto"/>
                <w:sz w:val="24"/>
                <w:szCs w:val="24"/>
                <w:highlight w:val="none"/>
                <w:lang w:val="zh-CN"/>
              </w:rPr>
              <w:t>有效低价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w:t>
            </w:r>
          </w:p>
        </w:tc>
        <w:tc>
          <w:tcPr>
            <w:tcW w:w="2920" w:type="dxa"/>
            <w:tcMar>
              <w:left w:w="113" w:type="dxa"/>
              <w:right w:w="113" w:type="dxa"/>
            </w:tcMar>
            <w:vAlign w:val="center"/>
          </w:tcPr>
          <w:p>
            <w:pPr>
              <w:pStyle w:val="47"/>
              <w:keepNext w:val="0"/>
              <w:keepLines w:val="0"/>
              <w:suppressLineNumbers w:val="0"/>
              <w:adjustRightInd/>
              <w:spacing w:before="0" w:beforeAutospacing="0" w:after="0" w:afterAutospacing="0"/>
              <w:ind w:left="33" w:leftChars="0" w:right="0"/>
              <w:jc w:val="both"/>
              <w:rPr>
                <w:rFonts w:hint="eastAsia" w:ascii="宋体" w:hAnsi="宋体" w:eastAsia="宋体" w:cs="宋体"/>
                <w:color w:val="auto"/>
                <w:sz w:val="24"/>
                <w:szCs w:val="24"/>
                <w:highlight w:val="none"/>
                <w:lang w:val="zh-CN"/>
              </w:rPr>
            </w:pPr>
            <w:r>
              <w:rPr>
                <w:rFonts w:hint="eastAsia" w:cs="华文仿宋"/>
                <w:color w:val="auto"/>
                <w:sz w:val="24"/>
                <w:szCs w:val="24"/>
                <w:lang w:val="zh-CN"/>
              </w:rPr>
              <w:t>服务期</w:t>
            </w:r>
          </w:p>
        </w:tc>
        <w:tc>
          <w:tcPr>
            <w:tcW w:w="5333" w:type="dxa"/>
            <w:tcMar>
              <w:left w:w="113" w:type="dxa"/>
              <w:right w:w="113" w:type="dxa"/>
            </w:tcMar>
            <w:vAlign w:val="center"/>
          </w:tcPr>
          <w:p>
            <w:pPr>
              <w:keepNext w:val="0"/>
              <w:keepLines w:val="0"/>
              <w:suppressLineNumbers w:val="0"/>
              <w:adjustRightInd w:val="0"/>
              <w:snapToGrid w:val="0"/>
              <w:spacing w:before="0" w:beforeAutospacing="0" w:after="0" w:afterAutospacing="0"/>
              <w:ind w:left="0" w:right="0"/>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val="en-US" w:eastAsia="zh-CN"/>
              </w:rPr>
              <w:t>根据</w:t>
            </w:r>
            <w:r>
              <w:rPr>
                <w:rFonts w:hint="eastAsia" w:ascii="宋体" w:hAnsi="宋体" w:eastAsia="宋体" w:cs="宋体"/>
                <w:color w:val="auto"/>
                <w:kern w:val="0"/>
                <w:sz w:val="24"/>
                <w:szCs w:val="24"/>
                <w:highlight w:val="none"/>
                <w:lang w:val="en-US" w:eastAsia="zh-CN"/>
              </w:rPr>
              <w:t>铜陵学院财经教育产教融合实训基地A、B组团工程</w:t>
            </w:r>
            <w:r>
              <w:rPr>
                <w:rFonts w:hint="eastAsia" w:ascii="宋体" w:hAnsi="宋体" w:cs="宋体"/>
                <w:color w:val="auto"/>
                <w:kern w:val="0"/>
                <w:sz w:val="24"/>
                <w:szCs w:val="24"/>
                <w:highlight w:val="none"/>
                <w:lang w:val="en-US" w:eastAsia="zh-CN"/>
              </w:rPr>
              <w:t>项目竣工并项目所有档案移交至铜陵市基本建设档案馆</w:t>
            </w:r>
            <w:r>
              <w:rPr>
                <w:rFonts w:hint="eastAsia" w:ascii="宋体" w:hAnsi="宋体"/>
                <w:color w:val="auto"/>
                <w:sz w:val="24"/>
                <w:szCs w:val="24"/>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6</w:t>
            </w:r>
          </w:p>
        </w:tc>
        <w:tc>
          <w:tcPr>
            <w:tcW w:w="2920"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是否接受联合体</w:t>
            </w:r>
            <w:r>
              <w:rPr>
                <w:rFonts w:hint="eastAsia" w:cs="宋体"/>
                <w:color w:val="auto"/>
                <w:sz w:val="24"/>
                <w:szCs w:val="24"/>
                <w:highlight w:val="none"/>
                <w:lang w:val="zh-CN"/>
              </w:rPr>
              <w:t>市场比价</w:t>
            </w:r>
            <w:r>
              <w:rPr>
                <w:rFonts w:hint="eastAsia" w:ascii="宋体" w:hAnsi="宋体" w:eastAsia="宋体" w:cs="宋体"/>
                <w:color w:val="auto"/>
                <w:sz w:val="24"/>
                <w:szCs w:val="24"/>
                <w:highlight w:val="none"/>
                <w:lang w:val="zh-CN"/>
              </w:rPr>
              <w:t>响应</w:t>
            </w:r>
          </w:p>
        </w:tc>
        <w:tc>
          <w:tcPr>
            <w:tcW w:w="5333"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6" w:hRule="atLeast"/>
          <w:jc w:val="center"/>
        </w:trPr>
        <w:tc>
          <w:tcPr>
            <w:tcW w:w="804"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7</w:t>
            </w:r>
          </w:p>
        </w:tc>
        <w:tc>
          <w:tcPr>
            <w:tcW w:w="2920"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是否接受分包履约</w:t>
            </w:r>
          </w:p>
        </w:tc>
        <w:tc>
          <w:tcPr>
            <w:tcW w:w="5333"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eastAsia="zh-CN"/>
              </w:rPr>
            </w:pPr>
            <w:r>
              <w:rPr>
                <w:rFonts w:hint="eastAsia" w:cs="宋体"/>
                <w:color w:val="auto"/>
                <w:sz w:val="24"/>
                <w:szCs w:val="24"/>
                <w:highlight w:val="none"/>
                <w:lang w:val="en-US" w:eastAsia="zh-CN"/>
              </w:rPr>
              <w:t>8</w:t>
            </w:r>
          </w:p>
        </w:tc>
        <w:tc>
          <w:tcPr>
            <w:tcW w:w="2920"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成交候选人的推荐</w:t>
            </w:r>
          </w:p>
        </w:tc>
        <w:tc>
          <w:tcPr>
            <w:tcW w:w="5333" w:type="dxa"/>
            <w:tcMar>
              <w:left w:w="113" w:type="dxa"/>
              <w:right w:w="113" w:type="dxa"/>
            </w:tcMar>
            <w:vAlign w:val="center"/>
          </w:tcPr>
          <w:p>
            <w:pPr>
              <w:pStyle w:val="47"/>
              <w:keepNext w:val="0"/>
              <w:keepLines w:val="0"/>
              <w:suppressLineNumbers w:val="0"/>
              <w:adjustRightInd/>
              <w:snapToGrid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cs="宋体"/>
                <w:b/>
                <w:color w:val="auto"/>
                <w:sz w:val="24"/>
                <w:szCs w:val="24"/>
                <w:highlight w:val="none"/>
                <w:lang w:eastAsia="zh-CN"/>
              </w:rPr>
              <w:t>市场比价</w:t>
            </w:r>
            <w:r>
              <w:rPr>
                <w:rFonts w:hint="eastAsia" w:ascii="宋体" w:hAnsi="宋体" w:eastAsia="宋体" w:cs="宋体"/>
                <w:b/>
                <w:color w:val="auto"/>
                <w:sz w:val="24"/>
                <w:szCs w:val="24"/>
                <w:highlight w:val="none"/>
              </w:rPr>
              <w:t>小组依据</w:t>
            </w:r>
            <w:r>
              <w:rPr>
                <w:rFonts w:hint="eastAsia" w:cs="宋体"/>
                <w:b/>
                <w:color w:val="auto"/>
                <w:sz w:val="24"/>
                <w:szCs w:val="24"/>
                <w:highlight w:val="none"/>
                <w:lang w:eastAsia="zh-CN"/>
              </w:rPr>
              <w:t>市场比价</w:t>
            </w:r>
            <w:r>
              <w:rPr>
                <w:rFonts w:hint="eastAsia" w:ascii="宋体" w:hAnsi="宋体" w:eastAsia="宋体" w:cs="宋体"/>
                <w:b/>
                <w:color w:val="auto"/>
                <w:sz w:val="24"/>
                <w:szCs w:val="24"/>
                <w:highlight w:val="none"/>
              </w:rPr>
              <w:t>文件规定的评标标准和方法，对合格</w:t>
            </w:r>
            <w:r>
              <w:rPr>
                <w:rFonts w:hint="eastAsia" w:cs="宋体"/>
                <w:b/>
                <w:color w:val="auto"/>
                <w:sz w:val="24"/>
                <w:szCs w:val="24"/>
                <w:highlight w:val="none"/>
                <w:lang w:eastAsia="zh-CN"/>
              </w:rPr>
              <w:t>市场比价</w:t>
            </w:r>
            <w:r>
              <w:rPr>
                <w:rFonts w:hint="eastAsia" w:ascii="宋体" w:hAnsi="宋体" w:eastAsia="宋体" w:cs="宋体"/>
                <w:b/>
                <w:color w:val="auto"/>
                <w:sz w:val="24"/>
                <w:szCs w:val="24"/>
                <w:highlight w:val="none"/>
              </w:rPr>
              <w:t>响应文件分别进行评审和比较，结合信用查询情况，按顺序推荐出有排序的</w:t>
            </w:r>
            <w:r>
              <w:rPr>
                <w:rFonts w:hint="eastAsia" w:ascii="宋体" w:hAnsi="宋体" w:eastAsia="宋体" w:cs="宋体"/>
                <w:b/>
                <w:color w:val="auto"/>
                <w:sz w:val="24"/>
                <w:szCs w:val="24"/>
                <w:highlight w:val="none"/>
                <w:u w:val="single"/>
              </w:rPr>
              <w:t xml:space="preserve"> </w:t>
            </w:r>
            <w:r>
              <w:rPr>
                <w:rFonts w:hint="eastAsia" w:cs="宋体"/>
                <w:b/>
                <w:color w:val="auto"/>
                <w:sz w:val="24"/>
                <w:szCs w:val="24"/>
                <w:highlight w:val="none"/>
                <w:u w:val="single"/>
                <w:lang w:val="en-US" w:eastAsia="zh-CN"/>
              </w:rPr>
              <w:t>2</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名成交候选人。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32" w:hRule="atLeast"/>
          <w:jc w:val="center"/>
        </w:trPr>
        <w:tc>
          <w:tcPr>
            <w:tcW w:w="804"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eastAsia="zh-CN"/>
              </w:rPr>
            </w:pPr>
            <w:r>
              <w:rPr>
                <w:rFonts w:hint="eastAsia" w:cs="宋体"/>
                <w:color w:val="auto"/>
                <w:sz w:val="24"/>
                <w:szCs w:val="24"/>
                <w:highlight w:val="none"/>
                <w:lang w:val="en-US" w:eastAsia="zh-CN"/>
              </w:rPr>
              <w:t>9</w:t>
            </w:r>
          </w:p>
        </w:tc>
        <w:tc>
          <w:tcPr>
            <w:tcW w:w="2920"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资料采集</w:t>
            </w:r>
          </w:p>
        </w:tc>
        <w:tc>
          <w:tcPr>
            <w:tcW w:w="5333" w:type="dxa"/>
            <w:tcMar>
              <w:left w:w="113" w:type="dxa"/>
              <w:right w:w="113" w:type="dxa"/>
            </w:tcMar>
            <w:vAlign w:val="center"/>
          </w:tcPr>
          <w:p>
            <w:pPr>
              <w:pStyle w:val="47"/>
              <w:keepNext w:val="0"/>
              <w:keepLines w:val="0"/>
              <w:suppressLineNumbers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供应商应自行</w:t>
            </w:r>
            <w:r>
              <w:rPr>
                <w:rFonts w:hint="eastAsia" w:cs="宋体"/>
                <w:color w:val="auto"/>
                <w:sz w:val="24"/>
                <w:szCs w:val="24"/>
                <w:highlight w:val="none"/>
                <w:lang w:eastAsia="zh-CN"/>
              </w:rPr>
              <w:t>在铜陵学院官网下载</w:t>
            </w:r>
            <w:r>
              <w:rPr>
                <w:rFonts w:hint="eastAsia" w:ascii="宋体" w:hAnsi="宋体" w:eastAsia="宋体" w:cs="宋体"/>
                <w:color w:val="auto"/>
                <w:sz w:val="24"/>
                <w:szCs w:val="24"/>
                <w:highlight w:val="none"/>
                <w:lang w:val="en-US" w:eastAsia="zh-CN"/>
              </w:rPr>
              <w:t>获取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cs="宋体"/>
                <w:color w:val="auto"/>
                <w:sz w:val="24"/>
                <w:szCs w:val="24"/>
                <w:highlight w:val="none"/>
                <w:lang w:val="en-US" w:eastAsia="zh-CN"/>
              </w:rPr>
              <w:t>0</w:t>
            </w:r>
          </w:p>
        </w:tc>
        <w:tc>
          <w:tcPr>
            <w:tcW w:w="2920"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zh-CN"/>
              </w:rPr>
              <w:t>构成</w:t>
            </w:r>
            <w:r>
              <w:rPr>
                <w:rFonts w:hint="eastAsia" w:cs="宋体"/>
                <w:color w:val="auto"/>
                <w:sz w:val="24"/>
                <w:szCs w:val="24"/>
                <w:highlight w:val="none"/>
                <w:lang w:val="zh-CN"/>
              </w:rPr>
              <w:t>市场比价</w:t>
            </w:r>
            <w:r>
              <w:rPr>
                <w:rFonts w:hint="eastAsia" w:ascii="宋体" w:hAnsi="宋体" w:eastAsia="宋体" w:cs="宋体"/>
                <w:color w:val="auto"/>
                <w:sz w:val="24"/>
                <w:szCs w:val="24"/>
                <w:highlight w:val="none"/>
                <w:lang w:val="zh-CN"/>
              </w:rPr>
              <w:t>文件的其他文件</w:t>
            </w:r>
          </w:p>
        </w:tc>
        <w:tc>
          <w:tcPr>
            <w:tcW w:w="5333"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zh-CN"/>
              </w:rPr>
              <w:t>市场比价</w:t>
            </w:r>
            <w:r>
              <w:rPr>
                <w:rFonts w:hint="eastAsia" w:ascii="宋体" w:hAnsi="宋体" w:eastAsia="宋体" w:cs="宋体"/>
                <w:color w:val="auto"/>
                <w:sz w:val="24"/>
                <w:szCs w:val="24"/>
                <w:highlight w:val="none"/>
                <w:lang w:val="zh-CN"/>
              </w:rPr>
              <w:t>文件的澄清</w:t>
            </w:r>
            <w:r>
              <w:rPr>
                <w:rFonts w:hint="eastAsia" w:ascii="宋体" w:hAnsi="宋体" w:eastAsia="宋体" w:cs="宋体"/>
                <w:color w:val="auto"/>
                <w:sz w:val="24"/>
                <w:szCs w:val="24"/>
                <w:highlight w:val="none"/>
              </w:rPr>
              <w:t>、修改书及有关补充通知为</w:t>
            </w:r>
            <w:r>
              <w:rPr>
                <w:rFonts w:hint="eastAsia" w:cs="宋体"/>
                <w:color w:val="auto"/>
                <w:sz w:val="24"/>
                <w:szCs w:val="24"/>
                <w:highlight w:val="none"/>
                <w:lang w:eastAsia="zh-CN"/>
              </w:rPr>
              <w:t>市场比价</w:t>
            </w:r>
            <w:r>
              <w:rPr>
                <w:rFonts w:hint="eastAsia" w:ascii="宋体" w:hAnsi="宋体" w:eastAsia="宋体" w:cs="宋体"/>
                <w:color w:val="auto"/>
                <w:sz w:val="24"/>
                <w:szCs w:val="24"/>
                <w:highlight w:val="none"/>
              </w:rPr>
              <w:t>文件的有效组成部分。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74" w:hRule="atLeast"/>
          <w:jc w:val="center"/>
        </w:trPr>
        <w:tc>
          <w:tcPr>
            <w:tcW w:w="804"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1</w:t>
            </w:r>
          </w:p>
        </w:tc>
        <w:tc>
          <w:tcPr>
            <w:tcW w:w="2920"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zh-CN"/>
              </w:rPr>
              <w:t>市场比价</w:t>
            </w:r>
            <w:r>
              <w:rPr>
                <w:rFonts w:hint="eastAsia" w:ascii="宋体" w:hAnsi="宋体" w:eastAsia="宋体" w:cs="宋体"/>
                <w:color w:val="auto"/>
                <w:sz w:val="24"/>
                <w:szCs w:val="24"/>
                <w:highlight w:val="none"/>
                <w:lang w:val="zh-CN"/>
              </w:rPr>
              <w:t>响应有效期</w:t>
            </w:r>
          </w:p>
        </w:tc>
        <w:tc>
          <w:tcPr>
            <w:tcW w:w="5333"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开标后三个月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rPr>
              <w:t>1</w:t>
            </w:r>
            <w:r>
              <w:rPr>
                <w:rFonts w:hint="eastAsia" w:cs="宋体"/>
                <w:color w:val="auto"/>
                <w:sz w:val="24"/>
                <w:szCs w:val="24"/>
                <w:highlight w:val="none"/>
                <w:lang w:val="en-US" w:eastAsia="zh-CN"/>
              </w:rPr>
              <w:t>2</w:t>
            </w:r>
          </w:p>
        </w:tc>
        <w:tc>
          <w:tcPr>
            <w:tcW w:w="2920"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rPr>
              <w:t>付款方式</w:t>
            </w:r>
          </w:p>
        </w:tc>
        <w:tc>
          <w:tcPr>
            <w:tcW w:w="5333" w:type="dxa"/>
            <w:tcMar>
              <w:left w:w="113" w:type="dxa"/>
              <w:right w:w="113" w:type="dxa"/>
            </w:tcMar>
            <w:vAlign w:val="center"/>
          </w:tcPr>
          <w:p>
            <w:pPr>
              <w:pStyle w:val="11"/>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宋体" w:hAnsi="宋体" w:eastAsia="宋体" w:cs="宋体"/>
                <w:color w:val="auto"/>
                <w:kern w:val="2"/>
                <w:sz w:val="24"/>
                <w:szCs w:val="24"/>
                <w:highlight w:val="none"/>
                <w:lang w:val="en-US" w:eastAsia="zh-CN" w:bidi="ar-SA"/>
              </w:rPr>
            </w:pPr>
            <w:r>
              <w:rPr>
                <w:rFonts w:hint="eastAsia" w:cs="宋体"/>
                <w:color w:val="auto"/>
                <w:sz w:val="24"/>
                <w:szCs w:val="24"/>
                <w:highlight w:val="yellow"/>
                <w:lang w:val="en-US" w:eastAsia="zh-CN"/>
              </w:rPr>
              <w:t>项目完成经验收合格后，凭铜陵市基本建设档案馆出具验收合格报告，提供有效正规发票，在10个工作日内支</w:t>
            </w:r>
            <w:r>
              <w:rPr>
                <w:rFonts w:hint="eastAsia" w:ascii="宋体" w:hAnsi="宋体" w:cs="宋体"/>
                <w:color w:val="auto"/>
                <w:sz w:val="24"/>
                <w:szCs w:val="24"/>
                <w:highlight w:val="yellow"/>
                <w:lang w:val="en-US" w:eastAsia="zh-CN"/>
              </w:rPr>
              <w:t>付合同款。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rPr>
              <w:t>1</w:t>
            </w:r>
            <w:r>
              <w:rPr>
                <w:rFonts w:hint="eastAsia" w:cs="宋体"/>
                <w:color w:val="auto"/>
                <w:sz w:val="24"/>
                <w:szCs w:val="24"/>
                <w:highlight w:val="none"/>
                <w:lang w:val="en-US" w:eastAsia="zh-CN"/>
              </w:rPr>
              <w:t>3</w:t>
            </w:r>
          </w:p>
        </w:tc>
        <w:tc>
          <w:tcPr>
            <w:tcW w:w="2920"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zh-CN"/>
              </w:rPr>
              <w:t>市场比价</w:t>
            </w:r>
            <w:r>
              <w:rPr>
                <w:rFonts w:hint="eastAsia" w:ascii="宋体" w:hAnsi="宋体" w:eastAsia="宋体" w:cs="宋体"/>
                <w:color w:val="auto"/>
                <w:sz w:val="24"/>
                <w:szCs w:val="24"/>
                <w:highlight w:val="none"/>
                <w:lang w:val="zh-CN"/>
              </w:rPr>
              <w:t>响应文件份数</w:t>
            </w:r>
          </w:p>
        </w:tc>
        <w:tc>
          <w:tcPr>
            <w:tcW w:w="5333"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zh-CN"/>
              </w:rPr>
              <w:t>一份正本、两份副本</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cs="宋体"/>
                <w:color w:val="auto"/>
                <w:sz w:val="24"/>
                <w:szCs w:val="24"/>
                <w:highlight w:val="none"/>
                <w:lang w:val="en-US" w:eastAsia="zh-CN"/>
              </w:rPr>
              <w:t>4</w:t>
            </w:r>
          </w:p>
        </w:tc>
        <w:tc>
          <w:tcPr>
            <w:tcW w:w="2920"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zh-CN"/>
              </w:rPr>
              <w:t>市场比价</w:t>
            </w:r>
            <w:r>
              <w:rPr>
                <w:rFonts w:hint="eastAsia" w:ascii="宋体" w:hAnsi="宋体" w:eastAsia="宋体" w:cs="宋体"/>
                <w:color w:val="auto"/>
                <w:sz w:val="24"/>
                <w:szCs w:val="24"/>
                <w:highlight w:val="none"/>
                <w:lang w:val="zh-CN"/>
              </w:rPr>
              <w:t>及</w:t>
            </w:r>
            <w:r>
              <w:rPr>
                <w:rFonts w:hint="eastAsia" w:cs="宋体"/>
                <w:color w:val="auto"/>
                <w:sz w:val="24"/>
                <w:szCs w:val="24"/>
                <w:highlight w:val="none"/>
                <w:lang w:val="zh-CN"/>
              </w:rPr>
              <w:t>市场比价</w:t>
            </w:r>
            <w:r>
              <w:rPr>
                <w:rFonts w:hint="eastAsia" w:ascii="宋体" w:hAnsi="宋体" w:eastAsia="宋体" w:cs="宋体"/>
                <w:color w:val="auto"/>
                <w:sz w:val="24"/>
                <w:szCs w:val="24"/>
                <w:highlight w:val="none"/>
                <w:lang w:val="zh-CN"/>
              </w:rPr>
              <w:t>响应书递交</w:t>
            </w:r>
          </w:p>
        </w:tc>
        <w:tc>
          <w:tcPr>
            <w:tcW w:w="5333" w:type="dxa"/>
            <w:tcMar>
              <w:left w:w="113" w:type="dxa"/>
              <w:right w:w="113" w:type="dxa"/>
            </w:tcMar>
            <w:vAlign w:val="center"/>
          </w:tcPr>
          <w:p>
            <w:pPr>
              <w:keepNext w:val="0"/>
              <w:keepLines w:val="0"/>
              <w:suppressLineNumbers w:val="0"/>
              <w:wordWrap w:val="0"/>
              <w:autoSpaceDE w:val="0"/>
              <w:autoSpaceDN w:val="0"/>
              <w:snapToGrid w:val="0"/>
              <w:spacing w:before="0" w:beforeAutospacing="0" w:after="0" w:afterAutospacing="0"/>
              <w:ind w:left="0" w:right="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见</w:t>
            </w:r>
            <w:r>
              <w:rPr>
                <w:rFonts w:hint="eastAsia" w:ascii="宋体" w:hAnsi="宋体" w:cs="宋体"/>
                <w:color w:val="auto"/>
                <w:kern w:val="0"/>
                <w:sz w:val="24"/>
                <w:szCs w:val="24"/>
                <w:highlight w:val="none"/>
                <w:lang w:eastAsia="zh-CN"/>
              </w:rPr>
              <w:t>市场比价</w:t>
            </w:r>
            <w:r>
              <w:rPr>
                <w:rFonts w:hint="eastAsia" w:ascii="宋体" w:hAnsi="宋体" w:eastAsia="宋体" w:cs="宋体"/>
                <w:color w:val="auto"/>
                <w:kern w:val="0"/>
                <w:sz w:val="24"/>
                <w:szCs w:val="24"/>
                <w:highlight w:val="none"/>
                <w:lang w:eastAsia="zh-CN"/>
              </w:rPr>
              <w:t>公告</w:t>
            </w:r>
            <w:r>
              <w:rPr>
                <w:rFonts w:hint="eastAsia" w:ascii="宋体" w:hAnsi="宋体" w:eastAsia="宋体" w:cs="宋体"/>
                <w:color w:val="auto"/>
                <w:kern w:val="0"/>
                <w:sz w:val="24"/>
                <w:szCs w:val="24"/>
                <w:highlight w:val="none"/>
              </w:rPr>
              <w:t>，供应商应当仔细上网查看地点及时间相关发布或变更信息，递交至错误的</w:t>
            </w:r>
            <w:r>
              <w:rPr>
                <w:rFonts w:hint="eastAsia" w:ascii="宋体" w:hAnsi="宋体" w:cs="宋体"/>
                <w:color w:val="auto"/>
                <w:kern w:val="0"/>
                <w:sz w:val="24"/>
                <w:szCs w:val="24"/>
                <w:highlight w:val="none"/>
                <w:lang w:eastAsia="zh-CN"/>
              </w:rPr>
              <w:t>市场比价</w:t>
            </w:r>
            <w:r>
              <w:rPr>
                <w:rFonts w:hint="eastAsia" w:ascii="宋体" w:hAnsi="宋体" w:eastAsia="宋体" w:cs="宋体"/>
                <w:color w:val="auto"/>
                <w:kern w:val="0"/>
                <w:sz w:val="24"/>
                <w:szCs w:val="24"/>
                <w:highlight w:val="none"/>
              </w:rPr>
              <w:t>响应地点将造成标书无法接受。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rPr>
              <w:t>1</w:t>
            </w:r>
            <w:r>
              <w:rPr>
                <w:rFonts w:hint="eastAsia" w:cs="宋体"/>
                <w:color w:val="auto"/>
                <w:sz w:val="24"/>
                <w:szCs w:val="24"/>
                <w:highlight w:val="none"/>
                <w:lang w:val="en-US" w:eastAsia="zh-CN"/>
              </w:rPr>
              <w:t>5</w:t>
            </w:r>
          </w:p>
        </w:tc>
        <w:tc>
          <w:tcPr>
            <w:tcW w:w="2920"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zh-CN"/>
              </w:rPr>
              <w:t>市场比价</w:t>
            </w:r>
            <w:r>
              <w:rPr>
                <w:rFonts w:hint="eastAsia" w:ascii="宋体" w:hAnsi="宋体" w:eastAsia="宋体" w:cs="宋体"/>
                <w:color w:val="auto"/>
                <w:sz w:val="24"/>
                <w:szCs w:val="24"/>
                <w:highlight w:val="none"/>
                <w:lang w:val="zh-CN"/>
              </w:rPr>
              <w:t>及响应截止时间</w:t>
            </w:r>
          </w:p>
        </w:tc>
        <w:tc>
          <w:tcPr>
            <w:tcW w:w="5333"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rPr>
              <w:t>见</w:t>
            </w:r>
            <w:r>
              <w:rPr>
                <w:rFonts w:hint="eastAsia" w:cs="宋体"/>
                <w:color w:val="auto"/>
                <w:sz w:val="24"/>
                <w:szCs w:val="24"/>
                <w:highlight w:val="none"/>
                <w:lang w:eastAsia="zh-CN"/>
              </w:rPr>
              <w:t>市场比价</w:t>
            </w:r>
            <w:r>
              <w:rPr>
                <w:rFonts w:hint="eastAsia" w:ascii="宋体" w:hAnsi="宋体" w:eastAsia="宋体" w:cs="宋体"/>
                <w:color w:val="auto"/>
                <w:sz w:val="24"/>
                <w:szCs w:val="24"/>
                <w:highlight w:val="none"/>
                <w:lang w:eastAsia="zh-CN"/>
              </w:rPr>
              <w:t>公告</w:t>
            </w:r>
            <w:r>
              <w:rPr>
                <w:rFonts w:hint="eastAsia" w:ascii="宋体" w:hAnsi="宋体" w:eastAsia="宋体" w:cs="宋体"/>
                <w:color w:val="auto"/>
                <w:sz w:val="24"/>
                <w:szCs w:val="24"/>
                <w:highlight w:val="none"/>
                <w:lang w:val="zh-CN"/>
              </w:rPr>
              <w:t>，迟于响应截止时间递交的文件将不予接受。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16</w:t>
            </w:r>
          </w:p>
        </w:tc>
        <w:tc>
          <w:tcPr>
            <w:tcW w:w="2920"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rPr>
              <w:t>费用承担</w:t>
            </w:r>
          </w:p>
        </w:tc>
        <w:tc>
          <w:tcPr>
            <w:tcW w:w="5333"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rPr>
              <w:t>供应商参加</w:t>
            </w:r>
            <w:r>
              <w:rPr>
                <w:rFonts w:hint="eastAsia" w:cs="宋体"/>
                <w:color w:val="auto"/>
                <w:sz w:val="24"/>
                <w:szCs w:val="24"/>
                <w:highlight w:val="none"/>
                <w:lang w:eastAsia="zh-CN"/>
              </w:rPr>
              <w:t>市场比价</w:t>
            </w:r>
            <w:r>
              <w:rPr>
                <w:rFonts w:hint="eastAsia" w:ascii="宋体" w:hAnsi="宋体" w:eastAsia="宋体" w:cs="宋体"/>
                <w:color w:val="auto"/>
                <w:sz w:val="24"/>
                <w:szCs w:val="24"/>
                <w:highlight w:val="none"/>
              </w:rPr>
              <w:t>活动发生的一切费用均自理</w:t>
            </w:r>
            <w:r>
              <w:rPr>
                <w:rFonts w:hint="eastAsia" w:ascii="宋体" w:hAnsi="宋体" w:eastAsia="宋体" w:cs="宋体"/>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804"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zh-CN"/>
              </w:rPr>
              <w:t>1</w:t>
            </w:r>
            <w:r>
              <w:rPr>
                <w:rFonts w:hint="eastAsia" w:cs="宋体"/>
                <w:color w:val="auto"/>
                <w:sz w:val="24"/>
                <w:szCs w:val="24"/>
                <w:highlight w:val="none"/>
                <w:lang w:val="en-US" w:eastAsia="zh-CN"/>
              </w:rPr>
              <w:t>7</w:t>
            </w:r>
          </w:p>
        </w:tc>
        <w:tc>
          <w:tcPr>
            <w:tcW w:w="2920"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rPr>
              <w:t>合同签订时间</w:t>
            </w:r>
          </w:p>
        </w:tc>
        <w:tc>
          <w:tcPr>
            <w:tcW w:w="5333" w:type="dxa"/>
            <w:tcMar>
              <w:left w:w="113" w:type="dxa"/>
              <w:right w:w="113" w:type="dxa"/>
            </w:tcMar>
            <w:vAlign w:val="center"/>
          </w:tcPr>
          <w:p>
            <w:pPr>
              <w:pStyle w:val="4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rPr>
              <w:t>采购人通知领取成交通知书后，成交供应商应在3日内领取成交通知书，领取后30天内与采购人签订合同，逾期不领取成交通知书或不签订合同的，顺延至第二成交供应商或重新采购。</w:t>
            </w:r>
          </w:p>
        </w:tc>
      </w:tr>
      <w:bookmarkEnd w:id="0"/>
      <w:bookmarkEnd w:id="1"/>
      <w:bookmarkEnd w:id="2"/>
      <w:bookmarkEnd w:id="3"/>
      <w:bookmarkEnd w:id="4"/>
    </w:tbl>
    <w:p>
      <w:pPr>
        <w:jc w:val="center"/>
        <w:rPr>
          <w:rFonts w:hint="eastAsia" w:ascii="宋体" w:hAnsi="宋体" w:eastAsia="宋体" w:cs="宋体"/>
          <w:b/>
          <w:bCs/>
          <w:color w:val="auto"/>
          <w:sz w:val="28"/>
          <w:szCs w:val="28"/>
          <w:highlight w:val="none"/>
        </w:rPr>
      </w:pPr>
    </w:p>
    <w:p>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第三章  </w:t>
      </w:r>
      <w:r>
        <w:rPr>
          <w:rFonts w:hint="eastAsia" w:ascii="宋体" w:hAnsi="宋体" w:cs="宋体"/>
          <w:b/>
          <w:bCs/>
          <w:color w:val="auto"/>
          <w:sz w:val="28"/>
          <w:szCs w:val="28"/>
          <w:highlight w:val="none"/>
          <w:lang w:eastAsia="zh-CN"/>
        </w:rPr>
        <w:t>市场比价</w:t>
      </w:r>
      <w:r>
        <w:rPr>
          <w:rFonts w:hint="eastAsia" w:ascii="宋体" w:hAnsi="宋体" w:eastAsia="宋体" w:cs="宋体"/>
          <w:b/>
          <w:bCs/>
          <w:color w:val="auto"/>
          <w:sz w:val="28"/>
          <w:szCs w:val="28"/>
          <w:highlight w:val="none"/>
        </w:rPr>
        <w:t>响应供应商须知</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一、总则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文件仅适用于本次</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的服务项目。根据</w:t>
      </w:r>
      <w:r>
        <w:rPr>
          <w:rFonts w:hint="eastAsia" w:ascii="宋体" w:hAnsi="宋体" w:cs="宋体"/>
          <w:color w:val="auto"/>
          <w:sz w:val="24"/>
          <w:szCs w:val="24"/>
          <w:highlight w:val="none"/>
          <w:lang w:eastAsia="zh-CN"/>
        </w:rPr>
        <w:t>使用部门</w:t>
      </w:r>
      <w:r>
        <w:rPr>
          <w:rFonts w:hint="eastAsia" w:ascii="宋体" w:hAnsi="宋体" w:eastAsia="宋体" w:cs="宋体"/>
          <w:color w:val="auto"/>
          <w:sz w:val="24"/>
          <w:szCs w:val="24"/>
          <w:highlight w:val="none"/>
        </w:rPr>
        <w:t>提交的服务要求，对此项目进行采购代理，编制</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2、本次</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的服务系指除货物和工程以外的其他政府采购对象。无论</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文件是否列明，供应商所提供的服务必须符合国家相关现行法律法规的规定，否则</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响应无效。本</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文件所要求的证书、认证、资质，均应当是有权机构颁发，且在有效期内。</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w:t>
      </w:r>
      <w:r>
        <w:rPr>
          <w:rFonts w:hint="eastAsia" w:ascii="宋体" w:hAnsi="宋体" w:cs="宋体"/>
          <w:b/>
          <w:bCs/>
          <w:color w:val="auto"/>
          <w:sz w:val="24"/>
          <w:szCs w:val="24"/>
          <w:highlight w:val="none"/>
          <w:lang w:eastAsia="zh-CN"/>
        </w:rPr>
        <w:t>市场比价</w:t>
      </w:r>
      <w:r>
        <w:rPr>
          <w:rFonts w:hint="eastAsia" w:ascii="宋体" w:hAnsi="宋体" w:eastAsia="宋体" w:cs="宋体"/>
          <w:b/>
          <w:bCs/>
          <w:color w:val="auto"/>
          <w:sz w:val="24"/>
          <w:szCs w:val="24"/>
          <w:highlight w:val="none"/>
        </w:rPr>
        <w:t>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、供应商应当按照</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文件的要求编制</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响应文件应对</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文件提出的要求和条件作出实质性响应。供应商应认真阅读和充分理解</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文件中所有的内容。如果供应商没有满足</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文件的有关要求，其风险由供应商自行承担。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、供应商获取</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文件后，应仔细检查</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文件的所有内容，如有残缺、疑问等问题应向采购代理机构提出，否则，由此引起的损失由供应商自行承担。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、答疑及</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文件的澄清与修改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.1供应商可以要求采购单位对</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文件中的有关问题进行答疑、澄清。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.2供应商对</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文件如有疑问，须按</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公告中的联系方式，以书面形式（如传真、信件等）通知采购人和采购代理机构。未在规定时间提出疑问的，将不予答复。在此规定时间以前收到的、且需要做出澄清的问题，将以</w:t>
      </w:r>
      <w:r>
        <w:rPr>
          <w:rFonts w:hint="eastAsia" w:ascii="宋体" w:hAnsi="宋体" w:eastAsia="宋体" w:cs="宋体"/>
          <w:color w:val="auto"/>
          <w:sz w:val="24"/>
          <w:szCs w:val="24"/>
          <w:highlight w:val="none"/>
          <w:lang w:val="en-US" w:eastAsia="zh-CN"/>
        </w:rPr>
        <w:t>书面</w:t>
      </w:r>
      <w:r>
        <w:rPr>
          <w:rFonts w:hint="eastAsia" w:ascii="宋体" w:hAnsi="宋体" w:eastAsia="宋体" w:cs="宋体"/>
          <w:color w:val="auto"/>
          <w:sz w:val="24"/>
          <w:szCs w:val="24"/>
          <w:highlight w:val="none"/>
        </w:rPr>
        <w:t>的形式告知所有供应商，但不说明问题的来源。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文件的修改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.1在某些情况下，采购人可能对</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文件进行修改。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.2采购人对</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文件的修改，将以补充公告的形式通知所有供应商，并对所有供应商具有约束力。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.3为使供应商有充分时间对</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文件的修改部分进行研究或由于其他原因，采购人可以决定延长</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响应截止日期，并以补充公告的形式将变更时间通知所有供应商。</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响应费用。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供应商必须自行承担所有与参加</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响应有关的一切费用。不论</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响应的结果如何，采购人在任何情况下均无义务和责任承担这些费用。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、合格的供应商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.1合格的供应商应当满足本项目采购文件所载明须满足的最低条件。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.2供应商之间如果存在下列情形之一的，且参加同一标段（包别）或者不分标段（包别）的同一项目</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响应，相关供应商均按无效标进行处理：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.2.1法定代表人为同一个人的两个及两个以上法人；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.2.2母公司、全资子公司及其控股公司；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.2.3参加</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响应的其他组织之间存在特殊的利害关系的；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.2.4法律和行政法规规定的其他情形。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、勘察现场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.1供应商应自行对供货现场和周围环境进行勘察，以获取编制</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响应文件和签署合同所需的资料。勘察现场的方式、地址及联系方式见供应商须知前附表。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.3除非有特殊要求，</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文件不单独提供现场的自然环境、气候条件、公用设施等情况，供应商被视为熟悉上述与履行合同有关的一切情况。</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、知识产权</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.1供应商须保证，采购人在中华人民共和国境内使用</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响应货物、资料、技术、服务或其任何一部分时，享有不受限制的无偿使用权，不会产生因第三方提出侵犯其专利权、商标权或其它知识产权而引起的法律或经济纠纷。如供应商不拥有相应的知识产权，则在</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响应报价中必须包括合法获取该知识产权的一切相关费用。如因此导致采购人损失的，供应商须承担全部赔偿责任。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.2供应商如欲在项目实施过程中采用自有知识成果，须在</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响应文件中声明，并提供相关知识产权证明文件。使用该知识成果后，供应商须提供开发接口和开发手册等技术文档。</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、纪律与保密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.1供应商的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响应行为应遵守中国的有关法律、法规和规章。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.2供应商不得相互串通</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响应报价，不得妨碍其他供应商的公平竞争，不得损害采购人或其他供应商的合法权益，供应商不得以向采购人、</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小组成员行贿或者采取其他不正当手段谋取成交。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.2.1有下列情形之一的，属于供应商相互串通</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.2.1.1供应商之间协商</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响应报价等</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响应文件的实质性内容；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.2.1.2供应商之间约定成交供应商；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.2.1.3供应商之间约定部分供应商放弃</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响应或者成交；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.2.1.4属于同一集团、协会、商会等组织成员的供应商按照该组织要求协同</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.2.1.5供应商之间为谋取成交或者排斥特定供应商而采取的其他联合行动。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.2.1.6法律法规规定的其它情形。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.2.2 有下列情形之一的，视为供应商相互串通</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.2.2.1不同供应商的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响应文件由同一单位或者个人编制；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.2.2.2不同供应商委托同一单位或者个人办理</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响应事宜；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.2.2.3不同供应商的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响应文件载明的项目负责人（或技术负责人）为同一人；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.2.2.4不同供应商的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响应文件相互混装；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.2.2.5不同供应商的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文件异常一致或者</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最终报价是呈规律性差异；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.2.2.6不同供应商的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响应保证金从同一单位（或者同一个人）的账户转出；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.2.2.7 法律法规规定的其它情形。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.3在确定成交供应商之前，供应商试图在</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响应文件审查、澄清、比较和评价时对</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小组和采购人施加任何影响都可能导致其</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响应无效。</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、联合体</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响应（本项目不采用）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.1除非本项目明确要求不接受联合体形式</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响应外，两个或两个以上供应商可以组成一个联合体</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响应，以一个供应商的身份</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.2联合体各方之间应当签订联合体协议，明确约定联合体各方应当承担的工作和相应的责任，明确联合体牵头人，并将联合体协议连同</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响应文件一并提交，联合体协议上需加盖联合体各方单位公章。由同一专业的单位组成的联合体，按照同一资质等级较低的单位确定资质等级。</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.3联合体各方签订联合体协议后，不得再以自己的名义单独在同一项目中</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响应，也不得组成新的联合体参加同一项目</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响应，否则相关供应商均作无效标处理。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.4联合体</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响应的，可以由联合体中的一方或者共同提交</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响应保证金，以一方名义提交保证金的，对联合体各方均具有约束力。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、签章的效力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文件中明确要求签章的，供应商必须在相应位置签章。</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、企业诚信库（本项目不采用）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.1为进一步规范</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响应行为，提高</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响应工作效率，降低</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响应成本，加强对供应商诚信信息的管理，加快政府采购工作电子化、信息化建设，中心实行供应商企业诚信库制度，并面向全国免费征集。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2入库资料的真实性、有效性、完整性、准确性、合法性及清晰度由供应商负责。中心只负责对供应商所提供的入库资料原件与上传扫描件进行比对；企业库中文字信息、扫描件必须与真实证照完全一致，企业诚信库资料的有效性在评标时由项目</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小组负责审核。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.3为确保</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响应文件通过评审，供应商应及时对入库资料进行补充、更新。如因前款原因未通过本项目</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小组评审，由供应商承担全部责任。</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w:t>
      </w:r>
      <w:r>
        <w:rPr>
          <w:rFonts w:hint="eastAsia" w:ascii="宋体" w:hAnsi="宋体" w:cs="宋体"/>
          <w:b/>
          <w:bCs/>
          <w:color w:val="auto"/>
          <w:sz w:val="24"/>
          <w:szCs w:val="24"/>
          <w:highlight w:val="none"/>
          <w:lang w:eastAsia="zh-CN"/>
        </w:rPr>
        <w:t>市场比价</w:t>
      </w:r>
      <w:r>
        <w:rPr>
          <w:rFonts w:hint="eastAsia" w:ascii="宋体" w:hAnsi="宋体" w:eastAsia="宋体" w:cs="宋体"/>
          <w:b/>
          <w:bCs/>
          <w:color w:val="auto"/>
          <w:sz w:val="24"/>
          <w:szCs w:val="24"/>
          <w:highlight w:val="none"/>
        </w:rPr>
        <w:t>响应文件的编制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响应的语言及度量衡单位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.1供应商的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响应文件、以及供应商与采购单位就</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响应的所有往来函电，均须使用简体中文。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.2除</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文件中另有规定外，</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响应文件所使用的度量衡均须采用法定计量单位。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响应文件构成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响应文件应包括本</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文件格式中所规定的全部内容。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.2供应商必须对其</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响应文件的真实性与准确性负责。供应商一旦成为成交供应商，其</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响应文件将作为合同的重要组成部分。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.3除文件中规定允许变动的格式，供应商不得擅自对</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文件规定的格式、条款和技术要求进行修改。否则，其</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响应文件在评标时有可能被认为是未对</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文件做出实质性的响应而中止对其作进一步的评审。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响应报价表上应清楚地标明供应商拟提供货物的名称、单价和总价。只允许有一个方案、一个报价，多方案、多报价的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响应文件将不被接受。</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响应报价表上</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的价格是交货地的验收价格，其总价即为履行合同的固定价格。</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w:t>
      </w:r>
      <w:bookmarkStart w:id="7" w:name="EB616bfadcee8947c09e287939cf58f192"/>
      <w:r>
        <w:rPr>
          <w:rFonts w:hint="eastAsia" w:ascii="宋体" w:hAnsi="宋体" w:eastAsia="宋体" w:cs="宋体"/>
          <w:color w:val="auto"/>
          <w:sz w:val="24"/>
          <w:szCs w:val="24"/>
          <w:highlight w:val="none"/>
        </w:rPr>
        <w:t>供应商的报价应包含所投服务、人员工资、津补贴、社保支出、交通补贴等工作所发生的一切应有费用。</w:t>
      </w:r>
      <w:bookmarkEnd w:id="7"/>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响应报价为签订合同的依据。</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.4供应商应在</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响应文件中注明拟提供服务、货物的单价、服务内容明细和总价。除政策性文件规定以外，供应商所报价格在合同实施期间不因市场变化因素而变动。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响应货币：</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响应须以人民币报价。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、证明供应商合格的文件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.1供应商在其</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响应文件中，应根据采购文件要求提交证明其有资格参加</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响应和成交后有能力履行合同的证明文件，作为其</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响应文件的一部分。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.2供应商资质证书（或资格证明）处于年检、换证、升级、变更等期间，除非法律法规或发证机构有书面材料明确表明供应商资质（或资格)有效，否则一律不予认可。</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响应文件的密封和标记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.1</w:t>
      </w:r>
      <w:bookmarkStart w:id="8" w:name="_Hlt509650747"/>
      <w:bookmarkEnd w:id="8"/>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响应截止时间前，供应商须到达公告指定的地点将密封的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响应文件提交给招标代理工作人员，未密封的不予接收。</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响应文件应当密封，并在密封袋上标注项目名称、项目编号、供应商名称及包别。</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.2如果未按规定封装或加写标记或递交，采购代理机构将不承担</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响应文件错放或提前开封的责任，并导致该类别</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响应文件递交无效。</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.3供应商应按照供应商须知前附表的要求准备</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w:t>
      </w:r>
      <w:r>
        <w:rPr>
          <w:rFonts w:hint="eastAsia" w:ascii="宋体" w:hAnsi="宋体" w:cs="宋体"/>
          <w:b/>
          <w:bCs/>
          <w:color w:val="auto"/>
          <w:sz w:val="24"/>
          <w:szCs w:val="24"/>
          <w:highlight w:val="none"/>
          <w:lang w:eastAsia="zh-CN"/>
        </w:rPr>
        <w:t>市场比价</w:t>
      </w:r>
      <w:r>
        <w:rPr>
          <w:rFonts w:hint="eastAsia" w:ascii="宋体" w:hAnsi="宋体" w:eastAsia="宋体" w:cs="宋体"/>
          <w:b/>
          <w:bCs/>
          <w:color w:val="auto"/>
          <w:sz w:val="24"/>
          <w:szCs w:val="24"/>
          <w:highlight w:val="none"/>
        </w:rPr>
        <w:t>响应文件的递交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 xml:space="preserve">响应文件的递交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响应文件的递交是指供应商在</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响应截止时间前密封送达指定开标地点并递交的。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响应截止时间前，供应商可以修改或撤回已提交的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响应文件，以</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响应截止时间前递交的最后一份为准。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.3在</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文件要求提交</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响应文件的截止时间之后送达的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响应文件，为无效</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响应文件，将拒绝接收。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响应保证金回单复印件或影印件（如有）需一同递交，否则其</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响应将被拒绝：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、拒绝的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.1采购单位将拒绝迟交的标书并原封退回。</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响应书的修改和撤回</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.1供应商递交</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响应书后，可以在规定的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响应截止时间前修改或撤回其</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响应书。但这种修改和撤回，必须以书面形式通知采购单位。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.2供应商修改书或撤回通知书，应由法定代表人或其授权代表签署，修改书应当按</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文件要求进行密封、标记和提交。</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六、开标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、开标活动应当符合相关法律法规。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、开标会议</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见公告</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按规定提交合格的撤回通知的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响应文件不予开封，并退回给供应商。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开标由采购人</w:t>
      </w:r>
      <w:r>
        <w:rPr>
          <w:rFonts w:hint="eastAsia" w:ascii="宋体" w:hAnsi="宋体" w:cs="宋体"/>
          <w:color w:val="auto"/>
          <w:sz w:val="24"/>
          <w:szCs w:val="24"/>
          <w:highlight w:val="none"/>
          <w:lang w:eastAsia="zh-CN"/>
        </w:rPr>
        <w:t>在监督部门监督下</w:t>
      </w:r>
      <w:r>
        <w:rPr>
          <w:rFonts w:hint="eastAsia" w:ascii="宋体" w:hAnsi="宋体" w:eastAsia="宋体" w:cs="宋体"/>
          <w:color w:val="auto"/>
          <w:sz w:val="24"/>
          <w:szCs w:val="24"/>
          <w:highlight w:val="none"/>
        </w:rPr>
        <w:t>主持，主持人并按下列程序进行。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2.3.1主持人公布在</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响应截止时间前递交</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响应文件的供应商名称，并与供应商代表检查</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响应文件有效性和密封情况。</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2.3.2供应商应在投标截止时间前</w:t>
      </w:r>
      <w:r>
        <w:rPr>
          <w:rFonts w:hint="eastAsia" w:ascii="宋体" w:hAnsi="宋体" w:cs="宋体"/>
          <w:color w:val="auto"/>
          <w:sz w:val="24"/>
          <w:szCs w:val="24"/>
          <w:highlight w:val="none"/>
          <w:lang w:eastAsia="zh-CN"/>
        </w:rPr>
        <w:t>提交投标文件</w:t>
      </w:r>
      <w:r>
        <w:rPr>
          <w:rFonts w:hint="eastAsia" w:ascii="宋体" w:hAnsi="宋体" w:eastAsia="宋体" w:cs="宋体"/>
          <w:color w:val="auto"/>
          <w:sz w:val="24"/>
          <w:szCs w:val="24"/>
          <w:highlight w:val="none"/>
        </w:rPr>
        <w:t>。</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七、评标定标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与评标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与评审程序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小组由采购人依法组建，成员人数为3人以上单数。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小组首先对供应商的有效性进行审查。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、成交候选人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.1推荐成交候选人。在全部满足</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文件实质性要求前提下，按照</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文件中规定的各项因素进行综合评审，以总得分由高到低的顺序并经须知前附表中要求的信用信息查询后，提出成交候选供应商。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.2评标过程的保密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开标后，直至授予成交供应商合同为止，凡属于对</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响应文件的审查、澄清、评价和比较的有关资料以及成交候选人的推荐情况，与评标有关的其他任何情况均严格保密。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成交供应商确定后，采购人不对未成交供应商就评标过程以及未能成交原因作出任何解释。未成交供应商不得向</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小组组成人员或其他有关人员询问评标过程的情况和索要材料。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.3异常情况处理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出现以下情况之一的，将重新组织</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.3.1经过</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，供应商所提供的服务仍无法满足</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文件实质性要求、影响工作的；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.3.2出现影响采购公正的违法、违规行为的。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3、质疑和投诉</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供应商应在法定质疑期内一次性提出针对同一采购程序环节的质疑。提出质疑的供应商应当是参与所质疑项目采购活动的供应商。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供应商如对本采购文件有任何疑问或澄清要求，应在知其权益受到损害之日起七个工作日内提出。否则视同供应商对文件理解和接受。</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供应商对成交公告有质疑的，应在成交公告期限届满之日起七个工作日前提出。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采购文件中非通用条款部分方面及评标结果的质疑向采购人提出，采购人在七个工作日内作出答复。关于采购文件通用条款部分以及采购程序方面的质疑向采购主管部门提出，由其作出答复。质疑人对答复内容不满意的或受理单位未在规定时间内作出答复的，可在答复期满后十五个工作日内向监督管理部门提出投诉。相关联系人及联系方式根据质疑提出阶段的不同分别见采购公告和成交公告。</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八、废标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、在</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采购中，出现下列情形之一的，本项目废标：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合格供应商不足规定家数的；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出现影响采购公正的违法、违规行为的；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采购需求出现重大问题，导致</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 xml:space="preserve">小组认为无法继续评审的；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因重大变故，采购任务取消的。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法律法规规定的其他应该废标的情形。</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九、评标办法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本着坚持“公开、公平、公正”的原则，为维护</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即在全部满足</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文件实质性要求前提下，按投标报价由低到高顺序排列。投标报价相同的，由专家按服务方案优劣顺序进行排序。服务方案得分相同时，则由投标供应商在相关部门的监督下现场抽签决定排序。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、评标程序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小组应认真研究</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文件及采购需求，应了解和熟悉</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项目的范围、性质、特征主要技术服务要求及标准、评审标准等相关内容：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小组首先根据已发布的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文件核对</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响应文件，与</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文件内容不符的，按</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文件内容对</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响应文件进行修改。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小组成员对响应文件有效性进行评审。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.3先进行有效性评审的，采用</w:t>
      </w:r>
      <w:r>
        <w:rPr>
          <w:rFonts w:hint="eastAsia" w:ascii="宋体" w:hAnsi="宋体" w:cs="宋体"/>
          <w:color w:val="auto"/>
          <w:sz w:val="24"/>
          <w:szCs w:val="24"/>
          <w:highlight w:val="none"/>
          <w:lang w:eastAsia="zh-CN"/>
        </w:rPr>
        <w:t>有效低价</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小组根据采购文件，推荐有排序的预成交候选人，并形成评标报告。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.3.1</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小组发现供应商的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响应文件中对同类问题表述不一致、前后矛盾、有明显文字和计算错误的内容、有可能不符合</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文件规定等情况需要澄清时，</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小组将以询标的方式告知并要求供应商以书面方式进行必要的澄清、说明或补正。</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.3.2评审报告是</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小组根据全体评标成员签字的原始评标记录和评标结果编写的报告，</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小组全体成员均须在评审报告上签字。评审报告应如实记录本次评标的主要过程，全面反映评标过程中的各种不同的意见，以及其他澄清、说明、补正事项。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.3.3</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小组在评标过程中发现的问题，应当区别情形及时作出处理。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.3.4</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小组应当将其作为无效投标处理。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.3.5如采购文件中要求提供原件进行审查的，各供应商应按采购文件要求将相关原件材料等带到开标现场，在开标截止时间前一并递交，迟交将不接收。相关原件的扫描件应当加盖公章装订在</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响应文件内，由评标专家进行评审。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.3.6</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小组评审</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响应文件依据为</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响应文件以及按采购文件要求递交的其它资料。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.3.7</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小组和评标工作人员应严格遵守国家的法律、法规和规章制度；严格按照本次</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文件进行评标；公正廉洁、不徇私情，不得损害国家利益；保护采购人、供应商的合法权益。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.3.8投标人存在以下不良信用记录情形之一,不得推荐为中标候选人: </w:t>
      </w:r>
    </w:p>
    <w:p>
      <w:pPr>
        <w:pStyle w:val="47"/>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供应商被人民法院列入失信被执行人的；</w:t>
      </w:r>
    </w:p>
    <w:p>
      <w:pPr>
        <w:pStyle w:val="47"/>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供应商或其法定代表人近三年内被人民检察院列入行贿犯罪档案的；</w:t>
      </w:r>
    </w:p>
    <w:p>
      <w:pPr>
        <w:pStyle w:val="47"/>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rPr>
        <w:t>供应商被工商行政管理部门列入企业经营异常名录的；</w:t>
      </w:r>
    </w:p>
    <w:p>
      <w:pPr>
        <w:pStyle w:val="47"/>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color w:val="auto"/>
          <w:highlight w:val="none"/>
        </w:rPr>
        <w:t>供应商被税务部门列入重大税收违法案件当事人名单的；</w:t>
      </w:r>
    </w:p>
    <w:p>
      <w:pPr>
        <w:pStyle w:val="47"/>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5</w:t>
      </w:r>
      <w:r>
        <w:rPr>
          <w:rFonts w:hint="eastAsia"/>
          <w:color w:val="auto"/>
          <w:highlight w:val="none"/>
          <w:lang w:eastAsia="zh-CN"/>
        </w:rPr>
        <w:t>）</w:t>
      </w:r>
      <w:r>
        <w:rPr>
          <w:rFonts w:hint="eastAsia"/>
          <w:color w:val="auto"/>
          <w:highlight w:val="none"/>
        </w:rPr>
        <w:t>供应商被政府采购监管部门列入政府采购严重违法失信行为记录名单的。</w:t>
      </w:r>
    </w:p>
    <w:p>
      <w:pPr>
        <w:pStyle w:val="47"/>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6</w:t>
      </w:r>
      <w:r>
        <w:rPr>
          <w:rFonts w:hint="eastAsia"/>
          <w:color w:val="auto"/>
          <w:highlight w:val="none"/>
          <w:lang w:eastAsia="zh-CN"/>
        </w:rPr>
        <w:t>）</w:t>
      </w:r>
      <w:r>
        <w:rPr>
          <w:rFonts w:hint="eastAsia"/>
          <w:color w:val="auto"/>
          <w:highlight w:val="none"/>
        </w:rPr>
        <w:t>被铜陵市公共资源交易监管部门记录的不良行为累计分值在 10 分（含）-15 分（不含），且最近一次不良行为记录公布日距开标日未超过 3 个月；</w:t>
      </w:r>
    </w:p>
    <w:p>
      <w:pPr>
        <w:pStyle w:val="47"/>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7</w:t>
      </w:r>
      <w:r>
        <w:rPr>
          <w:rFonts w:hint="eastAsia"/>
          <w:color w:val="auto"/>
          <w:highlight w:val="none"/>
          <w:lang w:eastAsia="zh-CN"/>
        </w:rPr>
        <w:t>）</w:t>
      </w:r>
      <w:r>
        <w:rPr>
          <w:rFonts w:hint="eastAsia"/>
          <w:color w:val="auto"/>
          <w:highlight w:val="none"/>
        </w:rPr>
        <w:t>被铜陵市公共资源交易监管部门记不良行为记录累计分值在 15 分（含）-20 分（不含），且最近一次不良行为记录公布日距开标日未超过 6 个月；</w:t>
      </w:r>
    </w:p>
    <w:p>
      <w:pPr>
        <w:pStyle w:val="47"/>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8</w:t>
      </w:r>
      <w:r>
        <w:rPr>
          <w:rFonts w:hint="eastAsia"/>
          <w:color w:val="auto"/>
          <w:highlight w:val="none"/>
          <w:lang w:eastAsia="zh-CN"/>
        </w:rPr>
        <w:t>）</w:t>
      </w:r>
      <w:r>
        <w:rPr>
          <w:rFonts w:hint="eastAsia"/>
          <w:color w:val="auto"/>
          <w:highlight w:val="none"/>
        </w:rPr>
        <w:t>被铜陵市公共资源交易监管部门记不良行为记录累计分值达 20</w:t>
      </w:r>
      <w:r>
        <w:rPr>
          <w:rFonts w:hint="eastAsia"/>
          <w:color w:val="auto"/>
          <w:highlight w:val="none"/>
          <w:lang w:val="en-US" w:eastAsia="zh-CN"/>
        </w:rPr>
        <w:t xml:space="preserve"> </w:t>
      </w:r>
      <w:r>
        <w:rPr>
          <w:rFonts w:hint="eastAsia"/>
          <w:color w:val="auto"/>
          <w:highlight w:val="none"/>
        </w:rPr>
        <w:t>分（含）以上，且最近一次不良行为记录公布日距开标日未超过 12 个月。</w:t>
      </w:r>
    </w:p>
    <w:p>
      <w:pPr>
        <w:pStyle w:val="47"/>
        <w:wordWrap w:val="0"/>
        <w:spacing w:line="360" w:lineRule="auto"/>
        <w:ind w:firstLine="480" w:firstLineChars="200"/>
        <w:jc w:val="left"/>
        <w:rPr>
          <w:rFonts w:hint="eastAsia"/>
          <w:color w:val="auto"/>
          <w:highlight w:val="none"/>
        </w:rPr>
      </w:pPr>
      <w:r>
        <w:rPr>
          <w:rFonts w:hint="eastAsia"/>
          <w:color w:val="auto"/>
          <w:highlight w:val="none"/>
        </w:rPr>
        <w:t>以 上 情 形 第 （ 1 ）（ 3 ）（ 4 ）（ 5 ） 条 以 “ 信 用 中 国 ”</w:t>
      </w:r>
    </w:p>
    <w:p>
      <w:pPr>
        <w:pStyle w:val="47"/>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"http://www.creditchina.gov.cn/" \h </w:instrText>
      </w:r>
      <w:r>
        <w:rPr>
          <w:rFonts w:hint="eastAsia"/>
          <w:color w:val="auto"/>
          <w:highlight w:val="none"/>
        </w:rPr>
        <w:fldChar w:fldCharType="separate"/>
      </w:r>
      <w:r>
        <w:rPr>
          <w:rFonts w:hint="eastAsia"/>
          <w:color w:val="auto"/>
          <w:highlight w:val="none"/>
        </w:rPr>
        <w:t>http://www.creditchina.gov.cn</w:t>
      </w:r>
      <w:r>
        <w:rPr>
          <w:rFonts w:hint="eastAsia"/>
          <w:color w:val="auto"/>
          <w:highlight w:val="none"/>
        </w:rPr>
        <w:fldChar w:fldCharType="end"/>
      </w:r>
      <w:r>
        <w:rPr>
          <w:rFonts w:hint="eastAsia"/>
          <w:color w:val="auto"/>
          <w:highlight w:val="none"/>
        </w:rPr>
        <w:t>）或其他指定媒介[国家税务总局网站</w:t>
      </w:r>
    </w:p>
    <w:p>
      <w:pPr>
        <w:pStyle w:val="47"/>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"http://www.chinatax.gov.cn/" \h </w:instrText>
      </w:r>
      <w:r>
        <w:rPr>
          <w:rFonts w:hint="eastAsia"/>
          <w:color w:val="auto"/>
          <w:highlight w:val="none"/>
        </w:rPr>
        <w:fldChar w:fldCharType="separate"/>
      </w:r>
      <w:r>
        <w:rPr>
          <w:rFonts w:hint="eastAsia"/>
          <w:color w:val="auto"/>
          <w:highlight w:val="none"/>
        </w:rPr>
        <w:t>www.chinatax.gov.cn</w:t>
      </w:r>
      <w:r>
        <w:rPr>
          <w:rFonts w:hint="eastAsia"/>
          <w:color w:val="auto"/>
          <w:highlight w:val="none"/>
        </w:rPr>
        <w:fldChar w:fldCharType="end"/>
      </w:r>
      <w:r>
        <w:rPr>
          <w:rFonts w:hint="eastAsia"/>
          <w:color w:val="auto"/>
          <w:highlight w:val="none"/>
        </w:rPr>
        <w:t>）、中国政府采购网（</w:t>
      </w:r>
      <w:r>
        <w:rPr>
          <w:rFonts w:hint="eastAsia"/>
          <w:color w:val="auto"/>
          <w:highlight w:val="none"/>
        </w:rPr>
        <w:fldChar w:fldCharType="begin"/>
      </w:r>
      <w:r>
        <w:rPr>
          <w:rFonts w:hint="eastAsia"/>
          <w:color w:val="auto"/>
          <w:highlight w:val="none"/>
        </w:rPr>
        <w:instrText xml:space="preserve"> HYPERLINK "http://www.ccgp.gov.cn/" \h </w:instrText>
      </w:r>
      <w:r>
        <w:rPr>
          <w:rFonts w:hint="eastAsia"/>
          <w:color w:val="auto"/>
          <w:highlight w:val="none"/>
        </w:rPr>
        <w:fldChar w:fldCharType="separate"/>
      </w:r>
      <w:r>
        <w:rPr>
          <w:rFonts w:hint="eastAsia"/>
          <w:color w:val="auto"/>
          <w:highlight w:val="none"/>
        </w:rPr>
        <w:t>www.ccgp.gov.cn</w:t>
      </w:r>
      <w:r>
        <w:rPr>
          <w:rFonts w:hint="eastAsia"/>
          <w:color w:val="auto"/>
          <w:highlight w:val="none"/>
        </w:rPr>
        <w:fldChar w:fldCharType="end"/>
      </w:r>
      <w:r>
        <w:rPr>
          <w:rFonts w:hint="eastAsia"/>
          <w:color w:val="auto"/>
          <w:highlight w:val="none"/>
        </w:rPr>
        <w:t>）、最高人民法院网站（</w:t>
      </w:r>
      <w:r>
        <w:rPr>
          <w:rFonts w:hint="eastAsia"/>
          <w:color w:val="auto"/>
          <w:highlight w:val="none"/>
        </w:rPr>
        <w:fldChar w:fldCharType="begin"/>
      </w:r>
      <w:r>
        <w:rPr>
          <w:rFonts w:hint="eastAsia"/>
          <w:color w:val="auto"/>
          <w:highlight w:val="none"/>
        </w:rPr>
        <w:instrText xml:space="preserve"> HYPERLINK "http://www.court.gov.cn/" \h </w:instrText>
      </w:r>
      <w:r>
        <w:rPr>
          <w:rFonts w:hint="eastAsia"/>
          <w:color w:val="auto"/>
          <w:highlight w:val="none"/>
        </w:rPr>
        <w:fldChar w:fldCharType="separate"/>
      </w:r>
      <w:r>
        <w:rPr>
          <w:rFonts w:hint="eastAsia"/>
          <w:color w:val="auto"/>
          <w:highlight w:val="none"/>
        </w:rPr>
        <w:t>www.court.gov.cn</w:t>
      </w:r>
      <w:r>
        <w:rPr>
          <w:rFonts w:hint="eastAsia"/>
          <w:color w:val="auto"/>
          <w:highlight w:val="none"/>
        </w:rPr>
        <w:fldChar w:fldCharType="end"/>
      </w:r>
      <w:r>
        <w:rPr>
          <w:rFonts w:hint="eastAsia"/>
          <w:color w:val="auto"/>
          <w:highlight w:val="none"/>
        </w:rPr>
        <w:t>）、国家企业信用信息公示系统网站</w:t>
      </w:r>
    </w:p>
    <w:p>
      <w:pPr>
        <w:pStyle w:val="47"/>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"http://www.gsxt.gov.cn/" \h </w:instrText>
      </w:r>
      <w:r>
        <w:rPr>
          <w:rFonts w:hint="eastAsia"/>
          <w:color w:val="auto"/>
          <w:highlight w:val="none"/>
        </w:rPr>
        <w:fldChar w:fldCharType="separate"/>
      </w:r>
      <w:r>
        <w:rPr>
          <w:rFonts w:hint="eastAsia"/>
          <w:color w:val="auto"/>
          <w:highlight w:val="none"/>
        </w:rPr>
        <w:t>www.gsxt.gov.cn</w:t>
      </w:r>
      <w:r>
        <w:rPr>
          <w:rFonts w:hint="eastAsia"/>
          <w:color w:val="auto"/>
          <w:highlight w:val="none"/>
        </w:rPr>
        <w:fldChar w:fldCharType="end"/>
      </w:r>
      <w:r>
        <w:rPr>
          <w:rFonts w:hint="eastAsia"/>
          <w:color w:val="auto"/>
          <w:highlight w:val="none"/>
        </w:rPr>
        <w:t>）、中国裁判文书网（wenshu.court.gov.cn）。]发布的为准。由采购人代表或委托</w:t>
      </w:r>
      <w:r>
        <w:rPr>
          <w:rFonts w:hint="eastAsia"/>
          <w:color w:val="auto"/>
          <w:highlight w:val="none"/>
          <w:lang w:eastAsia="zh-CN"/>
        </w:rPr>
        <w:t>市场比价</w:t>
      </w:r>
      <w:r>
        <w:rPr>
          <w:rFonts w:hint="eastAsia"/>
          <w:color w:val="auto"/>
          <w:highlight w:val="none"/>
        </w:rPr>
        <w:t>小组在推荐成交候选人前对拟推荐的成交候选人进行查询并将查询结果截图反馈至</w:t>
      </w:r>
      <w:r>
        <w:rPr>
          <w:rFonts w:hint="eastAsia"/>
          <w:color w:val="auto"/>
          <w:highlight w:val="none"/>
          <w:lang w:eastAsia="zh-CN"/>
        </w:rPr>
        <w:t>市场比价</w:t>
      </w:r>
      <w:r>
        <w:rPr>
          <w:rFonts w:hint="eastAsia"/>
          <w:color w:val="auto"/>
          <w:highlight w:val="none"/>
        </w:rPr>
        <w:t>小组，由</w:t>
      </w:r>
      <w:r>
        <w:rPr>
          <w:rFonts w:hint="eastAsia"/>
          <w:color w:val="auto"/>
          <w:highlight w:val="none"/>
          <w:lang w:eastAsia="zh-CN"/>
        </w:rPr>
        <w:t>市场比价</w:t>
      </w:r>
      <w:r>
        <w:rPr>
          <w:rFonts w:hint="eastAsia"/>
          <w:color w:val="auto"/>
          <w:highlight w:val="none"/>
        </w:rPr>
        <w:t>小组记录在评标报告中。如在上述网站查询结果均显示没有相关记录，视为没有上述不良信用记录。如评标过程中因网络、网站的问题无法查询时，在成交公告期间由采购人代表查询并直接采用。</w:t>
      </w:r>
    </w:p>
    <w:p>
      <w:pPr>
        <w:pStyle w:val="47"/>
        <w:wordWrap w:val="0"/>
        <w:spacing w:line="360" w:lineRule="auto"/>
        <w:ind w:firstLine="480" w:firstLineChars="200"/>
        <w:jc w:val="left"/>
        <w:rPr>
          <w:rFonts w:hint="eastAsia"/>
          <w:color w:val="auto"/>
          <w:highlight w:val="none"/>
        </w:rPr>
      </w:pPr>
      <w:r>
        <w:rPr>
          <w:rFonts w:hint="eastAsia"/>
          <w:color w:val="auto"/>
          <w:highlight w:val="none"/>
        </w:rPr>
        <w:t>以上情形（6）、（7）、（8）由采购人代表或委托</w:t>
      </w:r>
      <w:r>
        <w:rPr>
          <w:rFonts w:hint="eastAsia"/>
          <w:color w:val="auto"/>
          <w:highlight w:val="none"/>
          <w:lang w:eastAsia="zh-CN"/>
        </w:rPr>
        <w:t>市场比价</w:t>
      </w:r>
      <w:r>
        <w:rPr>
          <w:rFonts w:hint="eastAsia"/>
          <w:color w:val="auto"/>
          <w:highlight w:val="none"/>
        </w:rPr>
        <w:t>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pPr>
        <w:pStyle w:val="47"/>
        <w:wordWrap w:val="0"/>
        <w:spacing w:line="360" w:lineRule="auto"/>
        <w:ind w:firstLine="482" w:firstLineChars="200"/>
        <w:jc w:val="left"/>
        <w:rPr>
          <w:color w:val="auto"/>
          <w:highlight w:val="none"/>
        </w:rPr>
      </w:pPr>
      <w:r>
        <w:rPr>
          <w:rFonts w:hint="eastAsia"/>
          <w:b/>
          <w:bCs/>
          <w:color w:val="auto"/>
          <w:highlight w:val="none"/>
        </w:rPr>
        <w:t>以上情形由</w:t>
      </w:r>
      <w:r>
        <w:rPr>
          <w:rFonts w:hint="eastAsia"/>
          <w:b/>
          <w:bCs/>
          <w:color w:val="auto"/>
          <w:highlight w:val="none"/>
          <w:lang w:eastAsia="zh-CN"/>
        </w:rPr>
        <w:t>投标供应商</w:t>
      </w:r>
      <w:r>
        <w:rPr>
          <w:rFonts w:hint="eastAsia"/>
          <w:b/>
          <w:bCs/>
          <w:color w:val="auto"/>
          <w:highlight w:val="none"/>
        </w:rPr>
        <w:t>按投标函格式填写相关承诺。</w:t>
      </w:r>
    </w:p>
    <w:p>
      <w:pPr>
        <w:pStyle w:val="47"/>
        <w:wordWrap w:val="0"/>
        <w:spacing w:line="360" w:lineRule="auto"/>
        <w:ind w:firstLine="480" w:firstLineChars="200"/>
        <w:jc w:val="left"/>
        <w:rPr>
          <w:rFonts w:hint="eastAsia"/>
          <w:color w:val="auto"/>
          <w:highlight w:val="none"/>
        </w:rPr>
      </w:pPr>
      <w:r>
        <w:rPr>
          <w:rFonts w:hint="eastAsia"/>
          <w:color w:val="auto"/>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、有效性审查</w:t>
      </w:r>
      <w:r>
        <w:rPr>
          <w:rFonts w:hint="eastAsia" w:ascii="宋体" w:hAnsi="宋体" w:cs="宋体"/>
          <w:b/>
          <w:bCs/>
          <w:color w:val="auto"/>
          <w:sz w:val="24"/>
          <w:szCs w:val="24"/>
          <w:highlight w:val="none"/>
          <w:lang w:eastAsia="zh-CN"/>
        </w:rPr>
        <w:t>（见市场比价文件资格要求）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若有一项不通过，作无效标处理。</w:t>
      </w:r>
    </w:p>
    <w:tbl>
      <w:tblPr>
        <w:tblStyle w:val="20"/>
        <w:tblW w:w="99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12"/>
        <w:gridCol w:w="1236"/>
        <w:gridCol w:w="4800"/>
        <w:gridCol w:w="31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6" w:hRule="exact"/>
          <w:jc w:val="center"/>
        </w:trPr>
        <w:tc>
          <w:tcPr>
            <w:tcW w:w="712"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序号</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合格条件</w:t>
            </w:r>
          </w:p>
        </w:tc>
        <w:tc>
          <w:tcPr>
            <w:tcW w:w="4800"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投标资格合格条件标准</w:t>
            </w:r>
          </w:p>
        </w:tc>
        <w:tc>
          <w:tcPr>
            <w:tcW w:w="3161"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有效证明材料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4" w:hRule="exact"/>
          <w:jc w:val="center"/>
        </w:trPr>
        <w:tc>
          <w:tcPr>
            <w:tcW w:w="712"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sz w:val="20"/>
                <w:szCs w:val="20"/>
                <w:highlight w:val="none"/>
                <w:lang w:val="en-US" w:eastAsia="zh-CN"/>
              </w:rPr>
              <w:t>1</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授权委托书</w:t>
            </w:r>
          </w:p>
        </w:tc>
        <w:tc>
          <w:tcPr>
            <w:tcW w:w="4800"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市场比价</w:t>
            </w:r>
            <w:r>
              <w:rPr>
                <w:rFonts w:hint="eastAsia" w:ascii="宋体" w:hAnsi="宋体" w:eastAsia="宋体" w:cs="宋体"/>
                <w:color w:val="auto"/>
                <w:kern w:val="0"/>
                <w:sz w:val="18"/>
                <w:szCs w:val="18"/>
                <w:lang w:val="en-US" w:eastAsia="zh-CN"/>
              </w:rPr>
              <w:t>响应</w:t>
            </w:r>
            <w:r>
              <w:rPr>
                <w:rFonts w:hint="eastAsia" w:ascii="宋体" w:hAnsi="宋体" w:eastAsia="宋体" w:cs="宋体"/>
                <w:color w:val="auto"/>
                <w:kern w:val="0"/>
                <w:sz w:val="18"/>
                <w:szCs w:val="18"/>
              </w:rPr>
              <w:t>人授权的委托代理人有合法、有效的委托书，委托书按相应要求签字或盖章</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rPr>
              <w:t>同时委托人符合文件相关要求。</w:t>
            </w:r>
          </w:p>
        </w:tc>
        <w:tc>
          <w:tcPr>
            <w:tcW w:w="3161"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rPr>
              <w:t>提供授权委托书</w:t>
            </w:r>
            <w:r>
              <w:rPr>
                <w:rFonts w:hint="eastAsia" w:ascii="宋体" w:hAnsi="宋体" w:eastAsia="宋体" w:cs="宋体"/>
                <w:color w:val="auto"/>
                <w:kern w:val="0"/>
                <w:sz w:val="18"/>
                <w:szCs w:val="18"/>
                <w:lang w:val="en-US" w:eastAsia="zh-CN"/>
              </w:rPr>
              <w:t>并</w:t>
            </w:r>
            <w:r>
              <w:rPr>
                <w:rFonts w:hint="eastAsia" w:ascii="宋体" w:hAnsi="宋体" w:eastAsia="宋体" w:cs="宋体"/>
                <w:color w:val="auto"/>
                <w:kern w:val="0"/>
                <w:sz w:val="18"/>
                <w:szCs w:val="18"/>
              </w:rPr>
              <w:t>加盖投标单位公章装订在投标文件内（法定代表人参加投标的无需投标授权书，提供身份证明复印件或影印件）</w:t>
            </w:r>
            <w:r>
              <w:rPr>
                <w:rFonts w:hint="eastAsia" w:ascii="宋体" w:hAnsi="宋体" w:eastAsia="宋体" w:cs="宋体"/>
                <w:color w:val="auto"/>
                <w:kern w:val="0"/>
                <w:sz w:val="18"/>
                <w:szCs w:val="18"/>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7" w:hRule="exact"/>
          <w:jc w:val="center"/>
        </w:trPr>
        <w:tc>
          <w:tcPr>
            <w:tcW w:w="712"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p>
        </w:tc>
        <w:tc>
          <w:tcPr>
            <w:tcW w:w="1236"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需要提供的投标资格证明资料</w:t>
            </w:r>
          </w:p>
        </w:tc>
        <w:tc>
          <w:tcPr>
            <w:tcW w:w="4800" w:type="dxa"/>
            <w:tcBorders>
              <w:top w:val="single" w:color="000000"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val="en-US" w:eastAsia="zh-CN"/>
              </w:rPr>
              <w:t>符合《中华人民共和国政府采购法》第二十二条的全部要求。</w:t>
            </w:r>
          </w:p>
        </w:tc>
        <w:tc>
          <w:tcPr>
            <w:tcW w:w="3161" w:type="dxa"/>
            <w:tcBorders>
              <w:top w:val="single" w:color="000000"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提供营业执照或事业单位法人证书副本或其它相应证件扫描件（包含复印件或影印件）和投标函，并加盖投标单位公章装订在</w:t>
            </w:r>
            <w:r>
              <w:rPr>
                <w:rFonts w:hint="eastAsia" w:ascii="宋体" w:hAnsi="宋体" w:cs="宋体"/>
                <w:color w:val="auto"/>
                <w:kern w:val="0"/>
                <w:sz w:val="18"/>
                <w:szCs w:val="18"/>
                <w:lang w:val="en-US" w:eastAsia="zh-CN"/>
              </w:rPr>
              <w:t>市场比价</w:t>
            </w:r>
            <w:r>
              <w:rPr>
                <w:rFonts w:hint="eastAsia" w:ascii="宋体" w:hAnsi="宋体" w:eastAsia="宋体" w:cs="宋体"/>
                <w:color w:val="auto"/>
                <w:kern w:val="0"/>
                <w:sz w:val="18"/>
                <w:szCs w:val="18"/>
                <w:lang w:val="en-US" w:eastAsia="zh-CN"/>
              </w:rPr>
              <w:t>响应</w:t>
            </w:r>
            <w:r>
              <w:rPr>
                <w:rFonts w:hint="eastAsia" w:ascii="宋体" w:hAnsi="宋体" w:eastAsia="宋体" w:cs="宋体"/>
                <w:color w:val="auto"/>
                <w:kern w:val="0"/>
                <w:sz w:val="18"/>
                <w:szCs w:val="18"/>
              </w:rPr>
              <w:t>文件内</w:t>
            </w:r>
            <w:r>
              <w:rPr>
                <w:rFonts w:hint="eastAsia" w:ascii="宋体" w:hAnsi="宋体" w:eastAsia="宋体" w:cs="宋体"/>
                <w:color w:val="auto"/>
                <w:kern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0" w:hRule="exact"/>
          <w:jc w:val="center"/>
        </w:trPr>
        <w:tc>
          <w:tcPr>
            <w:tcW w:w="712" w:type="dxa"/>
            <w:vMerge w:val="continue"/>
            <w:tcBorders>
              <w:left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0"/>
                <w:szCs w:val="20"/>
                <w:highlight w:val="none"/>
                <w:lang w:val="en-US" w:eastAsia="zh-CN"/>
              </w:rPr>
            </w:pPr>
          </w:p>
        </w:tc>
        <w:tc>
          <w:tcPr>
            <w:tcW w:w="1236" w:type="dxa"/>
            <w:vMerge w:val="continue"/>
            <w:tcBorders>
              <w:left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rPr>
            </w:pPr>
          </w:p>
        </w:tc>
        <w:tc>
          <w:tcPr>
            <w:tcW w:w="4800"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val="en-US" w:eastAsia="zh-CN"/>
              </w:rPr>
              <w:t>至投标截止日，投标人及法定代表人三年内均未被人民检察院列入行贿犯罪档案。</w:t>
            </w:r>
          </w:p>
        </w:tc>
        <w:tc>
          <w:tcPr>
            <w:tcW w:w="3161"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5" w:hRule="exact"/>
          <w:jc w:val="center"/>
        </w:trPr>
        <w:tc>
          <w:tcPr>
            <w:tcW w:w="712" w:type="dxa"/>
            <w:vMerge w:val="continue"/>
            <w:tcBorders>
              <w:left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0"/>
                <w:szCs w:val="20"/>
                <w:highlight w:val="none"/>
                <w:lang w:val="en-US" w:eastAsia="zh-CN"/>
              </w:rPr>
            </w:pPr>
          </w:p>
        </w:tc>
        <w:tc>
          <w:tcPr>
            <w:tcW w:w="1236" w:type="dxa"/>
            <w:vMerge w:val="continue"/>
            <w:tcBorders>
              <w:left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0"/>
                <w:szCs w:val="20"/>
                <w:highlight w:val="none"/>
              </w:rPr>
            </w:pPr>
          </w:p>
        </w:tc>
        <w:tc>
          <w:tcPr>
            <w:tcW w:w="4800"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3161"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57" w:hRule="exact"/>
          <w:jc w:val="center"/>
        </w:trPr>
        <w:tc>
          <w:tcPr>
            <w:tcW w:w="712" w:type="dxa"/>
            <w:vMerge w:val="continue"/>
            <w:tcBorders>
              <w:left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0"/>
                <w:szCs w:val="20"/>
                <w:highlight w:val="none"/>
                <w:lang w:val="en-US" w:eastAsia="zh-CN"/>
              </w:rPr>
            </w:pPr>
          </w:p>
        </w:tc>
        <w:tc>
          <w:tcPr>
            <w:tcW w:w="1236" w:type="dxa"/>
            <w:vMerge w:val="continue"/>
            <w:tcBorders>
              <w:left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0"/>
                <w:szCs w:val="20"/>
                <w:highlight w:val="none"/>
              </w:rPr>
            </w:pPr>
          </w:p>
        </w:tc>
        <w:tc>
          <w:tcPr>
            <w:tcW w:w="4800"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pStyle w:val="67"/>
              <w:keepNext w:val="0"/>
              <w:keepLines w:val="0"/>
              <w:suppressLineNumbers w:val="0"/>
              <w:spacing w:before="132" w:beforeAutospacing="0" w:after="0" w:afterAutospacing="0" w:line="240" w:lineRule="auto"/>
              <w:ind w:left="0" w:right="0"/>
              <w:jc w:val="both"/>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至投标截止日，未被铜陵市公共资源交易监管部门记录的不良行为累计分值在 10 分（含）-15 分（不含），且最近一次不良行为记录公布日距开标日未超过 3 个月；</w:t>
            </w:r>
          </w:p>
          <w:p>
            <w:pPr>
              <w:pStyle w:val="67"/>
              <w:keepNext w:val="0"/>
              <w:keepLines w:val="0"/>
              <w:suppressLineNumbers w:val="0"/>
              <w:spacing w:before="132" w:beforeAutospacing="0" w:after="0" w:afterAutospacing="0" w:line="240" w:lineRule="auto"/>
              <w:ind w:left="0" w:right="0"/>
              <w:jc w:val="both"/>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至投标截止日，未被铜陵市公共资源交易监管部门记不良行为记录累计分值在 15 分（含）-20 分（不含），且最近一次不良行为记录公布日距开标日未超过 6 个月；</w:t>
            </w:r>
          </w:p>
          <w:p>
            <w:pPr>
              <w:pStyle w:val="67"/>
              <w:keepNext w:val="0"/>
              <w:keepLines w:val="0"/>
              <w:suppressLineNumbers w:val="0"/>
              <w:spacing w:before="132" w:beforeAutospacing="0" w:after="0" w:afterAutospacing="0" w:line="240" w:lineRule="auto"/>
              <w:ind w:left="0" w:right="0"/>
              <w:jc w:val="both"/>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至投标截止日，未被铜陵市公共资源交易监管部门记不良行为记录累计分值达 20 分（含）以上，且最近一次不良行为记录公布日距开标日未超过 12 个月。</w:t>
            </w:r>
          </w:p>
        </w:tc>
        <w:tc>
          <w:tcPr>
            <w:tcW w:w="3161" w:type="dxa"/>
            <w:tcBorders>
              <w:left w:val="single" w:color="000000" w:sz="4" w:space="0"/>
              <w:bottom w:val="single" w:color="auto" w:sz="4" w:space="0"/>
              <w:right w:val="single" w:color="auto"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59" w:hRule="exact"/>
          <w:jc w:val="center"/>
        </w:trPr>
        <w:tc>
          <w:tcPr>
            <w:tcW w:w="712"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3</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承诺函</w:t>
            </w:r>
          </w:p>
        </w:tc>
        <w:tc>
          <w:tcPr>
            <w:tcW w:w="4800"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投标人需承诺从未与服务用户发生任何法律纠纷承诺函；</w:t>
            </w:r>
          </w:p>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投标人需符合国家档案局办公室关于印发的《档案数字化外包安全管理规范》，并且近三年内在档案整理和档案数字化加工活动中无失密、泄密等重大违法记录承诺函。</w:t>
            </w:r>
          </w:p>
        </w:tc>
        <w:tc>
          <w:tcPr>
            <w:tcW w:w="3161"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提供承诺书加盖单公章装订在响应文件中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4" w:hRule="exact"/>
          <w:jc w:val="center"/>
        </w:trPr>
        <w:tc>
          <w:tcPr>
            <w:tcW w:w="712"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val="en-US" w:eastAsia="zh-CN"/>
              </w:rPr>
              <w:t>4</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标书规范性</w:t>
            </w:r>
          </w:p>
        </w:tc>
        <w:tc>
          <w:tcPr>
            <w:tcW w:w="4800"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pStyle w:val="47"/>
              <w:keepNext w:val="0"/>
              <w:keepLines w:val="0"/>
              <w:suppressLineNumbers w:val="0"/>
              <w:wordWrap w:val="0"/>
              <w:spacing w:before="0" w:beforeAutospacing="0" w:after="0" w:afterAutospacing="0" w:line="300" w:lineRule="exact"/>
              <w:ind w:left="0" w:right="0"/>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（1）在招标文件规定的投标时间截止前未有效提交投标文件的；</w:t>
            </w:r>
          </w:p>
          <w:p>
            <w:pPr>
              <w:pStyle w:val="47"/>
              <w:keepNext w:val="0"/>
              <w:keepLines w:val="0"/>
              <w:suppressLineNumbers w:val="0"/>
              <w:wordWrap w:val="0"/>
              <w:spacing w:before="0" w:beforeAutospacing="0" w:after="0" w:afterAutospacing="0" w:line="300" w:lineRule="exact"/>
              <w:ind w:left="0" w:right="0"/>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（2）投标文件符合招标文件密封、标记、递交等的相应要求；</w:t>
            </w:r>
          </w:p>
          <w:p>
            <w:pPr>
              <w:keepNext w:val="0"/>
              <w:keepLines w:val="0"/>
              <w:suppressLineNumbers w:val="0"/>
              <w:spacing w:before="0" w:beforeAutospacing="0" w:after="0" w:afterAutospacing="0" w:line="240" w:lineRule="auto"/>
              <w:ind w:left="0" w:right="0"/>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（3）应当随成交公告一并向社会公布的表单内容（如主要业绩一览表等）与投标文件中其它内容不一致的。</w:t>
            </w:r>
          </w:p>
        </w:tc>
        <w:tc>
          <w:tcPr>
            <w:tcW w:w="3161"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执行</w:t>
            </w:r>
            <w:r>
              <w:rPr>
                <w:rFonts w:hint="eastAsia" w:ascii="宋体" w:hAnsi="宋体" w:cs="宋体"/>
                <w:color w:val="auto"/>
                <w:kern w:val="0"/>
                <w:sz w:val="18"/>
                <w:szCs w:val="18"/>
                <w:lang w:val="en-US" w:eastAsia="zh-CN"/>
              </w:rPr>
              <w:t>市场比价</w:t>
            </w:r>
            <w:r>
              <w:rPr>
                <w:rFonts w:hint="eastAsia" w:ascii="宋体" w:hAnsi="宋体" w:eastAsia="宋体" w:cs="宋体"/>
                <w:color w:val="auto"/>
                <w:kern w:val="0"/>
                <w:sz w:val="18"/>
                <w:szCs w:val="18"/>
                <w:lang w:val="en-US" w:eastAsia="zh-CN"/>
              </w:rPr>
              <w:t>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49" w:hRule="exact"/>
          <w:jc w:val="center"/>
        </w:trPr>
        <w:tc>
          <w:tcPr>
            <w:tcW w:w="712"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val="en-US" w:eastAsia="zh-CN"/>
              </w:rPr>
              <w:t>5</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业绩</w:t>
            </w:r>
          </w:p>
        </w:tc>
        <w:tc>
          <w:tcPr>
            <w:tcW w:w="4800"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cs="宋体" w:eastAsiaTheme="minorEastAsia"/>
                <w:color w:val="auto"/>
                <w:kern w:val="0"/>
                <w:sz w:val="18"/>
                <w:szCs w:val="18"/>
                <w:lang w:val="en-US" w:eastAsia="zh-CN"/>
              </w:rPr>
            </w:pPr>
            <w:r>
              <w:rPr>
                <w:rFonts w:hint="eastAsia" w:asciiTheme="minorEastAsia" w:hAnsiTheme="minorEastAsia" w:eastAsiaTheme="minorEastAsia" w:cstheme="minorEastAsia"/>
                <w:sz w:val="18"/>
                <w:szCs w:val="18"/>
              </w:rPr>
              <w:t>投标人202</w:t>
            </w:r>
            <w:r>
              <w:rPr>
                <w:rFonts w:hint="eastAsia" w:asciiTheme="minorEastAsia" w:hAnsiTheme="minorEastAsia" w:cstheme="minorEastAsia"/>
                <w:sz w:val="18"/>
                <w:szCs w:val="18"/>
                <w:lang w:val="en-US" w:eastAsia="zh-CN"/>
              </w:rPr>
              <w:t>0</w:t>
            </w:r>
            <w:r>
              <w:rPr>
                <w:rFonts w:hint="eastAsia" w:asciiTheme="minorEastAsia" w:hAnsiTheme="minorEastAsia" w:eastAsiaTheme="minorEastAsia" w:cstheme="minorEastAsia"/>
                <w:sz w:val="18"/>
                <w:szCs w:val="18"/>
              </w:rPr>
              <w:t xml:space="preserve"> 年1 月 1 日以来完成过2次（含）以上建筑面积≥</w:t>
            </w:r>
            <w:r>
              <w:rPr>
                <w:rFonts w:hint="eastAsia" w:asciiTheme="minorEastAsia" w:hAnsiTheme="minorEastAsia" w:cstheme="minorEastAsia"/>
                <w:sz w:val="18"/>
                <w:szCs w:val="18"/>
                <w:lang w:val="en-US" w:eastAsia="zh-CN"/>
              </w:rPr>
              <w:t>2</w:t>
            </w:r>
            <w:r>
              <w:rPr>
                <w:rFonts w:hint="eastAsia" w:asciiTheme="minorEastAsia" w:hAnsiTheme="minorEastAsia" w:eastAsiaTheme="minorEastAsia" w:cstheme="minorEastAsia"/>
                <w:sz w:val="18"/>
                <w:szCs w:val="18"/>
              </w:rPr>
              <w:t>0000</w:t>
            </w:r>
            <w:r>
              <w:rPr>
                <w:rFonts w:hint="eastAsia" w:asciiTheme="minorEastAsia" w:hAnsiTheme="minorEastAsia" w:cstheme="minorEastAsia"/>
                <w:sz w:val="18"/>
                <w:szCs w:val="18"/>
                <w:lang w:val="en-US" w:eastAsia="zh-CN"/>
              </w:rPr>
              <w:t>㎡</w:t>
            </w:r>
            <w:r>
              <w:rPr>
                <w:rFonts w:hint="eastAsia" w:asciiTheme="minorEastAsia" w:hAnsiTheme="minorEastAsia" w:eastAsiaTheme="minorEastAsia" w:cstheme="minorEastAsia"/>
                <w:sz w:val="18"/>
                <w:szCs w:val="18"/>
              </w:rPr>
              <w:t>的新建建筑档案编整业绩。（时间以《建设工程档案验收申请表》</w:t>
            </w:r>
            <w:r>
              <w:rPr>
                <w:rFonts w:hint="eastAsia" w:asciiTheme="minorEastAsia" w:hAnsiTheme="minorEastAsia" w:cstheme="minorEastAsia"/>
                <w:sz w:val="18"/>
                <w:szCs w:val="18"/>
                <w:lang w:val="en-US" w:eastAsia="zh-CN"/>
              </w:rPr>
              <w:t>铜陵市城市基本建设</w:t>
            </w:r>
            <w:r>
              <w:rPr>
                <w:rFonts w:hint="eastAsia" w:asciiTheme="minorEastAsia" w:hAnsiTheme="minorEastAsia" w:eastAsiaTheme="minorEastAsia" w:cstheme="minorEastAsia"/>
                <w:sz w:val="18"/>
                <w:szCs w:val="18"/>
              </w:rPr>
              <w:t>档案馆</w:t>
            </w:r>
            <w:r>
              <w:rPr>
                <w:rFonts w:hint="eastAsia" w:asciiTheme="minorEastAsia" w:hAnsiTheme="minorEastAsia" w:cstheme="minorEastAsia"/>
                <w:sz w:val="18"/>
                <w:szCs w:val="18"/>
                <w:lang w:val="en-US" w:eastAsia="zh-CN"/>
              </w:rPr>
              <w:t>签字盖章</w:t>
            </w:r>
            <w:r>
              <w:rPr>
                <w:rFonts w:hint="eastAsia" w:asciiTheme="minorEastAsia" w:hAnsiTheme="minorEastAsia" w:eastAsiaTheme="minorEastAsia" w:cstheme="minorEastAsia"/>
                <w:sz w:val="18"/>
                <w:szCs w:val="18"/>
              </w:rPr>
              <w:t>时间为准</w:t>
            </w:r>
            <w:r>
              <w:rPr>
                <w:rFonts w:hint="eastAsia" w:asciiTheme="minorEastAsia" w:hAnsiTheme="minorEastAsia" w:cstheme="minorEastAsia"/>
                <w:sz w:val="18"/>
                <w:szCs w:val="18"/>
                <w:lang w:eastAsia="zh-CN"/>
              </w:rPr>
              <w:t>；</w:t>
            </w:r>
            <w:r>
              <w:rPr>
                <w:rFonts w:hint="eastAsia" w:asciiTheme="minorEastAsia" w:hAnsiTheme="minorEastAsia" w:eastAsiaTheme="minorEastAsia" w:cstheme="minorEastAsia"/>
                <w:sz w:val="18"/>
                <w:szCs w:val="18"/>
              </w:rPr>
              <w:t>建筑面积以《建设工程档案验收申请表》中登记建筑面积为准）；新建建筑档案编整业绩。（时间以《建设工程档案验收申请表》</w:t>
            </w:r>
            <w:r>
              <w:rPr>
                <w:rFonts w:hint="eastAsia" w:asciiTheme="minorEastAsia" w:hAnsiTheme="minorEastAsia" w:cstheme="minorEastAsia"/>
                <w:sz w:val="18"/>
                <w:szCs w:val="18"/>
                <w:lang w:val="en-US" w:eastAsia="zh-CN"/>
              </w:rPr>
              <w:t>铜陵市城市基本建设</w:t>
            </w:r>
            <w:r>
              <w:rPr>
                <w:rFonts w:hint="eastAsia" w:asciiTheme="minorEastAsia" w:hAnsiTheme="minorEastAsia" w:eastAsiaTheme="minorEastAsia" w:cstheme="minorEastAsia"/>
                <w:sz w:val="18"/>
                <w:szCs w:val="18"/>
              </w:rPr>
              <w:t>档案馆</w:t>
            </w:r>
            <w:r>
              <w:rPr>
                <w:rFonts w:hint="eastAsia" w:asciiTheme="minorEastAsia" w:hAnsiTheme="minorEastAsia" w:cstheme="minorEastAsia"/>
                <w:sz w:val="18"/>
                <w:szCs w:val="18"/>
                <w:lang w:val="en-US" w:eastAsia="zh-CN"/>
              </w:rPr>
              <w:t>签字盖章</w:t>
            </w:r>
            <w:r>
              <w:rPr>
                <w:rFonts w:hint="eastAsia" w:asciiTheme="minorEastAsia" w:hAnsiTheme="minorEastAsia" w:eastAsiaTheme="minorEastAsia" w:cstheme="minorEastAsia"/>
                <w:sz w:val="18"/>
                <w:szCs w:val="18"/>
              </w:rPr>
              <w:t>时间为准</w:t>
            </w:r>
            <w:r>
              <w:rPr>
                <w:rFonts w:hint="eastAsia" w:asciiTheme="minorEastAsia" w:hAnsiTheme="minorEastAsia" w:cstheme="minorEastAsia"/>
                <w:sz w:val="18"/>
                <w:szCs w:val="18"/>
                <w:lang w:eastAsia="zh-CN"/>
              </w:rPr>
              <w:t>；</w:t>
            </w:r>
            <w:r>
              <w:rPr>
                <w:rFonts w:hint="eastAsia" w:asciiTheme="minorEastAsia" w:hAnsiTheme="minorEastAsia" w:eastAsiaTheme="minorEastAsia" w:cstheme="minorEastAsia"/>
                <w:sz w:val="18"/>
                <w:szCs w:val="18"/>
              </w:rPr>
              <w:t>建筑面积以《建设工程档案验收申请表》中登记建筑面积为准）</w:t>
            </w:r>
            <w:r>
              <w:rPr>
                <w:rFonts w:hint="eastAsia" w:asciiTheme="minorEastAsia" w:hAnsiTheme="minorEastAsia" w:eastAsiaTheme="minorEastAsia" w:cstheme="minorEastAsia"/>
                <w:sz w:val="18"/>
                <w:szCs w:val="18"/>
                <w:lang w:eastAsia="zh-CN"/>
              </w:rPr>
              <w:t>。</w:t>
            </w:r>
          </w:p>
        </w:tc>
        <w:tc>
          <w:tcPr>
            <w:tcW w:w="3161"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执行</w:t>
            </w:r>
            <w:r>
              <w:rPr>
                <w:rFonts w:hint="eastAsia" w:ascii="宋体" w:hAnsi="宋体" w:cs="宋体"/>
                <w:color w:val="auto"/>
                <w:kern w:val="0"/>
                <w:sz w:val="18"/>
                <w:szCs w:val="18"/>
                <w:lang w:val="en-US" w:eastAsia="zh-CN"/>
              </w:rPr>
              <w:t>市场比价</w:t>
            </w:r>
            <w:r>
              <w:rPr>
                <w:rFonts w:hint="eastAsia" w:ascii="宋体" w:hAnsi="宋体" w:eastAsia="宋体" w:cs="宋体"/>
                <w:color w:val="auto"/>
                <w:kern w:val="0"/>
                <w:sz w:val="18"/>
                <w:szCs w:val="18"/>
                <w:lang w:val="en-US" w:eastAsia="zh-CN"/>
              </w:rPr>
              <w:t>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4" w:hRule="exact"/>
          <w:jc w:val="center"/>
        </w:trPr>
        <w:tc>
          <w:tcPr>
            <w:tcW w:w="712"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val="en-US" w:eastAsia="zh-CN"/>
              </w:rPr>
              <w:t>6</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标书响应情况</w:t>
            </w:r>
          </w:p>
        </w:tc>
        <w:tc>
          <w:tcPr>
            <w:tcW w:w="4800"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质量标准要求、服务期响应、售后服务体系与维保等内容满足</w:t>
            </w:r>
            <w:r>
              <w:rPr>
                <w:rFonts w:hint="eastAsia" w:ascii="宋体" w:hAnsi="宋体" w:cs="宋体"/>
                <w:color w:val="auto"/>
                <w:kern w:val="0"/>
                <w:sz w:val="18"/>
                <w:szCs w:val="18"/>
                <w:lang w:val="en-US" w:eastAsia="zh-CN"/>
              </w:rPr>
              <w:t>市场比价</w:t>
            </w:r>
            <w:r>
              <w:rPr>
                <w:rFonts w:hint="eastAsia" w:ascii="宋体" w:hAnsi="宋体" w:eastAsia="宋体" w:cs="宋体"/>
                <w:color w:val="auto"/>
                <w:kern w:val="0"/>
                <w:sz w:val="18"/>
                <w:szCs w:val="18"/>
                <w:lang w:val="en-US" w:eastAsia="zh-CN"/>
              </w:rPr>
              <w:t>文件的实质性要求。</w:t>
            </w:r>
          </w:p>
        </w:tc>
        <w:tc>
          <w:tcPr>
            <w:tcW w:w="3161"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执行</w:t>
            </w:r>
            <w:r>
              <w:rPr>
                <w:rFonts w:hint="eastAsia" w:ascii="宋体" w:hAnsi="宋体" w:cs="宋体"/>
                <w:color w:val="auto"/>
                <w:kern w:val="0"/>
                <w:sz w:val="18"/>
                <w:szCs w:val="18"/>
                <w:lang w:val="en-US" w:eastAsia="zh-CN"/>
              </w:rPr>
              <w:t>市场比价</w:t>
            </w:r>
            <w:r>
              <w:rPr>
                <w:rFonts w:hint="eastAsia" w:ascii="宋体" w:hAnsi="宋体" w:eastAsia="宋体" w:cs="宋体"/>
                <w:color w:val="auto"/>
                <w:kern w:val="0"/>
                <w:sz w:val="18"/>
                <w:szCs w:val="18"/>
                <w:lang w:val="en-US" w:eastAsia="zh-CN"/>
              </w:rPr>
              <w:t>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2" w:hRule="exact"/>
          <w:jc w:val="center"/>
        </w:trPr>
        <w:tc>
          <w:tcPr>
            <w:tcW w:w="712"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7</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服务要求</w:t>
            </w:r>
          </w:p>
        </w:tc>
        <w:tc>
          <w:tcPr>
            <w:tcW w:w="4800"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关键性服务要求真正满足。</w:t>
            </w:r>
          </w:p>
        </w:tc>
        <w:tc>
          <w:tcPr>
            <w:tcW w:w="3161"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执行</w:t>
            </w:r>
            <w:r>
              <w:rPr>
                <w:rFonts w:hint="eastAsia" w:ascii="宋体" w:hAnsi="宋体" w:cs="宋体"/>
                <w:color w:val="auto"/>
                <w:kern w:val="0"/>
                <w:sz w:val="18"/>
                <w:szCs w:val="18"/>
                <w:lang w:val="en-US" w:eastAsia="zh-CN"/>
              </w:rPr>
              <w:t>市场比价</w:t>
            </w:r>
            <w:r>
              <w:rPr>
                <w:rFonts w:hint="eastAsia" w:ascii="宋体" w:hAnsi="宋体" w:eastAsia="宋体" w:cs="宋体"/>
                <w:color w:val="auto"/>
                <w:kern w:val="0"/>
                <w:sz w:val="18"/>
                <w:szCs w:val="18"/>
                <w:lang w:val="en-US" w:eastAsia="zh-CN"/>
              </w:rPr>
              <w:t>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13" w:hRule="exact"/>
          <w:jc w:val="center"/>
        </w:trPr>
        <w:tc>
          <w:tcPr>
            <w:tcW w:w="712"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8</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其他要求</w:t>
            </w:r>
          </w:p>
        </w:tc>
        <w:tc>
          <w:tcPr>
            <w:tcW w:w="4800"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（1）无论招标文件是否列明，投标人所提供的服务均须符合国家现行法律法规的规定，否则投标无效。</w:t>
            </w:r>
          </w:p>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（2）不满足招标文件第8.2、11.3、21.3条以及其它招标公告、招标文件列明的必须满足的要求的。</w:t>
            </w:r>
          </w:p>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（3）不符合法律、行政法规规定的其他条件。法律、行政法规规定的其他条件或邀请函、招标文件列明的其他要求。</w:t>
            </w:r>
          </w:p>
        </w:tc>
        <w:tc>
          <w:tcPr>
            <w:tcW w:w="3161"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执行</w:t>
            </w:r>
            <w:r>
              <w:rPr>
                <w:rFonts w:hint="eastAsia" w:ascii="宋体" w:hAnsi="宋体" w:cs="宋体"/>
                <w:color w:val="auto"/>
                <w:kern w:val="0"/>
                <w:sz w:val="18"/>
                <w:szCs w:val="18"/>
                <w:lang w:val="en-US" w:eastAsia="zh-CN"/>
              </w:rPr>
              <w:t>市场比价</w:t>
            </w:r>
            <w:r>
              <w:rPr>
                <w:rFonts w:hint="eastAsia" w:ascii="宋体" w:hAnsi="宋体" w:eastAsia="宋体" w:cs="宋体"/>
                <w:color w:val="auto"/>
                <w:kern w:val="0"/>
                <w:sz w:val="18"/>
                <w:szCs w:val="18"/>
                <w:lang w:val="en-US" w:eastAsia="zh-CN"/>
              </w:rPr>
              <w:t>文件要求</w:t>
            </w:r>
          </w:p>
        </w:tc>
      </w:tr>
    </w:tbl>
    <w:p>
      <w:pPr>
        <w:pStyle w:val="17"/>
        <w:shd w:val="clear" w:color="auto" w:fill="FFFFFF"/>
        <w:spacing w:beforeAutospacing="0" w:afterAutospacing="0"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注：</w:t>
      </w:r>
      <w:r>
        <w:rPr>
          <w:rFonts w:hint="eastAsia" w:ascii="宋体" w:hAnsi="宋体" w:eastAsia="宋体" w:cs="宋体"/>
          <w:color w:val="auto"/>
          <w:sz w:val="24"/>
          <w:szCs w:val="24"/>
          <w:highlight w:val="none"/>
          <w:lang w:val="en-US" w:eastAsia="zh-CN"/>
        </w:rPr>
        <w:t>以上各项中有一项不符合即为不合格。</w:t>
      </w:r>
    </w:p>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十、合同的签订、履行及验收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、合同授予标准：本项目合同将授予成交供应商。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、采购人拒绝</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响应的权力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采购人不承诺将合同授予报价最低的供应商。采购人在发出成交通知书前，有权依据</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小组的评标报告拒绝不合格的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、合同协议书的签订</w:t>
      </w:r>
    </w:p>
    <w:p>
      <w:pPr>
        <w:spacing w:line="360" w:lineRule="auto"/>
        <w:ind w:firstLine="480" w:firstLineChars="200"/>
        <w:rPr>
          <w:rFonts w:hint="eastAsia" w:ascii="宋体" w:hAnsi="宋体" w:eastAsia="宋体" w:cs="宋体"/>
          <w:color w:val="auto"/>
          <w:sz w:val="24"/>
          <w:szCs w:val="24"/>
          <w:highlight w:val="none"/>
        </w:rPr>
      </w:pPr>
      <w:bookmarkStart w:id="9" w:name="项目清单"/>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.1成交供应商应在成交通知书发出之日起三十日内（具体时间、地点见成交通知书）与采购人签订合同。采购人应按照</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文件和成交供应商的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响应文件与成交供应商签订采购合同，采购人不得向成交供应商提出任何不合理的要求，作为签订合同的条件，不得与成交供应商私下订立背离合同实质性内容的任何协议，所签订的合同不得对</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文件和成交供应商</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响应文件作实质性修改。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.2成交供应商如不按本</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文件规定与采购人订立合同，则采购人将废除授标，有</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响应担保的将不予退还，给采购人造成的损失超过</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响应担保数额的，还应当对超过部分予以赔偿，同时依法承担相应法律责任。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.3成交供应商应当按照合同约定履行义务，完成成交项目，不得将成交项目转让（转包）给他人。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.4 采购双方必须严格按照</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响应文件及有关承诺签订采购合同，不得擅自变更。合同的标的、价款、质量、履行期限、服务要求等主要条款应当与</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文件和成交供应商的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响应文件的内容一致，采购人和成交供应商不得再行订立背离合同实质性内容的其他协议。对任何因双方擅自变更合同引起的问题代理机构概不负责，合同风险由双方自行承担。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.5采购人保留以书面形式要求对服务细则作适当调整的权利。</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、履行合同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.1成交供应商与采购人签订合同后，合同双方应严格执行合同条款，履行合同规定的义务，保证合同的顺利完成。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.2在合同履行过程中，如发生合同纠纷，合同双方应按照《合同法》的有关规定进行处理。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.1采购人须建立</w:t>
      </w:r>
      <w:r>
        <w:rPr>
          <w:rFonts w:hint="eastAsia" w:ascii="宋体" w:hAnsi="宋体" w:eastAsia="宋体" w:cs="宋体"/>
          <w:color w:val="auto"/>
          <w:sz w:val="24"/>
          <w:szCs w:val="24"/>
          <w:highlight w:val="none"/>
          <w:lang w:eastAsia="zh-CN"/>
        </w:rPr>
        <w:t>会前</w:t>
      </w:r>
      <w:r>
        <w:rPr>
          <w:rFonts w:hint="eastAsia" w:ascii="宋体" w:hAnsi="宋体" w:eastAsia="宋体" w:cs="宋体"/>
          <w:color w:val="auto"/>
          <w:sz w:val="24"/>
          <w:szCs w:val="24"/>
          <w:highlight w:val="none"/>
        </w:rPr>
        <w:t>考核制度。考核时应成立三人以上</w:t>
      </w:r>
      <w:r>
        <w:rPr>
          <w:rFonts w:hint="eastAsia" w:ascii="宋体" w:hAnsi="宋体" w:eastAsia="宋体" w:cs="宋体"/>
          <w:color w:val="auto"/>
          <w:sz w:val="24"/>
          <w:szCs w:val="24"/>
          <w:highlight w:val="none"/>
          <w:lang w:eastAsia="zh-CN"/>
        </w:rPr>
        <w:t>考核小组</w:t>
      </w:r>
      <w:r>
        <w:rPr>
          <w:rFonts w:hint="eastAsia" w:ascii="宋体" w:hAnsi="宋体" w:eastAsia="宋体" w:cs="宋体"/>
          <w:color w:val="auto"/>
          <w:sz w:val="24"/>
          <w:szCs w:val="24"/>
          <w:highlight w:val="none"/>
        </w:rPr>
        <w:t>（由合同双方、专业人员等相关人员组成），依据考核方案进行考核。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2采购人验收时，应成立三人以上（由合同双方、专业人员、纪检等相关人员组成）验收小组，明确责任，严格依照采购文件、成交通知书、政府采购合同及相关验收规范进行核对、验收，形成结论，并出具书面验收报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.3涉及安全等其他需要由行业主管部门进行验收的项目，必须邀请相关部门参与验收。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.4验收费用均由合同乙方（成交供应商）承担，采购文件中另有约定的除外。</w:t>
      </w:r>
      <w:bookmarkEnd w:id="9"/>
    </w:p>
    <w:p>
      <w:pPr>
        <w:pStyle w:val="2"/>
        <w:rPr>
          <w:rFonts w:hint="eastAsia" w:ascii="宋体" w:hAnsi="宋体" w:eastAsia="宋体" w:cs="宋体"/>
          <w:color w:val="auto"/>
          <w:sz w:val="24"/>
          <w:szCs w:val="24"/>
          <w:highlight w:val="none"/>
        </w:rPr>
      </w:pPr>
    </w:p>
    <w:p>
      <w:pPr>
        <w:pStyle w:val="11"/>
        <w:spacing w:line="360" w:lineRule="auto"/>
        <w:jc w:val="center"/>
        <w:rPr>
          <w:rFonts w:hint="eastAsia" w:ascii="宋体" w:hAnsi="宋体" w:eastAsia="宋体" w:cs="宋体"/>
          <w:b w:val="0"/>
          <w:bCs w:val="0"/>
          <w:color w:val="auto"/>
          <w:sz w:val="28"/>
          <w:szCs w:val="28"/>
          <w:highlight w:val="none"/>
        </w:rPr>
      </w:pPr>
      <w:bookmarkStart w:id="10" w:name="_Toc407096156"/>
      <w:bookmarkStart w:id="11" w:name="_Toc220232392"/>
      <w:r>
        <w:rPr>
          <w:rFonts w:hint="eastAsia" w:ascii="宋体" w:hAnsi="宋体" w:eastAsia="宋体" w:cs="宋体"/>
          <w:b w:val="0"/>
          <w:bCs w:val="0"/>
          <w:color w:val="auto"/>
          <w:sz w:val="32"/>
          <w:szCs w:val="32"/>
          <w:highlight w:val="none"/>
          <w:lang w:val="en-US" w:eastAsia="zh-CN"/>
        </w:rPr>
        <w:t>第五章</w:t>
      </w:r>
      <w:r>
        <w:rPr>
          <w:rFonts w:hint="eastAsia" w:ascii="宋体" w:hAnsi="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采购合同</w:t>
      </w:r>
      <w:bookmarkEnd w:id="10"/>
      <w:bookmarkEnd w:id="11"/>
      <w:r>
        <w:rPr>
          <w:rFonts w:hint="eastAsia" w:ascii="宋体" w:hAnsi="宋体" w:eastAsia="宋体" w:cs="宋体"/>
          <w:b w:val="0"/>
          <w:bCs w:val="0"/>
          <w:color w:val="auto"/>
          <w:sz w:val="32"/>
          <w:szCs w:val="32"/>
          <w:highlight w:val="none"/>
          <w:lang w:eastAsia="zh-CN"/>
        </w:rPr>
        <w:t>（</w:t>
      </w:r>
      <w:r>
        <w:rPr>
          <w:rFonts w:hint="eastAsia" w:ascii="宋体" w:hAnsi="宋体" w:eastAsia="宋体" w:cs="宋体"/>
          <w:b w:val="0"/>
          <w:bCs w:val="0"/>
          <w:color w:val="auto"/>
          <w:sz w:val="32"/>
          <w:szCs w:val="32"/>
          <w:highlight w:val="none"/>
          <w:lang w:val="en-US" w:eastAsia="zh-CN"/>
        </w:rPr>
        <w:t>略</w:t>
      </w:r>
      <w:r>
        <w:rPr>
          <w:rFonts w:hint="eastAsia" w:ascii="宋体" w:hAnsi="宋体" w:eastAsia="宋体" w:cs="宋体"/>
          <w:b w:val="0"/>
          <w:bCs w:val="0"/>
          <w:color w:val="auto"/>
          <w:sz w:val="32"/>
          <w:szCs w:val="32"/>
          <w:highlight w:val="none"/>
          <w:lang w:eastAsia="zh-CN"/>
        </w:rPr>
        <w:t>）</w:t>
      </w:r>
      <w:r>
        <w:rPr>
          <w:rFonts w:hint="eastAsia" w:ascii="宋体" w:hAnsi="宋体" w:eastAsia="宋体" w:cs="宋体"/>
          <w:b w:val="0"/>
          <w:bCs w:val="0"/>
          <w:color w:val="auto"/>
          <w:sz w:val="32"/>
          <w:szCs w:val="32"/>
          <w:highlight w:val="none"/>
        </w:rPr>
        <w:br w:type="textWrapping"/>
      </w:r>
      <w:r>
        <w:rPr>
          <w:rFonts w:hint="eastAsia" w:ascii="宋体" w:hAnsi="宋体" w:eastAsia="宋体" w:cs="宋体"/>
          <w:b w:val="0"/>
          <w:bCs w:val="0"/>
          <w:color w:val="auto"/>
          <w:sz w:val="28"/>
          <w:szCs w:val="28"/>
          <w:highlight w:val="none"/>
        </w:rPr>
        <w:t>根据实际签订的采购合同</w:t>
      </w:r>
    </w:p>
    <w:p>
      <w:pPr>
        <w:pStyle w:val="4"/>
        <w:spacing w:line="360" w:lineRule="auto"/>
        <w:jc w:val="both"/>
        <w:rPr>
          <w:rFonts w:hint="eastAsia" w:ascii="宋体" w:hAnsi="宋体" w:eastAsia="宋体" w:cs="宋体"/>
          <w:color w:val="auto"/>
          <w:sz w:val="28"/>
          <w:szCs w:val="28"/>
          <w:highlight w:val="none"/>
        </w:rPr>
      </w:pPr>
    </w:p>
    <w:p>
      <w:pPr>
        <w:pStyle w:val="4"/>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第六章 </w:t>
      </w:r>
      <w:r>
        <w:rPr>
          <w:rFonts w:hint="eastAsia" w:ascii="宋体" w:hAnsi="宋体" w:eastAsia="宋体" w:cs="宋体"/>
          <w:color w:val="auto"/>
          <w:sz w:val="28"/>
          <w:szCs w:val="28"/>
          <w:highlight w:val="none"/>
          <w:lang w:eastAsia="zh-CN"/>
        </w:rPr>
        <w:t>市场比价</w:t>
      </w:r>
      <w:r>
        <w:rPr>
          <w:rFonts w:hint="eastAsia" w:ascii="宋体" w:hAnsi="宋体" w:eastAsia="宋体" w:cs="宋体"/>
          <w:color w:val="auto"/>
          <w:sz w:val="28"/>
          <w:szCs w:val="28"/>
          <w:highlight w:val="none"/>
        </w:rPr>
        <w:t>响应文件格式</w:t>
      </w:r>
    </w:p>
    <w:p>
      <w:pPr>
        <w:pStyle w:val="47"/>
        <w:wordWrap w:val="0"/>
        <w:adjustRightInd/>
        <w:spacing w:line="360" w:lineRule="auto"/>
        <w:jc w:val="both"/>
        <w:rPr>
          <w:rFonts w:hint="eastAsia" w:ascii="宋体" w:hAnsi="宋体" w:eastAsia="宋体" w:cs="宋体"/>
          <w:b/>
          <w:color w:val="auto"/>
          <w:sz w:val="28"/>
          <w:szCs w:val="28"/>
          <w:highlight w:val="none"/>
        </w:rPr>
      </w:pPr>
    </w:p>
    <w:p>
      <w:pPr>
        <w:pStyle w:val="28"/>
        <w:ind w:left="0" w:leftChars="0" w:firstLine="0" w:firstLineChars="0"/>
        <w:rPr>
          <w:rFonts w:hint="eastAsia"/>
          <w:color w:val="auto"/>
          <w:highlight w:val="none"/>
        </w:rPr>
      </w:pPr>
    </w:p>
    <w:p>
      <w:pPr>
        <w:pStyle w:val="65"/>
        <w:wordWrap w:val="0"/>
        <w:spacing w:line="360" w:lineRule="auto"/>
        <w:ind w:firstLine="0" w:firstLineChars="0"/>
        <w:jc w:val="center"/>
        <w:rPr>
          <w:rFonts w:hint="eastAsia" w:ascii="宋体" w:hAnsi="宋体" w:eastAsia="宋体" w:cs="宋体"/>
          <w:color w:val="auto"/>
          <w:highlight w:val="none"/>
        </w:rPr>
      </w:pPr>
      <w:r>
        <w:rPr>
          <w:rFonts w:hint="eastAsia" w:ascii="宋体" w:hAnsi="宋体" w:cs="宋体"/>
          <w:color w:val="auto"/>
          <w:highlight w:val="none"/>
          <w:lang w:eastAsia="zh-CN"/>
        </w:rPr>
        <w:t>市场比价</w:t>
      </w:r>
      <w:r>
        <w:rPr>
          <w:rFonts w:hint="eastAsia" w:ascii="宋体" w:hAnsi="宋体" w:eastAsia="宋体" w:cs="宋体"/>
          <w:color w:val="auto"/>
          <w:highlight w:val="none"/>
        </w:rPr>
        <w:t>响应文件</w:t>
      </w:r>
    </w:p>
    <w:p>
      <w:pPr>
        <w:wordWrap w:val="0"/>
        <w:spacing w:line="360" w:lineRule="auto"/>
        <w:rPr>
          <w:rFonts w:hint="eastAsia" w:ascii="宋体" w:hAnsi="宋体" w:eastAsia="宋体" w:cs="宋体"/>
          <w:color w:val="auto"/>
          <w:sz w:val="28"/>
          <w:szCs w:val="28"/>
          <w:highlight w:val="none"/>
        </w:rPr>
      </w:pPr>
    </w:p>
    <w:p>
      <w:pPr>
        <w:wordWrap w:val="0"/>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项目编号：</w:t>
      </w:r>
    </w:p>
    <w:p>
      <w:pPr>
        <w:wordWrap w:val="0"/>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项目名称：</w:t>
      </w: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ind w:firstLine="1960" w:firstLineChars="7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w:t>
      </w:r>
      <w:r>
        <w:rPr>
          <w:rFonts w:hint="eastAsia" w:ascii="宋体" w:hAnsi="宋体" w:eastAsia="宋体" w:cs="宋体"/>
          <w:color w:val="auto"/>
          <w:kern w:val="0"/>
          <w:sz w:val="28"/>
          <w:szCs w:val="28"/>
          <w:highlight w:val="none"/>
        </w:rPr>
        <w:t>（供应商签章）</w:t>
      </w:r>
    </w:p>
    <w:p>
      <w:pPr>
        <w:wordWrap w:val="0"/>
        <w:spacing w:line="360" w:lineRule="auto"/>
        <w:ind w:firstLine="1968" w:firstLineChars="700"/>
        <w:rPr>
          <w:rFonts w:hint="eastAsia" w:ascii="宋体" w:hAnsi="宋体" w:eastAsia="宋体" w:cs="宋体"/>
          <w:b/>
          <w:color w:val="auto"/>
          <w:sz w:val="28"/>
          <w:szCs w:val="28"/>
          <w:highlight w:val="none"/>
          <w:u w:val="single"/>
        </w:rPr>
      </w:pPr>
    </w:p>
    <w:p>
      <w:pPr>
        <w:wordWrap w:val="0"/>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8"/>
          <w:szCs w:val="28"/>
          <w:highlight w:val="none"/>
        </w:rPr>
        <w:t>年   月   日</w:t>
      </w:r>
    </w:p>
    <w:p>
      <w:pPr>
        <w:pStyle w:val="65"/>
        <w:spacing w:line="360" w:lineRule="auto"/>
        <w:ind w:firstLine="0" w:firstLineChars="0"/>
        <w:jc w:val="center"/>
        <w:rPr>
          <w:rFonts w:hint="eastAsia" w:ascii="宋体" w:hAnsi="宋体" w:eastAsia="宋体" w:cs="宋体"/>
          <w:color w:val="auto"/>
          <w:highlight w:val="none"/>
        </w:rPr>
      </w:pPr>
    </w:p>
    <w:p>
      <w:pPr>
        <w:pStyle w:val="65"/>
        <w:spacing w:line="360" w:lineRule="auto"/>
        <w:ind w:firstLine="0" w:firstLineChars="0"/>
        <w:jc w:val="center"/>
        <w:rPr>
          <w:rFonts w:hint="eastAsia" w:ascii="宋体" w:hAnsi="宋体" w:eastAsia="宋体" w:cs="宋体"/>
          <w:color w:val="auto"/>
          <w:highlight w:val="none"/>
        </w:rPr>
      </w:pPr>
    </w:p>
    <w:p>
      <w:pPr>
        <w:pStyle w:val="65"/>
        <w:spacing w:line="360" w:lineRule="auto"/>
        <w:ind w:firstLine="0" w:firstLineChars="0"/>
        <w:jc w:val="center"/>
        <w:rPr>
          <w:rFonts w:hint="eastAsia" w:ascii="宋体" w:hAnsi="宋体" w:eastAsia="宋体" w:cs="宋体"/>
          <w:color w:val="auto"/>
          <w:highlight w:val="none"/>
        </w:rPr>
      </w:pPr>
    </w:p>
    <w:p>
      <w:pPr>
        <w:pStyle w:val="65"/>
        <w:spacing w:line="360" w:lineRule="auto"/>
        <w:ind w:firstLine="0" w:firstLineChars="0"/>
        <w:jc w:val="center"/>
        <w:rPr>
          <w:rFonts w:hint="eastAsia" w:ascii="宋体" w:hAnsi="宋体" w:eastAsia="宋体" w:cs="宋体"/>
          <w:color w:val="auto"/>
          <w:highlight w:val="none"/>
        </w:rPr>
      </w:pPr>
    </w:p>
    <w:p>
      <w:pPr>
        <w:pStyle w:val="65"/>
        <w:spacing w:line="360" w:lineRule="auto"/>
        <w:ind w:firstLine="0" w:firstLineChars="0"/>
        <w:jc w:val="center"/>
        <w:rPr>
          <w:rFonts w:hint="eastAsia" w:ascii="宋体" w:hAnsi="宋体" w:eastAsia="宋体" w:cs="宋体"/>
          <w:color w:val="auto"/>
          <w:highlight w:val="none"/>
        </w:rPr>
      </w:pPr>
    </w:p>
    <w:p>
      <w:pPr>
        <w:pStyle w:val="65"/>
        <w:spacing w:line="360" w:lineRule="auto"/>
        <w:ind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目　　录</w:t>
      </w:r>
    </w:p>
    <w:p>
      <w:pPr>
        <w:pStyle w:val="65"/>
        <w:spacing w:line="360" w:lineRule="auto"/>
        <w:ind w:firstLine="0" w:firstLineChars="0"/>
        <w:jc w:val="center"/>
        <w:rPr>
          <w:rFonts w:hint="eastAsia" w:ascii="宋体" w:hAnsi="宋体" w:eastAsia="宋体" w:cs="宋体"/>
          <w:color w:val="auto"/>
          <w:highlight w:val="none"/>
        </w:rPr>
      </w:pP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一、资格、技术商务部分</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1、需要提供的资质证明文件</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响应授权书</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响应函</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4、项目实施方案</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5、履行合同所必需的设备专业技术能力证明文件</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6、售后服务</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7、业绩证明材料</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文件要求的其他材料</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二、报价部分</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1、报价表</w:t>
      </w:r>
    </w:p>
    <w:p>
      <w:pPr>
        <w:pStyle w:val="65"/>
        <w:wordWrap w:val="0"/>
        <w:spacing w:line="360" w:lineRule="auto"/>
        <w:ind w:firstLine="0" w:firstLineChars="0"/>
        <w:rPr>
          <w:rFonts w:hint="eastAsia" w:ascii="宋体" w:hAnsi="宋体" w:eastAsia="宋体" w:cs="宋体"/>
          <w:b w:val="0"/>
          <w:color w:val="auto"/>
          <w:highlight w:val="none"/>
        </w:rPr>
      </w:pPr>
    </w:p>
    <w:p>
      <w:pPr>
        <w:pStyle w:val="65"/>
        <w:wordWrap w:val="0"/>
        <w:spacing w:line="360" w:lineRule="auto"/>
        <w:ind w:firstLine="0" w:firstLineChars="0"/>
        <w:rPr>
          <w:rFonts w:hint="eastAsia" w:ascii="宋体" w:hAnsi="宋体" w:eastAsia="宋体" w:cs="宋体"/>
          <w:b w:val="0"/>
          <w:color w:val="auto"/>
          <w:highlight w:val="none"/>
        </w:rPr>
      </w:pPr>
    </w:p>
    <w:p>
      <w:pPr>
        <w:pStyle w:val="65"/>
        <w:wordWrap w:val="0"/>
        <w:spacing w:line="360" w:lineRule="auto"/>
        <w:ind w:firstLine="0" w:firstLineChars="0"/>
        <w:rPr>
          <w:rFonts w:hint="eastAsia" w:ascii="宋体" w:hAnsi="宋体" w:eastAsia="宋体" w:cs="宋体"/>
          <w:b w:val="0"/>
          <w:color w:val="auto"/>
          <w:highlight w:val="none"/>
        </w:rPr>
      </w:pPr>
    </w:p>
    <w:p>
      <w:pPr>
        <w:pStyle w:val="65"/>
        <w:spacing w:line="360" w:lineRule="auto"/>
        <w:ind w:firstLine="0" w:firstLineChars="0"/>
        <w:jc w:val="both"/>
        <w:rPr>
          <w:rFonts w:hint="eastAsia" w:ascii="宋体" w:hAnsi="宋体" w:eastAsia="宋体" w:cs="宋体"/>
          <w:color w:val="auto"/>
          <w:highlight w:val="none"/>
        </w:rPr>
      </w:pPr>
    </w:p>
    <w:p>
      <w:pPr>
        <w:pStyle w:val="65"/>
        <w:spacing w:line="360" w:lineRule="auto"/>
        <w:ind w:firstLine="0" w:firstLineChars="0"/>
        <w:jc w:val="both"/>
        <w:rPr>
          <w:rFonts w:hint="eastAsia" w:ascii="宋体" w:hAnsi="宋体" w:eastAsia="宋体" w:cs="宋体"/>
          <w:color w:val="auto"/>
          <w:highlight w:val="none"/>
        </w:rPr>
      </w:pPr>
    </w:p>
    <w:p>
      <w:pPr>
        <w:pStyle w:val="65"/>
        <w:spacing w:line="360" w:lineRule="auto"/>
        <w:ind w:firstLine="0" w:firstLineChars="0"/>
        <w:jc w:val="both"/>
        <w:rPr>
          <w:rFonts w:hint="eastAsia" w:ascii="宋体" w:hAnsi="宋体" w:eastAsia="宋体" w:cs="宋体"/>
          <w:color w:val="auto"/>
          <w:highlight w:val="none"/>
        </w:rPr>
      </w:pPr>
    </w:p>
    <w:p>
      <w:pPr>
        <w:pStyle w:val="65"/>
        <w:spacing w:line="360" w:lineRule="auto"/>
        <w:ind w:firstLine="0" w:firstLineChars="0"/>
        <w:jc w:val="both"/>
        <w:rPr>
          <w:rFonts w:hint="eastAsia" w:ascii="宋体" w:hAnsi="宋体" w:eastAsia="宋体" w:cs="宋体"/>
          <w:color w:val="auto"/>
          <w:highlight w:val="none"/>
        </w:rPr>
      </w:pPr>
    </w:p>
    <w:p>
      <w:pPr>
        <w:pStyle w:val="65"/>
        <w:spacing w:line="360" w:lineRule="auto"/>
        <w:ind w:firstLine="0" w:firstLineChars="0"/>
        <w:jc w:val="both"/>
        <w:rPr>
          <w:rFonts w:hint="eastAsia" w:ascii="宋体" w:hAnsi="宋体" w:eastAsia="宋体" w:cs="宋体"/>
          <w:color w:val="auto"/>
          <w:highlight w:val="none"/>
        </w:rPr>
      </w:pPr>
    </w:p>
    <w:p>
      <w:pPr>
        <w:pStyle w:val="65"/>
        <w:spacing w:line="360" w:lineRule="auto"/>
        <w:ind w:firstLine="0" w:firstLineChars="0"/>
        <w:jc w:val="both"/>
        <w:rPr>
          <w:rFonts w:hint="eastAsia" w:ascii="宋体" w:hAnsi="宋体" w:eastAsia="宋体" w:cs="宋体"/>
          <w:color w:val="auto"/>
          <w:highlight w:val="none"/>
        </w:rPr>
      </w:pPr>
    </w:p>
    <w:p>
      <w:pPr>
        <w:pStyle w:val="65"/>
        <w:spacing w:line="360" w:lineRule="auto"/>
        <w:ind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一、资格、技术商务部分</w:t>
      </w:r>
    </w:p>
    <w:p>
      <w:pPr>
        <w:pStyle w:val="65"/>
        <w:spacing w:line="360" w:lineRule="auto"/>
        <w:ind w:firstLine="0" w:firstLineChars="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1、需要提供的资质证明文件（复印件）</w:t>
      </w:r>
    </w:p>
    <w:p>
      <w:pPr>
        <w:spacing w:line="360" w:lineRule="auto"/>
        <w:ind w:firstLine="480" w:firstLineChars="200"/>
        <w:rPr>
          <w:rFonts w:hint="eastAsia" w:ascii="宋体" w:hAnsi="宋体" w:eastAsia="宋体" w:cs="宋体"/>
          <w:color w:val="auto"/>
          <w:sz w:val="24"/>
          <w:szCs w:val="24"/>
          <w:highlight w:val="none"/>
        </w:rPr>
      </w:pP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响应授权书</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（采购单位名称）</w:t>
      </w:r>
      <w:r>
        <w:rPr>
          <w:rFonts w:hint="eastAsia" w:ascii="宋体" w:hAnsi="宋体" w:eastAsia="宋体" w:cs="宋体"/>
          <w:color w:val="auto"/>
          <w:sz w:val="24"/>
          <w:szCs w:val="24"/>
          <w:highlight w:val="none"/>
        </w:rPr>
        <w:t>：</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本授权书声明：</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市场比价</w:t>
      </w:r>
      <w:r>
        <w:rPr>
          <w:rFonts w:hint="eastAsia" w:ascii="宋体" w:hAnsi="宋体" w:eastAsia="宋体" w:cs="宋体"/>
          <w:color w:val="auto"/>
          <w:sz w:val="24"/>
          <w:szCs w:val="24"/>
          <w:highlight w:val="none"/>
          <w:u w:val="single"/>
        </w:rPr>
        <w:t>响应人名称）</w:t>
      </w:r>
      <w:r>
        <w:rPr>
          <w:rFonts w:hint="eastAsia" w:ascii="宋体" w:hAnsi="宋体" w:eastAsia="宋体" w:cs="宋体"/>
          <w:color w:val="auto"/>
          <w:sz w:val="24"/>
          <w:szCs w:val="24"/>
          <w:highlight w:val="none"/>
        </w:rPr>
        <w:t>授权本单位</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市场比价</w:t>
      </w:r>
      <w:r>
        <w:rPr>
          <w:rFonts w:hint="eastAsia" w:ascii="宋体" w:hAnsi="宋体" w:eastAsia="宋体" w:cs="宋体"/>
          <w:color w:val="auto"/>
          <w:sz w:val="24"/>
          <w:szCs w:val="24"/>
          <w:highlight w:val="none"/>
          <w:u w:val="single"/>
        </w:rPr>
        <w:t>响应人授权代表姓名、职务）</w:t>
      </w:r>
      <w:r>
        <w:rPr>
          <w:rFonts w:hint="eastAsia" w:ascii="宋体" w:hAnsi="宋体" w:eastAsia="宋体" w:cs="宋体"/>
          <w:color w:val="auto"/>
          <w:sz w:val="24"/>
          <w:szCs w:val="24"/>
          <w:highlight w:val="none"/>
        </w:rPr>
        <w:t>代表本单位参加</w:t>
      </w:r>
      <w:r>
        <w:rPr>
          <w:rFonts w:hint="eastAsia" w:ascii="宋体" w:hAnsi="宋体" w:eastAsia="宋体" w:cs="宋体"/>
          <w:color w:val="auto"/>
          <w:sz w:val="24"/>
          <w:szCs w:val="24"/>
          <w:highlight w:val="none"/>
          <w:u w:val="single"/>
        </w:rPr>
        <w:t xml:space="preserve">             （项目全称）</w:t>
      </w:r>
      <w:r>
        <w:rPr>
          <w:rFonts w:hint="eastAsia" w:ascii="宋体" w:hAnsi="宋体" w:eastAsia="宋体" w:cs="宋体"/>
          <w:color w:val="auto"/>
          <w:sz w:val="24"/>
          <w:szCs w:val="24"/>
          <w:highlight w:val="none"/>
        </w:rPr>
        <w:t>项目</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响应活动,全权代表本公司处理</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响应过程的一切事宜，包括但不限于：</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响应、参与开标、谈判、合同签署、合同执行等。</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响应人授权代表在</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响应过程中所签署的一切文件和处理与之有关的一切事务，本公司均予以认可并对此承担责任。</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响应人授权代表无转委托权。特此授权。</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本授权书自出具之日起生效。</w:t>
      </w:r>
    </w:p>
    <w:p>
      <w:pPr>
        <w:spacing w:line="360" w:lineRule="auto"/>
        <w:ind w:firstLine="482" w:firstLineChars="200"/>
        <w:rPr>
          <w:rFonts w:hint="eastAsia" w:ascii="宋体" w:hAnsi="宋体" w:eastAsia="宋体" w:cs="宋体"/>
          <w:b/>
          <w:bCs/>
          <w:color w:val="auto"/>
          <w:sz w:val="24"/>
          <w:szCs w:val="24"/>
          <w:highlight w:val="none"/>
        </w:rPr>
      </w:pP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特此声明。</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spacing w:line="360" w:lineRule="auto"/>
        <w:ind w:firstLine="420" w:firstLineChars="200"/>
        <w:rPr>
          <w:rFonts w:hint="eastAsia" w:ascii="宋体" w:hAnsi="宋体" w:eastAsia="宋体" w:cs="宋体"/>
          <w:color w:val="auto"/>
          <w:highlight w:val="none"/>
        </w:rPr>
      </w:pPr>
    </w:p>
    <w:p>
      <w:pPr>
        <w:spacing w:line="360" w:lineRule="auto"/>
        <w:ind w:firstLine="420" w:firstLineChars="200"/>
        <w:rPr>
          <w:rFonts w:hint="eastAsia" w:ascii="宋体" w:hAnsi="宋体" w:eastAsia="宋体" w:cs="宋体"/>
          <w:color w:val="auto"/>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   期：</w:t>
      </w:r>
    </w:p>
    <w:p>
      <w:pPr>
        <w:pStyle w:val="65"/>
        <w:spacing w:line="360" w:lineRule="auto"/>
        <w:ind w:left="0" w:leftChars="0" w:firstLine="0" w:firstLineChars="0"/>
        <w:rPr>
          <w:rFonts w:hint="eastAsia" w:ascii="宋体" w:hAnsi="宋体" w:eastAsia="宋体" w:cs="宋体"/>
          <w:color w:val="auto"/>
          <w:highlight w:val="none"/>
        </w:rPr>
      </w:pPr>
    </w:p>
    <w:p>
      <w:pPr>
        <w:pStyle w:val="65"/>
        <w:spacing w:line="360" w:lineRule="auto"/>
        <w:ind w:left="0" w:leftChars="0" w:firstLine="0" w:firstLineChars="0"/>
        <w:rPr>
          <w:rFonts w:hint="eastAsia" w:ascii="宋体" w:hAnsi="宋体" w:eastAsia="宋体" w:cs="宋体"/>
          <w:color w:val="auto"/>
          <w:highlight w:val="none"/>
        </w:rPr>
      </w:pPr>
    </w:p>
    <w:p>
      <w:pPr>
        <w:pStyle w:val="65"/>
        <w:spacing w:line="360" w:lineRule="auto"/>
        <w:ind w:left="0" w:leftChars="0" w:firstLine="0" w:firstLineChars="0"/>
        <w:rPr>
          <w:rFonts w:hint="eastAsia" w:ascii="宋体" w:hAnsi="宋体" w:eastAsia="宋体" w:cs="宋体"/>
          <w:color w:val="auto"/>
          <w:highlight w:val="none"/>
        </w:rPr>
      </w:pPr>
    </w:p>
    <w:p>
      <w:pPr>
        <w:pStyle w:val="65"/>
        <w:numPr>
          <w:ilvl w:val="0"/>
          <w:numId w:val="0"/>
        </w:numPr>
        <w:spacing w:line="360" w:lineRule="auto"/>
        <w:jc w:val="center"/>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cs="宋体"/>
          <w:color w:val="auto"/>
          <w:highlight w:val="none"/>
          <w:lang w:eastAsia="zh-CN"/>
        </w:rPr>
        <w:t>市场比价</w:t>
      </w:r>
      <w:r>
        <w:rPr>
          <w:rFonts w:hint="eastAsia" w:ascii="宋体" w:hAnsi="宋体" w:eastAsia="宋体" w:cs="宋体"/>
          <w:color w:val="auto"/>
          <w:highlight w:val="none"/>
        </w:rPr>
        <w:t>响应函格式</w:t>
      </w:r>
    </w:p>
    <w:p>
      <w:pPr>
        <w:pStyle w:val="65"/>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致</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（采购单位名称）：</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1、根据贵方</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lang w:eastAsia="zh-CN"/>
        </w:rPr>
        <w:t>公告</w:t>
      </w:r>
      <w:r>
        <w:rPr>
          <w:rFonts w:hint="eastAsia" w:ascii="宋体" w:hAnsi="宋体" w:eastAsia="宋体" w:cs="宋体"/>
          <w:color w:val="auto"/>
          <w:sz w:val="24"/>
          <w:szCs w:val="24"/>
          <w:highlight w:val="none"/>
        </w:rPr>
        <w:t>，我们决定参加贵方组织的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项目的</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采购活动。我方授权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(姓名和职务)代表我方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响应单位的名称）全权处理本项目</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响应的有关事宜。</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至投标截止日，我方、包括我方法定代表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pPr>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4、至投标截止日，我方未被铜陵市公共资源交易监管部门记录的不良行为累计分值在 10 分（含）-15 分（不含），且最近一次不良行为记录公布日距开标日未超过 3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5、至投标截止日，我方未被铜陵市公共资源交易监管部门记不良行为记录累计分值在 15 分（含）-20 分（不含），且最近一次不良行为记录公布日距开标日未超过 6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6、至投标截止日，我方未被铜陵市公共资源交易监管部门记不良行为记录累计分值达 20 分（含）以上，且最近一次不良行为记录公布日距开标日未超过 12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、我方愿意按照采购文件规定的各项要求，向采购人提供所需的货物与服务。</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、一旦我方中标，我方将严格履行合同规定的责任和义务。</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、我方同意按照</w:t>
      </w:r>
      <w:r>
        <w:rPr>
          <w:rFonts w:hint="eastAsia" w:ascii="宋体" w:hAnsi="宋体" w:cs="宋体"/>
          <w:color w:val="auto"/>
          <w:sz w:val="24"/>
          <w:szCs w:val="24"/>
          <w:highlight w:val="none"/>
          <w:lang w:val="en-US" w:eastAsia="zh-CN"/>
        </w:rPr>
        <w:t>市场比价</w:t>
      </w:r>
      <w:r>
        <w:rPr>
          <w:rFonts w:hint="eastAsia" w:ascii="宋体" w:hAnsi="宋体" w:eastAsia="宋体" w:cs="宋体"/>
          <w:color w:val="auto"/>
          <w:sz w:val="24"/>
          <w:szCs w:val="24"/>
          <w:highlight w:val="none"/>
        </w:rPr>
        <w:t>文件的要求，向贵方递交投标保证金。并且承诺，在投标有效期内如果我方撤回投标书或中标后拒绝签订合同，我方将放弃要求贵方退还该投标保证金的权力。</w:t>
      </w:r>
    </w:p>
    <w:p>
      <w:pPr>
        <w:tabs>
          <w:tab w:val="left" w:pos="840"/>
        </w:tabs>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、我方愿意提供贵方可能另外要求的、与</w:t>
      </w:r>
      <w:r>
        <w:rPr>
          <w:rFonts w:hint="eastAsia" w:ascii="宋体" w:hAnsi="宋体" w:cs="宋体"/>
          <w:color w:val="auto"/>
          <w:sz w:val="24"/>
          <w:szCs w:val="24"/>
          <w:highlight w:val="none"/>
          <w:lang w:eastAsia="zh-CN"/>
        </w:rPr>
        <w:t>市场比价</w:t>
      </w:r>
      <w:r>
        <w:rPr>
          <w:rFonts w:hint="eastAsia" w:ascii="宋体" w:hAnsi="宋体" w:eastAsia="宋体" w:cs="宋体"/>
          <w:color w:val="auto"/>
          <w:sz w:val="24"/>
          <w:szCs w:val="24"/>
          <w:highlight w:val="none"/>
        </w:rPr>
        <w:t>响应有关的文件资料，并保证我方已提供和将要提供的文件是真实的、准确的。</w:t>
      </w:r>
    </w:p>
    <w:p>
      <w:pPr>
        <w:pStyle w:val="2"/>
        <w:rPr>
          <w:rFonts w:hint="eastAsia"/>
          <w:color w:val="auto"/>
        </w:rPr>
      </w:pPr>
    </w:p>
    <w:p>
      <w:pPr>
        <w:pStyle w:val="65"/>
        <w:spacing w:line="360" w:lineRule="auto"/>
        <w:ind w:right="980" w:firstLine="422"/>
        <w:jc w:val="center"/>
        <w:rPr>
          <w:rFonts w:hint="eastAsia" w:ascii="宋体" w:hAnsi="宋体" w:eastAsia="宋体" w:cs="宋体"/>
          <w:color w:val="auto"/>
          <w:sz w:val="24"/>
          <w:szCs w:val="24"/>
          <w:highlight w:val="none"/>
        </w:rPr>
      </w:pPr>
      <w:bookmarkStart w:id="12" w:name="_Toc400805871"/>
      <w:bookmarkStart w:id="13" w:name="_Toc393705366"/>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盖</w:t>
      </w:r>
      <w:r>
        <w:rPr>
          <w:rFonts w:hint="eastAsia" w:ascii="宋体" w:hAnsi="宋体" w:eastAsia="宋体" w:cs="宋体"/>
          <w:color w:val="auto"/>
          <w:sz w:val="24"/>
          <w:szCs w:val="24"/>
          <w:highlight w:val="none"/>
        </w:rPr>
        <w:t>章：</w:t>
      </w:r>
    </w:p>
    <w:p>
      <w:pPr>
        <w:pStyle w:val="65"/>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日   期：</w:t>
      </w:r>
    </w:p>
    <w:p>
      <w:pPr>
        <w:pStyle w:val="65"/>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4、项目实施方案</w:t>
      </w:r>
      <w:bookmarkEnd w:id="12"/>
      <w:bookmarkEnd w:id="13"/>
    </w:p>
    <w:p>
      <w:pPr>
        <w:autoSpaceDN w:val="0"/>
        <w:spacing w:after="156"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（一）供应商简介</w:t>
      </w:r>
    </w:p>
    <w:p>
      <w:pPr>
        <w:autoSpaceDN w:val="0"/>
        <w:spacing w:after="156"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（二）项目实施方案</w:t>
      </w:r>
    </w:p>
    <w:p>
      <w:pPr>
        <w:pStyle w:val="65"/>
        <w:spacing w:line="360" w:lineRule="auto"/>
        <w:ind w:firstLine="0" w:firstLineChars="0"/>
        <w:rPr>
          <w:rFonts w:hint="eastAsia" w:ascii="宋体" w:hAnsi="宋体" w:eastAsia="宋体" w:cs="宋体"/>
          <w:color w:val="auto"/>
          <w:sz w:val="24"/>
          <w:szCs w:val="24"/>
          <w:highlight w:val="none"/>
        </w:rPr>
      </w:pPr>
      <w:bookmarkStart w:id="14" w:name="_Toc393705367"/>
      <w:bookmarkStart w:id="15" w:name="_Toc400805872"/>
      <w:r>
        <w:rPr>
          <w:rFonts w:hint="eastAsia" w:ascii="宋体" w:hAnsi="宋体" w:eastAsia="宋体" w:cs="宋体"/>
          <w:color w:val="auto"/>
          <w:sz w:val="24"/>
          <w:szCs w:val="24"/>
          <w:highlight w:val="none"/>
        </w:rPr>
        <w:t>5、履行合同所必需的设备专业技术能力证明</w:t>
      </w:r>
      <w:bookmarkEnd w:id="14"/>
      <w:bookmarkEnd w:id="15"/>
    </w:p>
    <w:p>
      <w:pPr>
        <w:wordWrap w:val="0"/>
        <w:spacing w:line="360" w:lineRule="auto"/>
        <w:jc w:val="center"/>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（1）服务本项目主要人员一览表</w:t>
      </w:r>
    </w:p>
    <w:tbl>
      <w:tblPr>
        <w:tblStyle w:val="20"/>
        <w:tblpPr w:leftFromText="180" w:rightFromText="180" w:vertAnchor="text" w:horzAnchor="page" w:tblpX="1282" w:tblpY="447"/>
        <w:tblOverlap w:val="never"/>
        <w:tblW w:w="989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9"/>
        <w:gridCol w:w="1081"/>
        <w:gridCol w:w="1081"/>
        <w:gridCol w:w="1781"/>
        <w:gridCol w:w="1102"/>
        <w:gridCol w:w="1622"/>
        <w:gridCol w:w="24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trPr>
        <w:tc>
          <w:tcPr>
            <w:tcW w:w="829" w:type="dxa"/>
            <w:vMerge w:val="restart"/>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类别</w:t>
            </w:r>
          </w:p>
        </w:tc>
        <w:tc>
          <w:tcPr>
            <w:tcW w:w="1081" w:type="dxa"/>
            <w:vMerge w:val="restart"/>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081" w:type="dxa"/>
            <w:vMerge w:val="restart"/>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1781" w:type="dxa"/>
            <w:vMerge w:val="restart"/>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职称或执业资格</w:t>
            </w:r>
          </w:p>
        </w:tc>
        <w:tc>
          <w:tcPr>
            <w:tcW w:w="1102" w:type="dxa"/>
            <w:vMerge w:val="restart"/>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身份证</w:t>
            </w:r>
          </w:p>
        </w:tc>
        <w:tc>
          <w:tcPr>
            <w:tcW w:w="4022" w:type="dxa"/>
            <w:gridSpan w:val="2"/>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trPr>
        <w:tc>
          <w:tcPr>
            <w:tcW w:w="829" w:type="dxa"/>
            <w:vMerge w:val="continue"/>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081" w:type="dxa"/>
            <w:vMerge w:val="continue"/>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081" w:type="dxa"/>
            <w:vMerge w:val="continue"/>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781" w:type="dxa"/>
            <w:vMerge w:val="continue"/>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102" w:type="dxa"/>
            <w:vMerge w:val="continue"/>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62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2400"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号码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项目负责人</w:t>
            </w: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7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10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62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2400"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7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10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62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2400"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团队成员</w:t>
            </w: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7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10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62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2400"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7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10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62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2400"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6" w:hRule="atLeast"/>
        </w:trPr>
        <w:tc>
          <w:tcPr>
            <w:tcW w:w="829"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其它</w:t>
            </w: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7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10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62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2400"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r>
    </w:tbl>
    <w:p>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注：证件应附复印件，供应商对其真实性负法律责任。</w:t>
      </w:r>
    </w:p>
    <w:p>
      <w:pPr>
        <w:pStyle w:val="65"/>
        <w:spacing w:line="360" w:lineRule="auto"/>
        <w:ind w:firstLine="0" w:firstLineChars="0"/>
        <w:rPr>
          <w:rFonts w:hint="eastAsia" w:ascii="宋体" w:hAnsi="宋体" w:eastAsia="宋体" w:cs="宋体"/>
          <w:b/>
          <w:color w:val="auto"/>
          <w:sz w:val="28"/>
          <w:szCs w:val="28"/>
          <w:highlight w:val="none"/>
        </w:rPr>
      </w:pPr>
      <w:r>
        <w:rPr>
          <w:rFonts w:hint="eastAsia" w:ascii="宋体" w:hAnsi="宋体" w:eastAsia="宋体" w:cs="宋体"/>
          <w:color w:val="auto"/>
          <w:sz w:val="24"/>
          <w:szCs w:val="24"/>
          <w:highlight w:val="none"/>
        </w:rPr>
        <w:t>（2）其它证明。</w:t>
      </w:r>
    </w:p>
    <w:p>
      <w:pPr>
        <w:spacing w:line="440" w:lineRule="exact"/>
        <w:rPr>
          <w:rFonts w:hint="eastAsia" w:ascii="宋体" w:hAnsi="宋体" w:eastAsia="宋体" w:cs="宋体"/>
          <w:color w:val="auto"/>
          <w:szCs w:val="21"/>
          <w:highlight w:val="none"/>
        </w:rPr>
      </w:pPr>
      <w:r>
        <w:rPr>
          <w:rFonts w:hint="eastAsia" w:ascii="宋体" w:hAnsi="宋体" w:eastAsia="宋体" w:cs="宋体"/>
          <w:b/>
          <w:color w:val="auto"/>
          <w:sz w:val="28"/>
          <w:szCs w:val="28"/>
          <w:highlight w:val="none"/>
        </w:rPr>
        <w:t>6、售后服务</w:t>
      </w:r>
    </w:p>
    <w:p>
      <w:pPr>
        <w:spacing w:line="54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售后服务能力一览表</w:t>
      </w:r>
    </w:p>
    <w:tbl>
      <w:tblPr>
        <w:tblStyle w:val="20"/>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5"/>
        <w:gridCol w:w="3061"/>
        <w:gridCol w:w="2883"/>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详细地址</w:t>
            </w:r>
          </w:p>
        </w:tc>
        <w:tc>
          <w:tcPr>
            <w:tcW w:w="3061" w:type="dxa"/>
            <w:vAlign w:val="center"/>
          </w:tcPr>
          <w:p>
            <w:pPr>
              <w:keepNext w:val="0"/>
              <w:keepLines w:val="0"/>
              <w:suppressLineNumbers w:val="0"/>
              <w:spacing w:before="0" w:beforeAutospacing="0" w:after="0" w:afterAutospacing="0" w:line="400" w:lineRule="exact"/>
              <w:ind w:left="103" w:leftChars="49"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服务人员名单</w:t>
            </w:r>
          </w:p>
        </w:tc>
        <w:tc>
          <w:tcPr>
            <w:tcW w:w="2883"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固定联系电话</w:t>
            </w:r>
          </w:p>
        </w:tc>
        <w:tc>
          <w:tcPr>
            <w:tcW w:w="1211"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p>
        </w:tc>
        <w:tc>
          <w:tcPr>
            <w:tcW w:w="3061"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p>
        </w:tc>
        <w:tc>
          <w:tcPr>
            <w:tcW w:w="2883"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p>
        </w:tc>
        <w:tc>
          <w:tcPr>
            <w:tcW w:w="1211"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2045"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p>
        </w:tc>
        <w:tc>
          <w:tcPr>
            <w:tcW w:w="3061"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p>
        </w:tc>
        <w:tc>
          <w:tcPr>
            <w:tcW w:w="2883"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p>
        </w:tc>
        <w:tc>
          <w:tcPr>
            <w:tcW w:w="1211"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p>
        </w:tc>
      </w:tr>
    </w:tbl>
    <w:p>
      <w:pPr>
        <w:pStyle w:val="65"/>
        <w:ind w:firstLine="0" w:firstLineChars="0"/>
        <w:rPr>
          <w:rFonts w:hint="eastAsia" w:ascii="宋体" w:hAnsi="宋体" w:eastAsia="宋体" w:cs="宋体"/>
          <w:bCs w:val="0"/>
          <w:color w:val="auto"/>
          <w:sz w:val="24"/>
          <w:szCs w:val="24"/>
          <w:highlight w:val="none"/>
        </w:rPr>
      </w:pPr>
      <w:bookmarkStart w:id="16" w:name="_Toc393705369"/>
      <w:bookmarkStart w:id="17" w:name="_Toc400805873"/>
      <w:r>
        <w:rPr>
          <w:rFonts w:hint="eastAsia" w:ascii="宋体" w:hAnsi="宋体" w:eastAsia="宋体" w:cs="宋体"/>
          <w:bCs w:val="0"/>
          <w:color w:val="auto"/>
          <w:sz w:val="24"/>
          <w:szCs w:val="24"/>
          <w:highlight w:val="none"/>
        </w:rPr>
        <w:t>7、业绩证明材料（如有）</w:t>
      </w:r>
    </w:p>
    <w:p>
      <w:pPr>
        <w:pStyle w:val="65"/>
        <w:spacing w:line="360" w:lineRule="auto"/>
        <w:ind w:firstLine="0" w:firstLineChars="0"/>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8、</w:t>
      </w:r>
      <w:r>
        <w:rPr>
          <w:rFonts w:hint="eastAsia" w:ascii="宋体" w:hAnsi="宋体" w:cs="宋体"/>
          <w:bCs w:val="0"/>
          <w:color w:val="auto"/>
          <w:sz w:val="24"/>
          <w:szCs w:val="24"/>
          <w:highlight w:val="none"/>
          <w:lang w:eastAsia="zh-CN"/>
        </w:rPr>
        <w:t>市场比价</w:t>
      </w:r>
      <w:r>
        <w:rPr>
          <w:rFonts w:hint="eastAsia" w:ascii="宋体" w:hAnsi="宋体" w:eastAsia="宋体" w:cs="宋体"/>
          <w:bCs w:val="0"/>
          <w:color w:val="auto"/>
          <w:sz w:val="24"/>
          <w:szCs w:val="24"/>
          <w:highlight w:val="none"/>
        </w:rPr>
        <w:t>文件要求的其它材料</w:t>
      </w:r>
      <w:bookmarkEnd w:id="16"/>
      <w:bookmarkEnd w:id="17"/>
    </w:p>
    <w:p>
      <w:pPr>
        <w:pStyle w:val="65"/>
        <w:spacing w:line="360" w:lineRule="auto"/>
        <w:ind w:firstLine="0" w:firstLineChars="0"/>
        <w:rPr>
          <w:rFonts w:hint="eastAsia" w:ascii="宋体" w:hAnsi="宋体" w:eastAsia="宋体" w:cs="宋体"/>
          <w:bCs w:val="0"/>
          <w:color w:val="auto"/>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二、报价部分</w:t>
      </w:r>
    </w:p>
    <w:p>
      <w:pPr>
        <w:pStyle w:val="65"/>
        <w:spacing w:line="360" w:lineRule="auto"/>
        <w:ind w:firstLine="0" w:firstLineChars="0"/>
        <w:rPr>
          <w:rFonts w:hint="eastAsia" w:ascii="宋体" w:hAnsi="宋体" w:eastAsia="宋体" w:cs="宋体"/>
          <w:color w:val="auto"/>
          <w:highlight w:val="none"/>
        </w:rPr>
      </w:pPr>
      <w:bookmarkStart w:id="18" w:name="_Toc395875073"/>
      <w:r>
        <w:rPr>
          <w:rFonts w:hint="eastAsia" w:ascii="宋体" w:hAnsi="宋体" w:cs="宋体"/>
          <w:color w:val="auto"/>
          <w:highlight w:val="none"/>
          <w:lang w:eastAsia="zh-CN"/>
        </w:rPr>
        <w:t>市场比价</w:t>
      </w:r>
      <w:r>
        <w:rPr>
          <w:rFonts w:hint="eastAsia" w:ascii="宋体" w:hAnsi="宋体" w:eastAsia="宋体" w:cs="宋体"/>
          <w:color w:val="auto"/>
          <w:highlight w:val="none"/>
        </w:rPr>
        <w:t>响应报价表</w:t>
      </w:r>
      <w:bookmarkEnd w:id="18"/>
    </w:p>
    <w:tbl>
      <w:tblPr>
        <w:tblStyle w:val="20"/>
        <w:tblW w:w="92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4"/>
        <w:gridCol w:w="2009"/>
        <w:gridCol w:w="1920"/>
        <w:gridCol w:w="1032"/>
        <w:gridCol w:w="1032"/>
        <w:gridCol w:w="1236"/>
        <w:gridCol w:w="13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ascii="宋体" w:hAnsi="宋体" w:cs="宋体"/>
                <w:b/>
                <w:bCs/>
                <w:color w:val="auto"/>
                <w:szCs w:val="21"/>
              </w:rPr>
              <w:t>序号</w:t>
            </w:r>
          </w:p>
        </w:tc>
        <w:tc>
          <w:tcPr>
            <w:tcW w:w="2009"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ascii="宋体" w:hAnsi="宋体" w:cs="宋体"/>
                <w:b/>
                <w:bCs/>
                <w:color w:val="auto"/>
                <w:szCs w:val="21"/>
              </w:rPr>
              <w:t>产品/服务名称</w:t>
            </w:r>
          </w:p>
        </w:tc>
        <w:tc>
          <w:tcPr>
            <w:tcW w:w="192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服务要求</w:t>
            </w:r>
          </w:p>
        </w:tc>
        <w:tc>
          <w:tcPr>
            <w:tcW w:w="1032"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ascii="宋体" w:hAnsi="宋体" w:cs="宋体"/>
                <w:b/>
                <w:bCs/>
                <w:color w:val="auto"/>
                <w:szCs w:val="21"/>
              </w:rPr>
              <w:t>单位</w:t>
            </w:r>
          </w:p>
        </w:tc>
        <w:tc>
          <w:tcPr>
            <w:tcW w:w="1032"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ascii="宋体" w:hAnsi="宋体" w:cs="宋体"/>
                <w:b/>
                <w:bCs/>
                <w:color w:val="auto"/>
                <w:szCs w:val="21"/>
              </w:rPr>
              <w:t>数量</w:t>
            </w:r>
          </w:p>
        </w:tc>
        <w:tc>
          <w:tcPr>
            <w:tcW w:w="1236"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单价</w:t>
            </w:r>
          </w:p>
        </w:tc>
        <w:tc>
          <w:tcPr>
            <w:tcW w:w="135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宋体" w:hAnsi="宋体" w:cs="宋体"/>
                <w:bCs/>
                <w:color w:val="auto"/>
                <w:szCs w:val="21"/>
              </w:rPr>
            </w:pPr>
            <w:r>
              <w:rPr>
                <w:rFonts w:hint="eastAsia" w:ascii="宋体" w:hAnsi="宋体" w:cs="宋体"/>
                <w:bCs/>
                <w:color w:val="auto"/>
                <w:szCs w:val="21"/>
              </w:rPr>
              <w:t>1</w:t>
            </w:r>
          </w:p>
        </w:tc>
        <w:tc>
          <w:tcPr>
            <w:tcW w:w="2009"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rPr>
                <w:rFonts w:hint="eastAsia" w:ascii="宋体" w:hAnsi="宋体" w:eastAsia="宋体" w:cs="宋体"/>
                <w:color w:val="auto"/>
                <w:szCs w:val="21"/>
                <w:lang w:eastAsia="zh-CN"/>
              </w:rPr>
            </w:pPr>
            <w:r>
              <w:rPr>
                <w:rFonts w:hint="eastAsia" w:ascii="宋体" w:hAnsi="宋体" w:cs="宋体"/>
                <w:color w:val="auto"/>
                <w:szCs w:val="21"/>
                <w:lang w:eastAsia="zh-CN"/>
              </w:rPr>
              <w:t>档案整理及移交</w:t>
            </w:r>
          </w:p>
        </w:tc>
        <w:tc>
          <w:tcPr>
            <w:tcW w:w="192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210" w:firstLineChars="100"/>
              <w:jc w:val="left"/>
              <w:rPr>
                <w:rFonts w:hint="eastAsia" w:ascii="宋体" w:hAnsi="宋体" w:eastAsia="宋体" w:cs="宋体"/>
                <w:bCs/>
                <w:color w:val="auto"/>
                <w:szCs w:val="21"/>
                <w:lang w:eastAsia="zh-CN"/>
              </w:rPr>
            </w:pPr>
            <w:r>
              <w:rPr>
                <w:rFonts w:hint="eastAsia" w:ascii="宋体" w:hAnsi="宋体" w:cs="宋体"/>
                <w:bCs/>
                <w:color w:val="auto"/>
                <w:szCs w:val="21"/>
                <w:lang w:eastAsia="zh-CN"/>
              </w:rPr>
              <w:t>见市场比价公告</w:t>
            </w:r>
          </w:p>
        </w:tc>
        <w:tc>
          <w:tcPr>
            <w:tcW w:w="1032"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Cs w:val="21"/>
                <w:lang w:eastAsia="zh-CN"/>
              </w:rPr>
            </w:pPr>
            <w:r>
              <w:rPr>
                <w:rFonts w:hint="eastAsia" w:ascii="宋体" w:hAnsi="宋体" w:cs="宋体"/>
                <w:color w:val="auto"/>
                <w:szCs w:val="21"/>
                <w:lang w:eastAsia="zh-CN"/>
              </w:rPr>
              <w:t>项</w:t>
            </w:r>
          </w:p>
        </w:tc>
        <w:tc>
          <w:tcPr>
            <w:tcW w:w="1032"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1</w:t>
            </w:r>
          </w:p>
        </w:tc>
        <w:tc>
          <w:tcPr>
            <w:tcW w:w="1236"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eastAsia" w:ascii="宋体" w:hAnsi="宋体" w:cs="宋体"/>
                <w:color w:val="auto"/>
                <w:szCs w:val="21"/>
              </w:rPr>
            </w:pPr>
          </w:p>
        </w:tc>
        <w:tc>
          <w:tcPr>
            <w:tcW w:w="135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bCs/>
                <w:color w:val="auto"/>
                <w:szCs w:val="21"/>
              </w:rPr>
            </w:pPr>
          </w:p>
        </w:tc>
        <w:tc>
          <w:tcPr>
            <w:tcW w:w="2009" w:type="dxa"/>
            <w:tcBorders>
              <w:top w:val="single" w:color="auto" w:sz="4" w:space="0"/>
              <w:left w:val="nil"/>
              <w:bottom w:val="single" w:color="auto" w:sz="4" w:space="0"/>
              <w:right w:val="single" w:color="auto" w:sz="4" w:space="0"/>
            </w:tcBorders>
            <w:vAlign w:val="center"/>
          </w:tcPr>
          <w:p>
            <w:pPr>
              <w:keepNext w:val="0"/>
              <w:keepLines w:val="0"/>
              <w:numPr>
                <w:ilvl w:val="0"/>
                <w:numId w:val="0"/>
              </w:numPr>
              <w:suppressLineNumbers w:val="0"/>
              <w:spacing w:before="0" w:beforeAutospacing="0" w:after="0" w:afterAutospacing="0" w:line="400" w:lineRule="exact"/>
              <w:ind w:left="0" w:leftChars="0" w:right="0"/>
              <w:jc w:val="center"/>
              <w:rPr>
                <w:rFonts w:hint="eastAsia" w:ascii="宋体" w:hAnsi="宋体" w:eastAsia="宋体" w:cs="宋体"/>
                <w:color w:val="auto"/>
                <w:szCs w:val="21"/>
                <w:lang w:eastAsia="zh-CN"/>
              </w:rPr>
            </w:pPr>
            <w:r>
              <w:rPr>
                <w:rFonts w:hint="eastAsia" w:ascii="宋体" w:hAnsi="宋体" w:cs="宋体"/>
                <w:color w:val="auto"/>
                <w:szCs w:val="21"/>
                <w:lang w:eastAsia="zh-CN"/>
              </w:rPr>
              <w:t>合</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计</w:t>
            </w:r>
          </w:p>
        </w:tc>
        <w:tc>
          <w:tcPr>
            <w:tcW w:w="192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left"/>
              <w:rPr>
                <w:rFonts w:hint="eastAsia" w:ascii="宋体" w:hAnsi="宋体" w:cs="宋体"/>
                <w:bCs/>
                <w:color w:val="auto"/>
                <w:szCs w:val="21"/>
              </w:rPr>
            </w:pPr>
          </w:p>
        </w:tc>
        <w:tc>
          <w:tcPr>
            <w:tcW w:w="1032"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rPr>
            </w:pPr>
          </w:p>
        </w:tc>
        <w:tc>
          <w:tcPr>
            <w:tcW w:w="1032"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rPr>
            </w:pPr>
          </w:p>
        </w:tc>
        <w:tc>
          <w:tcPr>
            <w:tcW w:w="1236"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rPr>
            </w:pPr>
          </w:p>
        </w:tc>
        <w:tc>
          <w:tcPr>
            <w:tcW w:w="135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bCs/>
                <w:color w:val="auto"/>
                <w:szCs w:val="21"/>
              </w:rPr>
            </w:pPr>
          </w:p>
        </w:tc>
        <w:tc>
          <w:tcPr>
            <w:tcW w:w="2009"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lang w:eastAsia="zh-CN"/>
              </w:rPr>
            </w:pPr>
            <w:r>
              <w:rPr>
                <w:rFonts w:hint="eastAsia" w:ascii="宋体" w:hAnsi="宋体" w:cs="宋体"/>
                <w:color w:val="auto"/>
                <w:szCs w:val="21"/>
                <w:lang w:eastAsia="zh-CN"/>
              </w:rPr>
              <w:t>大</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写</w:t>
            </w:r>
          </w:p>
        </w:tc>
        <w:tc>
          <w:tcPr>
            <w:tcW w:w="6570" w:type="dxa"/>
            <w:gridSpan w:val="5"/>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bCs/>
                <w:color w:val="auto"/>
                <w:szCs w:val="21"/>
              </w:rPr>
            </w:pPr>
          </w:p>
        </w:tc>
        <w:tc>
          <w:tcPr>
            <w:tcW w:w="2009"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cs="宋体"/>
                <w:color w:val="auto"/>
                <w:szCs w:val="21"/>
                <w:lang w:val="en-US" w:eastAsia="zh-CN"/>
              </w:rPr>
            </w:pPr>
            <w:r>
              <w:rPr>
                <w:rFonts w:hint="eastAsia" w:ascii="宋体" w:hAnsi="宋体" w:cs="宋体"/>
                <w:color w:val="auto"/>
                <w:szCs w:val="21"/>
                <w:lang w:val="en-US" w:eastAsia="zh-CN"/>
              </w:rPr>
              <w:t>小  写</w:t>
            </w:r>
          </w:p>
        </w:tc>
        <w:tc>
          <w:tcPr>
            <w:tcW w:w="6570" w:type="dxa"/>
            <w:gridSpan w:val="5"/>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rPr>
            </w:pPr>
          </w:p>
        </w:tc>
      </w:tr>
    </w:tbl>
    <w:p>
      <w:pPr>
        <w:keepNext w:val="0"/>
        <w:keepLines w:val="0"/>
        <w:widowControl w:val="0"/>
        <w:suppressLineNumbers w:val="0"/>
        <w:spacing w:before="0" w:beforeAutospacing="0" w:after="0" w:afterAutospacing="0" w:line="480" w:lineRule="auto"/>
        <w:ind w:left="0" w:right="0"/>
        <w:jc w:val="both"/>
        <w:rPr>
          <w:rFonts w:hint="eastAsia" w:ascii="宋体" w:hAnsi="宋体" w:eastAsia="宋体" w:cs="Times New Roman"/>
          <w:b/>
          <w:bCs w:val="0"/>
          <w:sz w:val="28"/>
          <w:szCs w:val="28"/>
          <w:lang w:val="en-US"/>
        </w:rPr>
      </w:pPr>
      <w:r>
        <w:rPr>
          <w:rFonts w:hint="eastAsia" w:ascii="宋体" w:hAnsi="宋体" w:eastAsia="宋体" w:cs="Times New Roman"/>
          <w:b/>
          <w:bCs/>
          <w:kern w:val="2"/>
          <w:sz w:val="24"/>
          <w:szCs w:val="24"/>
          <w:lang w:val="en-US" w:eastAsia="zh-CN" w:bidi="ar"/>
        </w:rPr>
        <w:t>说明：</w:t>
      </w:r>
      <w:r>
        <w:rPr>
          <w:rFonts w:hint="eastAsia" w:ascii="宋体" w:hAnsi="宋体" w:eastAsia="宋体" w:cs="Times New Roman"/>
          <w:bCs/>
          <w:kern w:val="2"/>
          <w:sz w:val="24"/>
          <w:szCs w:val="24"/>
          <w:lang w:val="en-US" w:eastAsia="zh-CN" w:bidi="ar"/>
        </w:rPr>
        <w:t>本</w:t>
      </w:r>
      <w:r>
        <w:rPr>
          <w:rFonts w:hint="eastAsia" w:ascii="宋体" w:hAnsi="宋体" w:eastAsia="宋体" w:cs="Times New Roman"/>
          <w:kern w:val="0"/>
          <w:sz w:val="24"/>
          <w:szCs w:val="24"/>
          <w:shd w:val="clear" w:fill="FFFFFF"/>
          <w:lang w:val="en-US" w:eastAsia="zh-CN" w:bidi="ar"/>
        </w:rPr>
        <w:t>投标报价为所投</w:t>
      </w:r>
      <w:r>
        <w:rPr>
          <w:rFonts w:hint="eastAsia" w:ascii="宋体" w:hAnsi="宋体" w:cs="Times New Roman"/>
          <w:kern w:val="0"/>
          <w:sz w:val="24"/>
          <w:szCs w:val="24"/>
          <w:shd w:val="clear" w:fill="FFFFFF"/>
          <w:lang w:val="en-US" w:eastAsia="zh-CN" w:bidi="ar"/>
        </w:rPr>
        <w:t>所有</w:t>
      </w:r>
      <w:r>
        <w:rPr>
          <w:rFonts w:hint="eastAsia" w:ascii="宋体" w:hAnsi="宋体" w:eastAsia="宋体" w:cs="Times New Roman"/>
          <w:kern w:val="0"/>
          <w:sz w:val="24"/>
          <w:szCs w:val="24"/>
          <w:shd w:val="clear" w:fill="FFFFFF"/>
          <w:lang w:val="en-US" w:eastAsia="zh-CN" w:bidi="ar"/>
        </w:rPr>
        <w:t>服务项目的最终完全报价（包括人力等成本，以及利税和应承担的风险等一切费用）。</w:t>
      </w:r>
    </w:p>
    <w:p>
      <w:pPr>
        <w:keepNext w:val="0"/>
        <w:keepLines w:val="0"/>
        <w:widowControl w:val="0"/>
        <w:suppressLineNumbers w:val="0"/>
        <w:spacing w:before="0" w:beforeAutospacing="0" w:after="0" w:afterAutospacing="0" w:line="480" w:lineRule="auto"/>
        <w:ind w:left="0" w:right="0" w:firstLine="460" w:firstLineChars="192"/>
        <w:jc w:val="both"/>
        <w:rPr>
          <w:rFonts w:hint="eastAsia" w:ascii="宋体" w:hAnsi="宋体" w:eastAsia="宋体" w:cs="Times New Roman"/>
          <w:kern w:val="0"/>
          <w:sz w:val="24"/>
          <w:szCs w:val="24"/>
          <w:lang w:val="en-US"/>
        </w:rPr>
      </w:pPr>
      <w:r>
        <w:rPr>
          <w:rFonts w:hint="eastAsia" w:ascii="宋体" w:hAnsi="宋体" w:eastAsia="宋体" w:cs="宋体"/>
          <w:kern w:val="0"/>
          <w:sz w:val="24"/>
          <w:szCs w:val="24"/>
          <w:lang w:val="en-US" w:eastAsia="zh-CN" w:bidi="ar"/>
        </w:rPr>
        <w:t>投标单位名称：</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（公章）</w:t>
      </w:r>
    </w:p>
    <w:p>
      <w:pPr>
        <w:keepNext w:val="0"/>
        <w:keepLines w:val="0"/>
        <w:widowControl w:val="0"/>
        <w:suppressLineNumbers w:val="0"/>
        <w:spacing w:before="0" w:beforeAutospacing="0" w:after="0" w:afterAutospacing="0" w:line="480" w:lineRule="auto"/>
        <w:ind w:left="0" w:right="0" w:firstLine="460" w:firstLineChars="192"/>
        <w:jc w:val="both"/>
        <w:rPr>
          <w:rFonts w:hint="eastAsia" w:ascii="宋体" w:hAnsi="宋体" w:eastAsia="宋体" w:cs="Times New Roman"/>
          <w:kern w:val="0"/>
          <w:sz w:val="24"/>
          <w:szCs w:val="24"/>
          <w:lang w:val="en-US"/>
        </w:rPr>
      </w:pPr>
      <w:r>
        <w:rPr>
          <w:rFonts w:hint="eastAsia" w:ascii="宋体" w:hAnsi="宋体" w:eastAsia="宋体" w:cs="宋体"/>
          <w:kern w:val="0"/>
          <w:sz w:val="24"/>
          <w:szCs w:val="24"/>
          <w:lang w:val="en-US" w:eastAsia="zh-CN" w:bidi="ar"/>
        </w:rPr>
        <w:t>投标单位地址：</w:t>
      </w:r>
      <w:r>
        <w:rPr>
          <w:rFonts w:hint="eastAsia" w:ascii="宋体" w:hAnsi="宋体" w:eastAsia="宋体" w:cs="宋体"/>
          <w:kern w:val="0"/>
          <w:sz w:val="24"/>
          <w:szCs w:val="24"/>
          <w:u w:val="single"/>
          <w:lang w:val="en-US" w:eastAsia="zh-CN" w:bidi="ar"/>
        </w:rPr>
        <w:t xml:space="preserve">                               </w:t>
      </w:r>
    </w:p>
    <w:p>
      <w:pPr>
        <w:keepNext w:val="0"/>
        <w:keepLines w:val="0"/>
        <w:widowControl w:val="0"/>
        <w:suppressLineNumbers w:val="0"/>
        <w:spacing w:before="0" w:beforeAutospacing="0" w:after="0" w:afterAutospacing="0" w:line="480" w:lineRule="auto"/>
        <w:ind w:left="0" w:right="0" w:firstLine="460" w:firstLineChars="192"/>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法定代表人</w:t>
      </w:r>
      <w:r>
        <w:rPr>
          <w:rFonts w:hint="eastAsia" w:ascii="宋体" w:hAnsi="宋体" w:eastAsia="宋体" w:cs="宋体"/>
          <w:kern w:val="0"/>
          <w:sz w:val="24"/>
          <w:szCs w:val="24"/>
          <w:lang w:val="en-US" w:eastAsia="zh-CN" w:bidi="ar"/>
        </w:rPr>
        <w:t>签字或盖章：</w:t>
      </w:r>
      <w:r>
        <w:rPr>
          <w:rFonts w:hint="eastAsia" w:ascii="宋体" w:hAnsi="宋体" w:eastAsia="宋体" w:cs="Times New Roman"/>
          <w:kern w:val="0"/>
          <w:sz w:val="24"/>
          <w:szCs w:val="24"/>
          <w:u w:val="single"/>
          <w:lang w:val="en-US" w:eastAsia="zh-CN" w:bidi="ar"/>
        </w:rPr>
        <w:t xml:space="preserve">            </w:t>
      </w:r>
      <w:r>
        <w:rPr>
          <w:rFonts w:hint="eastAsia" w:ascii="宋体" w:hAnsi="宋体" w:eastAsia="宋体" w:cs="宋体"/>
          <w:kern w:val="2"/>
          <w:sz w:val="24"/>
          <w:szCs w:val="24"/>
          <w:lang w:val="en-US" w:eastAsia="zh-CN" w:bidi="ar"/>
        </w:rPr>
        <w:t xml:space="preserve"> </w:t>
      </w:r>
    </w:p>
    <w:p>
      <w:pPr>
        <w:keepNext w:val="0"/>
        <w:keepLines w:val="0"/>
        <w:widowControl/>
        <w:suppressLineNumbers w:val="0"/>
        <w:spacing w:before="0" w:beforeAutospacing="0" w:after="0" w:afterAutospacing="0" w:line="480" w:lineRule="auto"/>
        <w:ind w:left="0" w:right="0" w:firstLine="480" w:firstLineChars="200"/>
        <w:jc w:val="both"/>
        <w:rPr>
          <w:rFonts w:hint="eastAsia" w:ascii="宋体" w:hAnsi="Calibri" w:eastAsia="宋体" w:cs="Times New Roman"/>
          <w:kern w:val="0"/>
          <w:sz w:val="24"/>
          <w:szCs w:val="24"/>
          <w:lang w:val="en-US"/>
        </w:rPr>
      </w:pPr>
      <w:r>
        <w:rPr>
          <w:rFonts w:hint="eastAsia" w:ascii="宋体" w:hAnsi="宋体" w:eastAsia="宋体" w:cs="Times New Roman"/>
          <w:kern w:val="0"/>
          <w:sz w:val="24"/>
          <w:szCs w:val="24"/>
          <w:lang w:val="en-US" w:eastAsia="zh-CN" w:bidi="ar"/>
        </w:rPr>
        <w:t>代理人（被授权人）签字：</w:t>
      </w:r>
      <w:r>
        <w:rPr>
          <w:rFonts w:hint="eastAsia" w:ascii="宋体" w:hAnsi="Calibri" w:eastAsia="宋体" w:cs="Times New Roman"/>
          <w:kern w:val="0"/>
          <w:sz w:val="24"/>
          <w:szCs w:val="24"/>
          <w:u w:val="single"/>
          <w:lang w:val="en-US" w:eastAsia="zh-CN" w:bidi="ar"/>
        </w:rPr>
        <w:t xml:space="preserve">                          </w:t>
      </w:r>
    </w:p>
    <w:p>
      <w:pPr>
        <w:keepNext w:val="0"/>
        <w:keepLines w:val="0"/>
        <w:widowControl/>
        <w:suppressLineNumbers w:val="0"/>
        <w:spacing w:before="0" w:beforeAutospacing="0" w:after="0" w:afterAutospacing="0" w:line="480" w:lineRule="auto"/>
        <w:ind w:left="0" w:right="0" w:firstLine="480" w:firstLineChars="200"/>
        <w:jc w:val="both"/>
        <w:rPr>
          <w:rFonts w:hint="eastAsia" w:ascii="宋体" w:hAnsi="Calibri" w:eastAsia="宋体" w:cs="Times New Roman"/>
          <w:kern w:val="0"/>
          <w:sz w:val="24"/>
          <w:szCs w:val="24"/>
          <w:lang w:val="en-US"/>
        </w:rPr>
      </w:pPr>
      <w:r>
        <w:rPr>
          <w:rFonts w:hint="eastAsia" w:ascii="宋体" w:hAnsi="宋体" w:eastAsia="宋体" w:cs="Times New Roman"/>
          <w:kern w:val="0"/>
          <w:sz w:val="24"/>
          <w:szCs w:val="24"/>
          <w:lang w:val="en-US" w:eastAsia="zh-CN" w:bidi="ar"/>
        </w:rPr>
        <w:t>联系电话：</w:t>
      </w:r>
      <w:r>
        <w:rPr>
          <w:rFonts w:hint="eastAsia" w:ascii="宋体" w:hAnsi="Calibri" w:eastAsia="宋体" w:cs="Times New Roman"/>
          <w:kern w:val="0"/>
          <w:sz w:val="24"/>
          <w:szCs w:val="24"/>
          <w:u w:val="single"/>
          <w:lang w:val="en-US" w:eastAsia="zh-CN" w:bidi="ar"/>
        </w:rPr>
        <w:t xml:space="preserve">                                          </w:t>
      </w:r>
    </w:p>
    <w:p>
      <w:pPr>
        <w:keepNext w:val="0"/>
        <w:keepLines w:val="0"/>
        <w:widowControl/>
        <w:suppressLineNumbers w:val="0"/>
        <w:spacing w:before="0" w:beforeAutospacing="0" w:after="0" w:afterAutospacing="0" w:line="500" w:lineRule="exact"/>
        <w:ind w:left="0" w:right="0" w:firstLine="4200" w:firstLineChars="1750"/>
        <w:jc w:val="both"/>
        <w:rPr>
          <w:rFonts w:hint="eastAsia" w:ascii="宋体" w:hAnsi="宋体" w:eastAsia="宋体" w:cs="Times New Roman"/>
          <w:kern w:val="0"/>
          <w:sz w:val="24"/>
          <w:szCs w:val="24"/>
          <w:lang w:val="en-US"/>
        </w:rPr>
      </w:pPr>
      <w:r>
        <w:rPr>
          <w:rFonts w:hint="eastAsia" w:ascii="宋体" w:hAnsi="宋体" w:eastAsia="宋体" w:cs="Times New Roman"/>
          <w:kern w:val="0"/>
          <w:sz w:val="24"/>
          <w:szCs w:val="24"/>
          <w:lang w:val="en-US" w:eastAsia="zh-CN" w:bidi="ar"/>
        </w:rPr>
        <w:t xml:space="preserve"> </w:t>
      </w:r>
    </w:p>
    <w:p>
      <w:pPr>
        <w:keepNext w:val="0"/>
        <w:keepLines w:val="0"/>
        <w:widowControl/>
        <w:suppressLineNumbers w:val="0"/>
        <w:ind w:firstLine="480" w:firstLineChars="200"/>
        <w:jc w:val="left"/>
      </w:pPr>
      <w:r>
        <w:rPr>
          <w:rFonts w:hint="eastAsia" w:ascii="宋体" w:hAnsi="宋体" w:eastAsia="宋体" w:cs="Times New Roman"/>
          <w:kern w:val="2"/>
          <w:sz w:val="24"/>
          <w:szCs w:val="24"/>
          <w:lang w:val="en-US" w:eastAsia="zh-CN" w:bidi="ar"/>
        </w:rPr>
        <w:t>日期：</w:t>
      </w:r>
      <w:r>
        <w:rPr>
          <w:rFonts w:hint="eastAsia" w:ascii="宋体" w:hAnsi="Calibri" w:eastAsia="宋体" w:cs="Times New Roman"/>
          <w:kern w:val="2"/>
          <w:sz w:val="24"/>
          <w:szCs w:val="24"/>
          <w:u w:val="single"/>
          <w:lang w:val="en-US" w:eastAsia="zh-CN" w:bidi="ar"/>
        </w:rPr>
        <w:t xml:space="preserve">                            </w:t>
      </w:r>
    </w:p>
    <w:p>
      <w:pPr>
        <w:pStyle w:val="65"/>
        <w:spacing w:line="360" w:lineRule="auto"/>
        <w:ind w:right="980" w:firstLine="422"/>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                                         </w:t>
      </w:r>
    </w:p>
    <w:p>
      <w:pPr>
        <w:pStyle w:val="65"/>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 xml:space="preserve">                                  </w:t>
      </w:r>
    </w:p>
    <w:p>
      <w:pPr>
        <w:pStyle w:val="8"/>
        <w:ind w:left="0" w:leftChars="0" w:firstLine="0" w:firstLineChars="0"/>
        <w:rPr>
          <w:rFonts w:hint="eastAsia" w:ascii="宋体" w:hAnsi="宋体" w:eastAsia="宋体" w:cs="宋体"/>
          <w:color w:val="auto"/>
          <w:highlight w:val="none"/>
        </w:rPr>
      </w:pPr>
    </w:p>
    <w:p>
      <w:pPr>
        <w:pStyle w:val="8"/>
        <w:ind w:left="0" w:leftChars="0" w:firstLine="0" w:firstLineChars="0"/>
        <w:rPr>
          <w:rFonts w:hint="eastAsia" w:ascii="宋体" w:hAnsi="宋体" w:eastAsia="宋体" w:cs="宋体"/>
          <w:color w:val="auto"/>
          <w:highlight w:val="none"/>
        </w:rPr>
      </w:pPr>
    </w:p>
    <w:sectPr>
      <w:headerReference r:id="rId3" w:type="default"/>
      <w:footerReference r:id="rId4" w:type="default"/>
      <w:pgSz w:w="11906" w:h="16838"/>
      <w:pgMar w:top="1440" w:right="1486" w:bottom="1440" w:left="1800" w:header="851" w:footer="1020"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华文宋体">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rFonts w:ascii="Times New Roman" w:hAnsi="Times New Roman" w:eastAsia="宋体" w:cs="Times New Roman"/>
        <w:kern w:val="2"/>
        <w:sz w:val="18"/>
        <w:szCs w:val="18"/>
        <w:lang w:val="en-US" w:eastAsia="zh-CN" w:bidi="ar-SA"/>
      </w:rPr>
      <w:pict>
        <v:shape id="文本框1" o:spid="_x0000_s4097" o:spt="202" type="#_x0000_t202" style="position:absolute;left:0pt;margin-top:0pt;height:144pt;width:144pt;mso-position-horizontal:right;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tabs>
        <w:tab w:val="left" w:pos="6787"/>
      </w:tabs>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singleLevel"/>
    <w:tmpl w:val="00000008"/>
    <w:lvl w:ilvl="0" w:tentative="0">
      <w:start w:val="1"/>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WUyYmUzN2UxZGExZmZkZGI4ZmFmYmI3N2QyOTNhYTYifQ=="/>
  </w:docVars>
  <w:rsids>
    <w:rsidRoot w:val="00000000"/>
    <w:rsid w:val="000D0E68"/>
    <w:rsid w:val="000D3ECA"/>
    <w:rsid w:val="002962DE"/>
    <w:rsid w:val="00CD4F3F"/>
    <w:rsid w:val="00D37FE7"/>
    <w:rsid w:val="00EF5BE6"/>
    <w:rsid w:val="01105432"/>
    <w:rsid w:val="017B1932"/>
    <w:rsid w:val="018270A0"/>
    <w:rsid w:val="0182724F"/>
    <w:rsid w:val="01D80E37"/>
    <w:rsid w:val="02290D76"/>
    <w:rsid w:val="029F3664"/>
    <w:rsid w:val="03130246"/>
    <w:rsid w:val="03174F17"/>
    <w:rsid w:val="039872EF"/>
    <w:rsid w:val="03BD7CB0"/>
    <w:rsid w:val="03C909AC"/>
    <w:rsid w:val="04D1503F"/>
    <w:rsid w:val="054C6258"/>
    <w:rsid w:val="05777458"/>
    <w:rsid w:val="057D42A5"/>
    <w:rsid w:val="059A615A"/>
    <w:rsid w:val="059B54B2"/>
    <w:rsid w:val="05AF00BD"/>
    <w:rsid w:val="05CF42BE"/>
    <w:rsid w:val="05D50588"/>
    <w:rsid w:val="05E37075"/>
    <w:rsid w:val="06134C52"/>
    <w:rsid w:val="06220A7A"/>
    <w:rsid w:val="06487067"/>
    <w:rsid w:val="066E38F4"/>
    <w:rsid w:val="06C43D2C"/>
    <w:rsid w:val="07444334"/>
    <w:rsid w:val="0747561A"/>
    <w:rsid w:val="07B10AFF"/>
    <w:rsid w:val="07DE004D"/>
    <w:rsid w:val="07F63B97"/>
    <w:rsid w:val="082A44B8"/>
    <w:rsid w:val="08703D9B"/>
    <w:rsid w:val="08B12A16"/>
    <w:rsid w:val="08B80C4E"/>
    <w:rsid w:val="08C213B3"/>
    <w:rsid w:val="08EF1AEE"/>
    <w:rsid w:val="090E000F"/>
    <w:rsid w:val="0915013F"/>
    <w:rsid w:val="092313D4"/>
    <w:rsid w:val="093114FF"/>
    <w:rsid w:val="093532BD"/>
    <w:rsid w:val="093E0519"/>
    <w:rsid w:val="09457AC9"/>
    <w:rsid w:val="09483CCA"/>
    <w:rsid w:val="0A877AD9"/>
    <w:rsid w:val="0A9C5127"/>
    <w:rsid w:val="0A9F06E9"/>
    <w:rsid w:val="0ABE448E"/>
    <w:rsid w:val="0ACD4E82"/>
    <w:rsid w:val="0AE766F1"/>
    <w:rsid w:val="0BBD7DDF"/>
    <w:rsid w:val="0BF77857"/>
    <w:rsid w:val="0C4C476F"/>
    <w:rsid w:val="0C830EEC"/>
    <w:rsid w:val="0CBC44DA"/>
    <w:rsid w:val="0CCE3AF3"/>
    <w:rsid w:val="0D1A5610"/>
    <w:rsid w:val="0D3C4743"/>
    <w:rsid w:val="0DAB298A"/>
    <w:rsid w:val="0DD237D6"/>
    <w:rsid w:val="0F596ADE"/>
    <w:rsid w:val="100A5B24"/>
    <w:rsid w:val="10127812"/>
    <w:rsid w:val="101A4D8D"/>
    <w:rsid w:val="10BB0895"/>
    <w:rsid w:val="10D75FFB"/>
    <w:rsid w:val="11B61F01"/>
    <w:rsid w:val="11C03C79"/>
    <w:rsid w:val="11E34279"/>
    <w:rsid w:val="11F9154F"/>
    <w:rsid w:val="12230DDB"/>
    <w:rsid w:val="12547333"/>
    <w:rsid w:val="128E7EE0"/>
    <w:rsid w:val="132C71B3"/>
    <w:rsid w:val="13385499"/>
    <w:rsid w:val="133A2BB8"/>
    <w:rsid w:val="135D1E00"/>
    <w:rsid w:val="135F73BC"/>
    <w:rsid w:val="139C4D90"/>
    <w:rsid w:val="13D30598"/>
    <w:rsid w:val="14141F53"/>
    <w:rsid w:val="14E322C2"/>
    <w:rsid w:val="14FA353A"/>
    <w:rsid w:val="156046EE"/>
    <w:rsid w:val="158E0989"/>
    <w:rsid w:val="15C770EC"/>
    <w:rsid w:val="15E93FF4"/>
    <w:rsid w:val="15F51BE7"/>
    <w:rsid w:val="16C9027C"/>
    <w:rsid w:val="17165E31"/>
    <w:rsid w:val="17825AA6"/>
    <w:rsid w:val="180B453E"/>
    <w:rsid w:val="182B7348"/>
    <w:rsid w:val="185102B8"/>
    <w:rsid w:val="18766723"/>
    <w:rsid w:val="196F0650"/>
    <w:rsid w:val="19725F5D"/>
    <w:rsid w:val="19AE46C9"/>
    <w:rsid w:val="1A187447"/>
    <w:rsid w:val="1A5215CC"/>
    <w:rsid w:val="1ABA5E43"/>
    <w:rsid w:val="1B177A0A"/>
    <w:rsid w:val="1B1A0CC7"/>
    <w:rsid w:val="1B652EAE"/>
    <w:rsid w:val="1B701B6F"/>
    <w:rsid w:val="1B7E39C9"/>
    <w:rsid w:val="1BA355FE"/>
    <w:rsid w:val="1BB64D57"/>
    <w:rsid w:val="1BBA4F4F"/>
    <w:rsid w:val="1BC101AF"/>
    <w:rsid w:val="1C116CAC"/>
    <w:rsid w:val="1C442C22"/>
    <w:rsid w:val="1C781684"/>
    <w:rsid w:val="1D0D7904"/>
    <w:rsid w:val="1D145BCA"/>
    <w:rsid w:val="1D2321DF"/>
    <w:rsid w:val="1D7A17CD"/>
    <w:rsid w:val="1DD55603"/>
    <w:rsid w:val="1DE9005B"/>
    <w:rsid w:val="1E165A3D"/>
    <w:rsid w:val="1E4568AD"/>
    <w:rsid w:val="1E681A4B"/>
    <w:rsid w:val="1E875BF0"/>
    <w:rsid w:val="1F4C4092"/>
    <w:rsid w:val="1F6770C4"/>
    <w:rsid w:val="203F26F4"/>
    <w:rsid w:val="209E63F1"/>
    <w:rsid w:val="20AF0CCF"/>
    <w:rsid w:val="20B56B06"/>
    <w:rsid w:val="20BC2BDF"/>
    <w:rsid w:val="20BE0CEE"/>
    <w:rsid w:val="20F762AC"/>
    <w:rsid w:val="215874AB"/>
    <w:rsid w:val="219D2B55"/>
    <w:rsid w:val="21AE3027"/>
    <w:rsid w:val="21EB13F3"/>
    <w:rsid w:val="21F82AF6"/>
    <w:rsid w:val="22044BA5"/>
    <w:rsid w:val="221114B8"/>
    <w:rsid w:val="221139DC"/>
    <w:rsid w:val="22753BB7"/>
    <w:rsid w:val="229A5311"/>
    <w:rsid w:val="22FD6C5A"/>
    <w:rsid w:val="23276FE5"/>
    <w:rsid w:val="23360045"/>
    <w:rsid w:val="238A0C55"/>
    <w:rsid w:val="238E1FF4"/>
    <w:rsid w:val="23D701AB"/>
    <w:rsid w:val="23EC3B3C"/>
    <w:rsid w:val="241D2562"/>
    <w:rsid w:val="24A550D2"/>
    <w:rsid w:val="24A837DE"/>
    <w:rsid w:val="24BC306C"/>
    <w:rsid w:val="25006681"/>
    <w:rsid w:val="250D6CB9"/>
    <w:rsid w:val="251149CC"/>
    <w:rsid w:val="25437C0E"/>
    <w:rsid w:val="256F57A9"/>
    <w:rsid w:val="2579010A"/>
    <w:rsid w:val="259F233C"/>
    <w:rsid w:val="26140969"/>
    <w:rsid w:val="26263D91"/>
    <w:rsid w:val="26894F59"/>
    <w:rsid w:val="26FB7243"/>
    <w:rsid w:val="270D5775"/>
    <w:rsid w:val="27444E36"/>
    <w:rsid w:val="277039AB"/>
    <w:rsid w:val="2789185F"/>
    <w:rsid w:val="27F5707D"/>
    <w:rsid w:val="28320A70"/>
    <w:rsid w:val="289D1D8B"/>
    <w:rsid w:val="28BC71B2"/>
    <w:rsid w:val="28E73B4A"/>
    <w:rsid w:val="2908328A"/>
    <w:rsid w:val="29523D02"/>
    <w:rsid w:val="299C0609"/>
    <w:rsid w:val="2A160655"/>
    <w:rsid w:val="2A17797F"/>
    <w:rsid w:val="2A4535BE"/>
    <w:rsid w:val="2AB74B0B"/>
    <w:rsid w:val="2AB77255"/>
    <w:rsid w:val="2AB82110"/>
    <w:rsid w:val="2AE95D93"/>
    <w:rsid w:val="2B43704A"/>
    <w:rsid w:val="2BB17963"/>
    <w:rsid w:val="2BB950F6"/>
    <w:rsid w:val="2BE24E13"/>
    <w:rsid w:val="2BFD3F45"/>
    <w:rsid w:val="2C037365"/>
    <w:rsid w:val="2C2B388E"/>
    <w:rsid w:val="2C313612"/>
    <w:rsid w:val="2C4703F9"/>
    <w:rsid w:val="2C5C487D"/>
    <w:rsid w:val="2C715D59"/>
    <w:rsid w:val="2C723900"/>
    <w:rsid w:val="2C962F42"/>
    <w:rsid w:val="2CC6152E"/>
    <w:rsid w:val="2D2C7E42"/>
    <w:rsid w:val="2E4A62D1"/>
    <w:rsid w:val="2E8647F5"/>
    <w:rsid w:val="2EB10F43"/>
    <w:rsid w:val="2ECB14B6"/>
    <w:rsid w:val="2ECB1C4D"/>
    <w:rsid w:val="2EE1276D"/>
    <w:rsid w:val="2EFC0030"/>
    <w:rsid w:val="2F196E2D"/>
    <w:rsid w:val="2F6E6875"/>
    <w:rsid w:val="2FB14715"/>
    <w:rsid w:val="2FC63CB9"/>
    <w:rsid w:val="309B287A"/>
    <w:rsid w:val="310D393A"/>
    <w:rsid w:val="31393834"/>
    <w:rsid w:val="31435353"/>
    <w:rsid w:val="319B773A"/>
    <w:rsid w:val="31FC04F6"/>
    <w:rsid w:val="33121FC4"/>
    <w:rsid w:val="334F72FE"/>
    <w:rsid w:val="33EF4FC3"/>
    <w:rsid w:val="342F685A"/>
    <w:rsid w:val="34624C5B"/>
    <w:rsid w:val="34A319E1"/>
    <w:rsid w:val="34D73DB3"/>
    <w:rsid w:val="351B727B"/>
    <w:rsid w:val="35222261"/>
    <w:rsid w:val="352807CA"/>
    <w:rsid w:val="35302EFB"/>
    <w:rsid w:val="35327FE8"/>
    <w:rsid w:val="355C7C2E"/>
    <w:rsid w:val="35892CAB"/>
    <w:rsid w:val="359F30D8"/>
    <w:rsid w:val="36494B59"/>
    <w:rsid w:val="36A97599"/>
    <w:rsid w:val="36D30F43"/>
    <w:rsid w:val="36FC3CD8"/>
    <w:rsid w:val="37340EE8"/>
    <w:rsid w:val="37382697"/>
    <w:rsid w:val="37545660"/>
    <w:rsid w:val="375A48CF"/>
    <w:rsid w:val="376125AF"/>
    <w:rsid w:val="37771A8B"/>
    <w:rsid w:val="37AE52BE"/>
    <w:rsid w:val="37D32920"/>
    <w:rsid w:val="380E0354"/>
    <w:rsid w:val="383643AD"/>
    <w:rsid w:val="389E1544"/>
    <w:rsid w:val="38C2521B"/>
    <w:rsid w:val="38F17FAE"/>
    <w:rsid w:val="38F2043F"/>
    <w:rsid w:val="39266965"/>
    <w:rsid w:val="39B24A04"/>
    <w:rsid w:val="39C52315"/>
    <w:rsid w:val="3A035267"/>
    <w:rsid w:val="3AA25E43"/>
    <w:rsid w:val="3AA751F9"/>
    <w:rsid w:val="3AEA5269"/>
    <w:rsid w:val="3B6C24CE"/>
    <w:rsid w:val="3C0F135C"/>
    <w:rsid w:val="3C173406"/>
    <w:rsid w:val="3C7C2A7F"/>
    <w:rsid w:val="3C9E2C62"/>
    <w:rsid w:val="3CD14C71"/>
    <w:rsid w:val="3CD2081C"/>
    <w:rsid w:val="3CDF6319"/>
    <w:rsid w:val="3D194422"/>
    <w:rsid w:val="3E3E2D8E"/>
    <w:rsid w:val="3E5E2471"/>
    <w:rsid w:val="3E8B7E2A"/>
    <w:rsid w:val="3EE41040"/>
    <w:rsid w:val="3FEA724C"/>
    <w:rsid w:val="402C6480"/>
    <w:rsid w:val="40312D9F"/>
    <w:rsid w:val="403352BE"/>
    <w:rsid w:val="406D5014"/>
    <w:rsid w:val="40E3423D"/>
    <w:rsid w:val="41371F0C"/>
    <w:rsid w:val="415450C5"/>
    <w:rsid w:val="41827A2F"/>
    <w:rsid w:val="41DC0129"/>
    <w:rsid w:val="421D0361"/>
    <w:rsid w:val="42452730"/>
    <w:rsid w:val="424D7C5D"/>
    <w:rsid w:val="42B43E36"/>
    <w:rsid w:val="42EE06E2"/>
    <w:rsid w:val="435D2BA3"/>
    <w:rsid w:val="441F37FB"/>
    <w:rsid w:val="454B38DA"/>
    <w:rsid w:val="45612EA3"/>
    <w:rsid w:val="46800F38"/>
    <w:rsid w:val="46F54634"/>
    <w:rsid w:val="476861AE"/>
    <w:rsid w:val="47C80EE6"/>
    <w:rsid w:val="47D943D9"/>
    <w:rsid w:val="481D57C4"/>
    <w:rsid w:val="486B689B"/>
    <w:rsid w:val="48786EFA"/>
    <w:rsid w:val="48DD078A"/>
    <w:rsid w:val="49207922"/>
    <w:rsid w:val="49471FE3"/>
    <w:rsid w:val="49A66EEA"/>
    <w:rsid w:val="49AE3335"/>
    <w:rsid w:val="4A1778ED"/>
    <w:rsid w:val="4A4923C0"/>
    <w:rsid w:val="4A874D66"/>
    <w:rsid w:val="4A9F4E53"/>
    <w:rsid w:val="4B370F2D"/>
    <w:rsid w:val="4B3A5790"/>
    <w:rsid w:val="4B4B35F8"/>
    <w:rsid w:val="4B6D23A9"/>
    <w:rsid w:val="4B865E29"/>
    <w:rsid w:val="4BED71F5"/>
    <w:rsid w:val="4C220371"/>
    <w:rsid w:val="4C6A21F4"/>
    <w:rsid w:val="4C8E7538"/>
    <w:rsid w:val="4C924035"/>
    <w:rsid w:val="4C9604E9"/>
    <w:rsid w:val="4DBE2015"/>
    <w:rsid w:val="4E815011"/>
    <w:rsid w:val="4E8D7392"/>
    <w:rsid w:val="4F070C0E"/>
    <w:rsid w:val="4F270601"/>
    <w:rsid w:val="4F361AF8"/>
    <w:rsid w:val="4FAE3089"/>
    <w:rsid w:val="4FD44E43"/>
    <w:rsid w:val="4FD72CAB"/>
    <w:rsid w:val="4FDC0990"/>
    <w:rsid w:val="4FE57560"/>
    <w:rsid w:val="50084E1B"/>
    <w:rsid w:val="50243E9F"/>
    <w:rsid w:val="503A3196"/>
    <w:rsid w:val="5075395B"/>
    <w:rsid w:val="509715E2"/>
    <w:rsid w:val="50CB7B9A"/>
    <w:rsid w:val="50DE3AFC"/>
    <w:rsid w:val="50EA4A83"/>
    <w:rsid w:val="50EE7E05"/>
    <w:rsid w:val="50FB03C8"/>
    <w:rsid w:val="51386024"/>
    <w:rsid w:val="51705453"/>
    <w:rsid w:val="51971ADB"/>
    <w:rsid w:val="519E74F3"/>
    <w:rsid w:val="519E7EA4"/>
    <w:rsid w:val="529630B0"/>
    <w:rsid w:val="529F3C27"/>
    <w:rsid w:val="52D3121A"/>
    <w:rsid w:val="52F932E4"/>
    <w:rsid w:val="5407761D"/>
    <w:rsid w:val="541E72D5"/>
    <w:rsid w:val="545E0E1C"/>
    <w:rsid w:val="547B1876"/>
    <w:rsid w:val="54A11868"/>
    <w:rsid w:val="54C20DF8"/>
    <w:rsid w:val="55B917CF"/>
    <w:rsid w:val="562A5359"/>
    <w:rsid w:val="565E12DA"/>
    <w:rsid w:val="56954443"/>
    <w:rsid w:val="5697543A"/>
    <w:rsid w:val="56BF35BF"/>
    <w:rsid w:val="56EF1417"/>
    <w:rsid w:val="5771016B"/>
    <w:rsid w:val="57994F9D"/>
    <w:rsid w:val="579E2FDA"/>
    <w:rsid w:val="57A428B0"/>
    <w:rsid w:val="57D5358F"/>
    <w:rsid w:val="580930CA"/>
    <w:rsid w:val="58547BEA"/>
    <w:rsid w:val="58754490"/>
    <w:rsid w:val="58970BAB"/>
    <w:rsid w:val="592C3D20"/>
    <w:rsid w:val="594E4C6D"/>
    <w:rsid w:val="59B4156E"/>
    <w:rsid w:val="59B536CD"/>
    <w:rsid w:val="5A25642F"/>
    <w:rsid w:val="5A5072B2"/>
    <w:rsid w:val="5AA4406B"/>
    <w:rsid w:val="5AD25CA7"/>
    <w:rsid w:val="5B794BD0"/>
    <w:rsid w:val="5B7C1E19"/>
    <w:rsid w:val="5B8337A4"/>
    <w:rsid w:val="5BFC17BE"/>
    <w:rsid w:val="5C313EC2"/>
    <w:rsid w:val="5C4F7E8C"/>
    <w:rsid w:val="5C574D3B"/>
    <w:rsid w:val="5C7619A8"/>
    <w:rsid w:val="5C874D75"/>
    <w:rsid w:val="5C9C7C03"/>
    <w:rsid w:val="5D223B55"/>
    <w:rsid w:val="5D537328"/>
    <w:rsid w:val="5D7404AE"/>
    <w:rsid w:val="5DBE77B0"/>
    <w:rsid w:val="5E3744C6"/>
    <w:rsid w:val="5E580D8D"/>
    <w:rsid w:val="5EDE0208"/>
    <w:rsid w:val="5EF23D4F"/>
    <w:rsid w:val="5FA31395"/>
    <w:rsid w:val="5FB04905"/>
    <w:rsid w:val="5FB866B0"/>
    <w:rsid w:val="5FC65DA7"/>
    <w:rsid w:val="5FE8723C"/>
    <w:rsid w:val="60091133"/>
    <w:rsid w:val="600D03F0"/>
    <w:rsid w:val="60655EC0"/>
    <w:rsid w:val="60A03768"/>
    <w:rsid w:val="60C314B1"/>
    <w:rsid w:val="6126437C"/>
    <w:rsid w:val="618D7B4D"/>
    <w:rsid w:val="6192762A"/>
    <w:rsid w:val="61992F91"/>
    <w:rsid w:val="619E20EE"/>
    <w:rsid w:val="61CD2686"/>
    <w:rsid w:val="61EB14FE"/>
    <w:rsid w:val="628545FB"/>
    <w:rsid w:val="62C27D35"/>
    <w:rsid w:val="632B1461"/>
    <w:rsid w:val="63843ACD"/>
    <w:rsid w:val="64715D2A"/>
    <w:rsid w:val="64BE2C4F"/>
    <w:rsid w:val="64EE3F69"/>
    <w:rsid w:val="65471687"/>
    <w:rsid w:val="656B6FF7"/>
    <w:rsid w:val="65DB4F21"/>
    <w:rsid w:val="668661DC"/>
    <w:rsid w:val="66981437"/>
    <w:rsid w:val="66B268E2"/>
    <w:rsid w:val="66CB7D87"/>
    <w:rsid w:val="67363B39"/>
    <w:rsid w:val="676670F6"/>
    <w:rsid w:val="67AA0577"/>
    <w:rsid w:val="67E01549"/>
    <w:rsid w:val="67E5321C"/>
    <w:rsid w:val="683D3AFF"/>
    <w:rsid w:val="687162A0"/>
    <w:rsid w:val="68FC2FB9"/>
    <w:rsid w:val="69655F45"/>
    <w:rsid w:val="69C75477"/>
    <w:rsid w:val="69D848E8"/>
    <w:rsid w:val="69DD25DA"/>
    <w:rsid w:val="6A2323F0"/>
    <w:rsid w:val="6A804F46"/>
    <w:rsid w:val="6A833C82"/>
    <w:rsid w:val="6A8423B0"/>
    <w:rsid w:val="6AB9180B"/>
    <w:rsid w:val="6AF75767"/>
    <w:rsid w:val="6B6F2F53"/>
    <w:rsid w:val="6BA44F84"/>
    <w:rsid w:val="6C9F5541"/>
    <w:rsid w:val="6CFD5687"/>
    <w:rsid w:val="6D3323F8"/>
    <w:rsid w:val="6D6E7525"/>
    <w:rsid w:val="6D9233AD"/>
    <w:rsid w:val="6DB54E76"/>
    <w:rsid w:val="6DBC6435"/>
    <w:rsid w:val="6E6C74B5"/>
    <w:rsid w:val="6EB610AA"/>
    <w:rsid w:val="6EEF364F"/>
    <w:rsid w:val="6EF338EB"/>
    <w:rsid w:val="6F3D2C36"/>
    <w:rsid w:val="6F4D7E92"/>
    <w:rsid w:val="6F696671"/>
    <w:rsid w:val="6FAD1456"/>
    <w:rsid w:val="6FCD70C5"/>
    <w:rsid w:val="701D2BC7"/>
    <w:rsid w:val="70341464"/>
    <w:rsid w:val="703F5E1B"/>
    <w:rsid w:val="70EA7057"/>
    <w:rsid w:val="710A20C9"/>
    <w:rsid w:val="710A78F3"/>
    <w:rsid w:val="715929B6"/>
    <w:rsid w:val="715C25A0"/>
    <w:rsid w:val="7202234E"/>
    <w:rsid w:val="72535DB1"/>
    <w:rsid w:val="72E32296"/>
    <w:rsid w:val="72E67669"/>
    <w:rsid w:val="733A4DBE"/>
    <w:rsid w:val="73522574"/>
    <w:rsid w:val="73576BE0"/>
    <w:rsid w:val="73915D2A"/>
    <w:rsid w:val="739627A6"/>
    <w:rsid w:val="739A310C"/>
    <w:rsid w:val="73D335C9"/>
    <w:rsid w:val="740D3909"/>
    <w:rsid w:val="744628B9"/>
    <w:rsid w:val="744850B2"/>
    <w:rsid w:val="744C5A41"/>
    <w:rsid w:val="74803CC6"/>
    <w:rsid w:val="74895C71"/>
    <w:rsid w:val="74B30C01"/>
    <w:rsid w:val="74E61709"/>
    <w:rsid w:val="750424AE"/>
    <w:rsid w:val="75496B77"/>
    <w:rsid w:val="754D2AB0"/>
    <w:rsid w:val="75A24DB9"/>
    <w:rsid w:val="75F54214"/>
    <w:rsid w:val="76180166"/>
    <w:rsid w:val="76460717"/>
    <w:rsid w:val="76561A21"/>
    <w:rsid w:val="766D7950"/>
    <w:rsid w:val="76C553CB"/>
    <w:rsid w:val="76D450A7"/>
    <w:rsid w:val="76D75AD0"/>
    <w:rsid w:val="77230C9E"/>
    <w:rsid w:val="776C4B68"/>
    <w:rsid w:val="776E3005"/>
    <w:rsid w:val="77A3168C"/>
    <w:rsid w:val="77C953B9"/>
    <w:rsid w:val="77CC6034"/>
    <w:rsid w:val="77DB65AE"/>
    <w:rsid w:val="781756F6"/>
    <w:rsid w:val="788155F4"/>
    <w:rsid w:val="78E45F2A"/>
    <w:rsid w:val="78EC391D"/>
    <w:rsid w:val="792A655C"/>
    <w:rsid w:val="7947257A"/>
    <w:rsid w:val="794B29F4"/>
    <w:rsid w:val="79732CC5"/>
    <w:rsid w:val="79C90C8D"/>
    <w:rsid w:val="79F938C2"/>
    <w:rsid w:val="7A743F1B"/>
    <w:rsid w:val="7A811244"/>
    <w:rsid w:val="7AAB7B75"/>
    <w:rsid w:val="7AD2360C"/>
    <w:rsid w:val="7ADB591B"/>
    <w:rsid w:val="7AFC3C6A"/>
    <w:rsid w:val="7B8B7233"/>
    <w:rsid w:val="7C3053FA"/>
    <w:rsid w:val="7C627E14"/>
    <w:rsid w:val="7C78466B"/>
    <w:rsid w:val="7C80256C"/>
    <w:rsid w:val="7C9E051A"/>
    <w:rsid w:val="7CA53C38"/>
    <w:rsid w:val="7CF40C2E"/>
    <w:rsid w:val="7D275A21"/>
    <w:rsid w:val="7D7962AC"/>
    <w:rsid w:val="7D9022DC"/>
    <w:rsid w:val="7D9233D9"/>
    <w:rsid w:val="7D9B2770"/>
    <w:rsid w:val="7DB01419"/>
    <w:rsid w:val="7DC07FBE"/>
    <w:rsid w:val="7DFA4227"/>
    <w:rsid w:val="7EA153D7"/>
    <w:rsid w:val="7EAB73A9"/>
    <w:rsid w:val="7F154FB3"/>
    <w:rsid w:val="7F234A71"/>
    <w:rsid w:val="7F677BD3"/>
    <w:rsid w:val="7F6F4C24"/>
    <w:rsid w:val="7FC72C4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link w:val="79"/>
    <w:qFormat/>
    <w:uiPriority w:val="0"/>
    <w:pPr>
      <w:keepNext/>
      <w:keepLines/>
      <w:spacing w:before="260" w:after="260" w:line="416" w:lineRule="auto"/>
      <w:outlineLvl w:val="1"/>
    </w:pPr>
    <w:rPr>
      <w:rFonts w:ascii="Arial" w:hAnsi="Arial" w:eastAsia="黑体" w:cs="Times New Roman"/>
      <w:b/>
      <w:bCs/>
      <w:sz w:val="32"/>
      <w:szCs w:val="32"/>
    </w:rPr>
  </w:style>
  <w:style w:type="paragraph" w:styleId="5">
    <w:name w:val="heading 3"/>
    <w:basedOn w:val="1"/>
    <w:next w:val="1"/>
    <w:link w:val="80"/>
    <w:qFormat/>
    <w:uiPriority w:val="0"/>
    <w:pPr>
      <w:keepNext/>
      <w:keepLines/>
      <w:spacing w:before="260" w:after="260" w:line="413" w:lineRule="auto"/>
      <w:outlineLvl w:val="2"/>
    </w:pPr>
    <w:rPr>
      <w:rFonts w:ascii="Times New Roman" w:hAnsi="Times New Roman" w:eastAsia="宋体" w:cs="Times New Roman"/>
      <w:b/>
      <w:bCs/>
      <w:sz w:val="32"/>
      <w:szCs w:val="32"/>
    </w:rPr>
  </w:style>
  <w:style w:type="paragraph" w:styleId="6">
    <w:name w:val="heading 5"/>
    <w:basedOn w:val="1"/>
    <w:next w:val="1"/>
    <w:link w:val="81"/>
    <w:qFormat/>
    <w:uiPriority w:val="0"/>
    <w:pPr>
      <w:keepNext/>
      <w:keepLines/>
      <w:spacing w:before="280" w:after="290" w:line="376" w:lineRule="auto"/>
      <w:outlineLvl w:val="4"/>
    </w:pPr>
    <w:rPr>
      <w:rFonts w:ascii="Times New Roman" w:hAnsi="Times New Roman" w:eastAsia="宋体" w:cs="Times New Roman"/>
      <w:b/>
      <w:bCs/>
      <w:sz w:val="28"/>
      <w:szCs w:val="28"/>
    </w:rPr>
  </w:style>
  <w:style w:type="character" w:default="1" w:styleId="22">
    <w:name w:val="Default Paragraph Font"/>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85"/>
    <w:qFormat/>
    <w:uiPriority w:val="0"/>
    <w:pPr>
      <w:spacing w:after="120"/>
    </w:pPr>
    <w:rPr>
      <w:rFonts w:ascii="Calibri" w:hAnsi="Calibri" w:eastAsia="宋体" w:cs="Times New Roman"/>
      <w:sz w:val="22"/>
      <w:szCs w:val="24"/>
    </w:rPr>
  </w:style>
  <w:style w:type="paragraph" w:styleId="7">
    <w:name w:val="Normal Indent"/>
    <w:basedOn w:val="1"/>
    <w:next w:val="8"/>
    <w:qFormat/>
    <w:uiPriority w:val="0"/>
    <w:pPr>
      <w:ind w:firstLine="420"/>
    </w:pPr>
    <w:rPr>
      <w:szCs w:val="20"/>
    </w:rPr>
  </w:style>
  <w:style w:type="paragraph" w:styleId="8">
    <w:name w:val="Body Text First Indent 2"/>
    <w:basedOn w:val="9"/>
    <w:qFormat/>
    <w:uiPriority w:val="0"/>
    <w:pPr>
      <w:ind w:left="420" w:firstLine="420" w:firstLineChars="200"/>
    </w:pPr>
  </w:style>
  <w:style w:type="paragraph" w:styleId="9">
    <w:name w:val="Body Text Indent"/>
    <w:basedOn w:val="1"/>
    <w:next w:val="10"/>
    <w:qFormat/>
    <w:uiPriority w:val="0"/>
    <w:pPr>
      <w:ind w:firstLine="630"/>
    </w:pPr>
    <w:rPr>
      <w:sz w:val="32"/>
      <w:szCs w:val="20"/>
    </w:rPr>
  </w:style>
  <w:style w:type="paragraph" w:styleId="10">
    <w:name w:val="envelope return"/>
    <w:basedOn w:val="1"/>
    <w:qFormat/>
    <w:uiPriority w:val="0"/>
    <w:pPr>
      <w:snapToGrid w:val="0"/>
    </w:pPr>
    <w:rPr>
      <w:rFonts w:ascii="Arial" w:hAnsi="Arial"/>
    </w:rPr>
  </w:style>
  <w:style w:type="paragraph" w:styleId="11">
    <w:name w:val="annotation text"/>
    <w:basedOn w:val="1"/>
    <w:link w:val="84"/>
    <w:qFormat/>
    <w:uiPriority w:val="0"/>
    <w:pPr>
      <w:jc w:val="left"/>
    </w:pPr>
    <w:rPr>
      <w:rFonts w:eastAsia="宋体"/>
      <w:szCs w:val="24"/>
    </w:rPr>
  </w:style>
  <w:style w:type="paragraph" w:styleId="12">
    <w:name w:val="Plain Text"/>
    <w:basedOn w:val="1"/>
    <w:qFormat/>
    <w:uiPriority w:val="0"/>
    <w:pPr>
      <w:ind w:firstLine="480"/>
    </w:pPr>
  </w:style>
  <w:style w:type="paragraph" w:styleId="13">
    <w:name w:val="footer"/>
    <w:basedOn w:val="1"/>
    <w:link w:val="90"/>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4">
    <w:name w:val="header"/>
    <w:basedOn w:val="1"/>
    <w:link w:val="92"/>
    <w:qFormat/>
    <w:uiPriority w:val="0"/>
    <w:pPr>
      <w:pBdr>
        <w:bottom w:val="single" w:color="auto" w:sz="12" w:space="1"/>
      </w:pBdr>
      <w:tabs>
        <w:tab w:val="center" w:pos="4153"/>
        <w:tab w:val="right" w:pos="8306"/>
      </w:tabs>
      <w:snapToGrid w:val="0"/>
      <w:jc w:val="center"/>
    </w:pPr>
    <w:rPr>
      <w:rFonts w:ascii="Times New Roman" w:hAnsi="Times New Roman" w:eastAsia="宋体" w:cs="Times New Roman"/>
      <w:sz w:val="18"/>
      <w:szCs w:val="18"/>
    </w:rPr>
  </w:style>
  <w:style w:type="paragraph" w:styleId="15">
    <w:name w:val="toc 1"/>
    <w:basedOn w:val="1"/>
    <w:next w:val="1"/>
    <w:qFormat/>
    <w:uiPriority w:val="0"/>
    <w:pPr>
      <w:tabs>
        <w:tab w:val="right" w:leader="dot" w:pos="9345"/>
      </w:tabs>
      <w:spacing w:before="120" w:after="120" w:line="360" w:lineRule="auto"/>
      <w:jc w:val="left"/>
    </w:pPr>
    <w:rPr>
      <w:rFonts w:ascii="宋体" w:hAnsi="宋体" w:cs="Courier New"/>
      <w:bCs/>
      <w:caps/>
      <w:kern w:val="44"/>
      <w:sz w:val="32"/>
      <w:szCs w:val="32"/>
    </w:rPr>
  </w:style>
  <w:style w:type="paragraph" w:styleId="16">
    <w:name w:val="toc 2"/>
    <w:basedOn w:val="1"/>
    <w:next w:val="1"/>
    <w:qFormat/>
    <w:uiPriority w:val="0"/>
    <w:pPr>
      <w:ind w:left="420" w:leftChars="200"/>
    </w:pPr>
  </w:style>
  <w:style w:type="paragraph" w:styleId="17">
    <w:name w:val="Normal (Web)"/>
    <w:basedOn w:val="1"/>
    <w:qFormat/>
    <w:uiPriority w:val="0"/>
    <w:pPr>
      <w:widowControl/>
      <w:spacing w:beforeAutospacing="1" w:afterAutospacing="1"/>
      <w:jc w:val="left"/>
    </w:pPr>
    <w:rPr>
      <w:rFonts w:ascii="宋体" w:hAnsi="宋体" w:cs="宋体"/>
      <w:kern w:val="0"/>
      <w:sz w:val="24"/>
    </w:rPr>
  </w:style>
  <w:style w:type="paragraph" w:styleId="18">
    <w:name w:val="Title"/>
    <w:basedOn w:val="1"/>
    <w:next w:val="1"/>
    <w:link w:val="95"/>
    <w:qFormat/>
    <w:uiPriority w:val="0"/>
    <w:pPr>
      <w:spacing w:before="240" w:after="60"/>
      <w:jc w:val="center"/>
      <w:outlineLvl w:val="0"/>
    </w:pPr>
    <w:rPr>
      <w:rFonts w:ascii="Cambria" w:hAnsi="Cambria" w:eastAsia="宋体" w:cs="Times New Roman"/>
      <w:b/>
      <w:bCs/>
      <w:sz w:val="32"/>
      <w:szCs w:val="32"/>
    </w:rPr>
  </w:style>
  <w:style w:type="paragraph" w:styleId="19">
    <w:name w:val="Body Text First Indent"/>
    <w:basedOn w:val="2"/>
    <w:qFormat/>
    <w:uiPriority w:val="0"/>
    <w:pPr>
      <w:ind w:firstLine="420" w:firstLineChars="1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0"/>
    <w:rPr>
      <w:b/>
      <w:bCs/>
    </w:rPr>
  </w:style>
  <w:style w:type="character" w:styleId="24">
    <w:name w:val="FollowedHyperlink"/>
    <w:qFormat/>
    <w:uiPriority w:val="0"/>
    <w:rPr>
      <w:rFonts w:hint="default" w:ascii="Times New Roman" w:hAnsi="Times New Roman" w:eastAsia="宋体" w:cs="Times New Roman"/>
      <w:color w:val="800080"/>
      <w:u w:val="single"/>
    </w:rPr>
  </w:style>
  <w:style w:type="character" w:styleId="25">
    <w:name w:val="HTML Acronym"/>
    <w:basedOn w:val="22"/>
    <w:qFormat/>
    <w:uiPriority w:val="0"/>
  </w:style>
  <w:style w:type="character" w:styleId="26">
    <w:name w:val="Hyperlink"/>
    <w:qFormat/>
    <w:uiPriority w:val="0"/>
    <w:rPr>
      <w:rFonts w:ascii="Times New Roman" w:hAnsi="Times New Roman" w:eastAsia="宋体" w:cs="Times New Roman"/>
      <w:color w:val="0000FF"/>
      <w:u w:val="single"/>
    </w:rPr>
  </w:style>
  <w:style w:type="paragraph" w:customStyle="1" w:styleId="27">
    <w:name w:val="样式 ！正文 + 首行缩进:  2 字符"/>
    <w:basedOn w:val="1"/>
    <w:next w:val="1"/>
    <w:qFormat/>
    <w:uiPriority w:val="0"/>
    <w:pPr>
      <w:ind w:firstLine="480" w:firstLineChars="200"/>
    </w:pPr>
    <w:rPr>
      <w:rFonts w:hint="eastAsia" w:ascii="Arial" w:hAnsi="Arial" w:cs="宋体"/>
    </w:rPr>
  </w:style>
  <w:style w:type="paragraph" w:customStyle="1" w:styleId="28">
    <w:name w:val="BodyText1I2"/>
    <w:basedOn w:val="29"/>
    <w:qFormat/>
    <w:uiPriority w:val="0"/>
    <w:pPr>
      <w:ind w:firstLine="420" w:firstLineChars="200"/>
      <w:jc w:val="both"/>
      <w:textAlignment w:val="baseline"/>
    </w:pPr>
  </w:style>
  <w:style w:type="paragraph" w:customStyle="1" w:styleId="29">
    <w:name w:val="BodyTextIndent"/>
    <w:basedOn w:val="1"/>
    <w:next w:val="30"/>
    <w:qFormat/>
    <w:uiPriority w:val="0"/>
    <w:pPr>
      <w:ind w:firstLine="630"/>
      <w:jc w:val="both"/>
      <w:textAlignment w:val="baseline"/>
    </w:pPr>
    <w:rPr>
      <w:kern w:val="2"/>
      <w:sz w:val="32"/>
      <w:szCs w:val="20"/>
      <w:lang w:val="en-US" w:eastAsia="zh-CN" w:bidi="ar-SA"/>
    </w:rPr>
  </w:style>
  <w:style w:type="paragraph" w:customStyle="1" w:styleId="30">
    <w:name w:val="EnvelopeReturn"/>
    <w:basedOn w:val="1"/>
    <w:qFormat/>
    <w:uiPriority w:val="0"/>
    <w:pPr>
      <w:snapToGrid w:val="0"/>
      <w:jc w:val="both"/>
      <w:textAlignment w:val="baseline"/>
    </w:pPr>
    <w:rPr>
      <w:rFonts w:ascii="Arial" w:hAnsi="Arial"/>
      <w:kern w:val="2"/>
      <w:sz w:val="21"/>
      <w:szCs w:val="24"/>
      <w:lang w:val="en-US" w:eastAsia="zh-CN" w:bidi="ar-SA"/>
    </w:rPr>
  </w:style>
  <w:style w:type="paragraph" w:customStyle="1" w:styleId="31">
    <w:name w:val="Body Text First Indent 2"/>
    <w:basedOn w:val="32"/>
    <w:link w:val="91"/>
    <w:qFormat/>
    <w:uiPriority w:val="0"/>
    <w:pPr>
      <w:ind w:firstLine="420" w:firstLineChars="200"/>
    </w:pPr>
    <w:rPr>
      <w:rFonts w:ascii="Times New Roman" w:hAnsi="Times New Roman" w:eastAsia="宋体" w:cs="Times New Roman"/>
      <w:szCs w:val="24"/>
    </w:rPr>
  </w:style>
  <w:style w:type="paragraph" w:customStyle="1" w:styleId="32">
    <w:name w:val="Body Text Indent"/>
    <w:basedOn w:val="1"/>
    <w:next w:val="33"/>
    <w:link w:val="86"/>
    <w:qFormat/>
    <w:uiPriority w:val="0"/>
    <w:pPr>
      <w:ind w:firstLine="630"/>
    </w:pPr>
    <w:rPr>
      <w:rFonts w:ascii="Times New Roman" w:hAnsi="Times New Roman" w:eastAsia="宋体" w:cs="Times New Roman"/>
      <w:szCs w:val="24"/>
    </w:rPr>
  </w:style>
  <w:style w:type="paragraph" w:customStyle="1" w:styleId="33">
    <w:name w:val="envelope return"/>
    <w:basedOn w:val="1"/>
    <w:qFormat/>
    <w:uiPriority w:val="0"/>
    <w:pPr>
      <w:snapToGrid w:val="0"/>
    </w:pPr>
    <w:rPr>
      <w:rFonts w:ascii="Arial" w:hAnsi="Arial"/>
    </w:rPr>
  </w:style>
  <w:style w:type="paragraph" w:customStyle="1" w:styleId="34">
    <w:name w:val="annotation subject"/>
    <w:basedOn w:val="11"/>
    <w:next w:val="11"/>
    <w:link w:val="82"/>
    <w:qFormat/>
    <w:uiPriority w:val="0"/>
    <w:rPr>
      <w:rFonts w:ascii="Times New Roman" w:hAnsi="Times New Roman" w:eastAsia="宋体" w:cs="Times New Roman"/>
      <w:b/>
      <w:bCs/>
      <w:szCs w:val="24"/>
    </w:rPr>
  </w:style>
  <w:style w:type="paragraph" w:customStyle="1" w:styleId="35">
    <w:name w:val="Plain Text"/>
    <w:basedOn w:val="1"/>
    <w:link w:val="87"/>
    <w:qFormat/>
    <w:uiPriority w:val="0"/>
    <w:rPr>
      <w:rFonts w:ascii="宋体" w:hAnsi="Courier New" w:eastAsia="华文宋体"/>
      <w:sz w:val="28"/>
    </w:rPr>
  </w:style>
  <w:style w:type="paragraph" w:customStyle="1" w:styleId="36">
    <w:name w:val="Date"/>
    <w:basedOn w:val="1"/>
    <w:next w:val="1"/>
    <w:link w:val="88"/>
    <w:qFormat/>
    <w:uiPriority w:val="0"/>
    <w:pPr>
      <w:ind w:left="100" w:leftChars="2500"/>
    </w:pPr>
    <w:rPr>
      <w:rFonts w:ascii="Times New Roman" w:hAnsi="Times New Roman" w:eastAsia="宋体" w:cs="Times New Roman"/>
      <w:szCs w:val="24"/>
    </w:rPr>
  </w:style>
  <w:style w:type="paragraph" w:customStyle="1" w:styleId="37">
    <w:name w:val="Body Text Indent 2"/>
    <w:basedOn w:val="1"/>
    <w:link w:val="89"/>
    <w:qFormat/>
    <w:uiPriority w:val="0"/>
    <w:pPr>
      <w:spacing w:after="120" w:line="480" w:lineRule="auto"/>
      <w:ind w:left="420" w:leftChars="200"/>
    </w:pPr>
    <w:rPr>
      <w:rFonts w:ascii="Times New Roman" w:hAnsi="Times New Roman" w:eastAsia="宋体" w:cs="Times New Roman"/>
      <w:szCs w:val="24"/>
    </w:rPr>
  </w:style>
  <w:style w:type="paragraph" w:customStyle="1" w:styleId="38">
    <w:name w:val="Body Text Indent 3"/>
    <w:basedOn w:val="1"/>
    <w:link w:val="93"/>
    <w:qFormat/>
    <w:uiPriority w:val="0"/>
    <w:pPr>
      <w:spacing w:after="120"/>
      <w:ind w:left="420" w:leftChars="200"/>
    </w:pPr>
    <w:rPr>
      <w:rFonts w:ascii="Times New Roman" w:hAnsi="Times New Roman" w:eastAsia="宋体" w:cs="Times New Roman"/>
      <w:sz w:val="16"/>
      <w:szCs w:val="16"/>
    </w:rPr>
  </w:style>
  <w:style w:type="paragraph" w:customStyle="1" w:styleId="39">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customStyle="1" w:styleId="40">
    <w:name w:val="批注框文本 Char Char"/>
    <w:basedOn w:val="1"/>
    <w:link w:val="96"/>
    <w:qFormat/>
    <w:uiPriority w:val="0"/>
    <w:rPr>
      <w:rFonts w:eastAsia="宋体"/>
      <w:sz w:val="18"/>
      <w:szCs w:val="18"/>
    </w:rPr>
  </w:style>
  <w:style w:type="paragraph" w:customStyle="1" w:styleId="41">
    <w:name w:val="Normal Indent"/>
    <w:basedOn w:val="1"/>
    <w:qFormat/>
    <w:uiPriority w:val="0"/>
    <w:pPr>
      <w:ind w:firstLine="420"/>
    </w:pPr>
    <w:rPr>
      <w:szCs w:val="20"/>
    </w:rPr>
  </w:style>
  <w:style w:type="paragraph" w:customStyle="1" w:styleId="42">
    <w:name w:val="index 9"/>
    <w:basedOn w:val="1"/>
    <w:next w:val="1"/>
    <w:qFormat/>
    <w:uiPriority w:val="0"/>
    <w:pPr>
      <w:ind w:left="1600" w:leftChars="1600"/>
    </w:pPr>
    <w:rPr>
      <w:rFonts w:ascii="Calibri" w:hAnsi="Calibri"/>
      <w:szCs w:val="22"/>
    </w:rPr>
  </w:style>
  <w:style w:type="paragraph" w:customStyle="1"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Body Text First Indent 21"/>
    <w:basedOn w:val="45"/>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
    <w:name w:val="Body Text Indent1"/>
    <w:basedOn w:val="1"/>
    <w:next w:val="46"/>
    <w:qFormat/>
    <w:uiPriority w:val="0"/>
    <w:pPr>
      <w:ind w:firstLine="645"/>
    </w:pPr>
    <w:rPr>
      <w:rFonts w:ascii="楷体_GB2312" w:eastAsia="楷体_GB2312"/>
      <w:sz w:val="32"/>
    </w:rPr>
  </w:style>
  <w:style w:type="paragraph" w:customStyle="1" w:styleId="46">
    <w:name w:val="envelope return1"/>
    <w:basedOn w:val="1"/>
    <w:qFormat/>
    <w:uiPriority w:val="0"/>
    <w:pPr>
      <w:snapToGrid w:val="0"/>
    </w:pPr>
    <w:rPr>
      <w:rFonts w:ascii="Arial" w:hAnsi="Arial"/>
    </w:rPr>
  </w:style>
  <w:style w:type="paragraph" w:customStyle="1" w:styleId="4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8">
    <w:name w:val="Char Char Char Char Char Char"/>
    <w:basedOn w:val="1"/>
    <w:qFormat/>
    <w:uiPriority w:val="0"/>
  </w:style>
  <w:style w:type="paragraph" w:customStyle="1" w:styleId="49">
    <w:name w:val="List Paragraph"/>
    <w:basedOn w:val="1"/>
    <w:link w:val="102"/>
    <w:qFormat/>
    <w:uiPriority w:val="0"/>
    <w:pPr>
      <w:ind w:firstLine="420" w:firstLineChars="200"/>
    </w:pPr>
    <w:rPr>
      <w:rFonts w:ascii="Times New Roman" w:hAnsi="Times New Roman" w:eastAsia="宋体" w:cs="Times New Roman"/>
      <w:szCs w:val="24"/>
    </w:rPr>
  </w:style>
  <w:style w:type="paragraph" w:customStyle="1" w:styleId="50">
    <w:name w:val="GW-正文"/>
    <w:basedOn w:val="1"/>
    <w:link w:val="99"/>
    <w:qFormat/>
    <w:uiPriority w:val="0"/>
    <w:pPr>
      <w:spacing w:line="360" w:lineRule="auto"/>
      <w:ind w:firstLine="200" w:firstLineChars="200"/>
      <w:contextualSpacing/>
    </w:pPr>
    <w:rPr>
      <w:szCs w:val="24"/>
    </w:rPr>
  </w:style>
  <w:style w:type="paragraph" w:customStyle="1" w:styleId="51">
    <w:name w:val="正文文本缩进_0"/>
    <w:basedOn w:val="52"/>
    <w:link w:val="101"/>
    <w:qFormat/>
    <w:uiPriority w:val="0"/>
    <w:pPr>
      <w:ind w:firstLine="645"/>
    </w:pPr>
    <w:rPr>
      <w:rFonts w:ascii="楷体_GB2312" w:hAnsi="Calibri" w:eastAsia="楷体_GB2312"/>
      <w:sz w:val="32"/>
    </w:rPr>
  </w:style>
  <w:style w:type="paragraph" w:customStyle="1" w:styleId="52">
    <w:name w:val="正文_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3">
    <w:name w:val="正文文本缩进 2_0"/>
    <w:basedOn w:val="52"/>
    <w:link w:val="105"/>
    <w:qFormat/>
    <w:uiPriority w:val="0"/>
    <w:pPr>
      <w:ind w:left="630" w:firstLine="645"/>
    </w:pPr>
    <w:rPr>
      <w:rFonts w:ascii="Arial" w:hAnsi="Arial" w:eastAsia="仿宋_GB2312"/>
      <w:sz w:val="32"/>
    </w:rPr>
  </w:style>
  <w:style w:type="paragraph" w:customStyle="1" w:styleId="54">
    <w:name w:val="Char Char Char Char Char Char Char1 Char_1"/>
    <w:basedOn w:val="52"/>
    <w:qFormat/>
    <w:uiPriority w:val="0"/>
    <w:rPr>
      <w:rFonts w:ascii="Tahoma" w:hAnsi="Tahoma"/>
      <w:sz w:val="24"/>
    </w:rPr>
  </w:style>
  <w:style w:type="paragraph" w:customStyle="1" w:styleId="55">
    <w:name w:val="列出段落1"/>
    <w:basedOn w:val="1"/>
    <w:qFormat/>
    <w:uiPriority w:val="0"/>
    <w:pPr>
      <w:ind w:firstLine="420" w:firstLineChars="200"/>
    </w:pPr>
    <w:rPr>
      <w:rFonts w:ascii="Calibri" w:hAnsi="Calibri" w:cs="Calibri"/>
      <w:szCs w:val="21"/>
    </w:rPr>
  </w:style>
  <w:style w:type="paragraph" w:customStyle="1" w:styleId="56">
    <w:name w:val="样式 正文缩进 + 首行缩进:  2 字符"/>
    <w:basedOn w:val="41"/>
    <w:qFormat/>
    <w:uiPriority w:val="0"/>
    <w:pPr>
      <w:spacing w:line="360" w:lineRule="auto"/>
      <w:ind w:firstLine="200"/>
    </w:pPr>
    <w:rPr>
      <w:rFonts w:cs="宋体"/>
      <w:sz w:val="24"/>
    </w:rPr>
  </w:style>
  <w:style w:type="paragraph" w:customStyle="1" w:styleId="57">
    <w:name w:val="Char1"/>
    <w:basedOn w:val="1"/>
    <w:qFormat/>
    <w:uiPriority w:val="0"/>
  </w:style>
  <w:style w:type="paragraph" w:customStyle="1" w:styleId="58">
    <w:name w:val="中等深浅网格 1 - 强调文字颜色 21"/>
    <w:basedOn w:val="1"/>
    <w:qFormat/>
    <w:uiPriority w:val="0"/>
    <w:pPr>
      <w:ind w:firstLine="420" w:firstLineChars="200"/>
    </w:pPr>
    <w:rPr>
      <w:rFonts w:eastAsia="仿宋_GB2312"/>
      <w:sz w:val="32"/>
    </w:rPr>
  </w:style>
  <w:style w:type="paragraph" w:customStyle="1" w:styleId="59">
    <w:name w:val="正文段"/>
    <w:basedOn w:val="1"/>
    <w:qFormat/>
    <w:uiPriority w:val="0"/>
    <w:pPr>
      <w:widowControl/>
      <w:snapToGrid w:val="0"/>
      <w:spacing w:afterLines="50"/>
      <w:ind w:firstLine="200" w:firstLineChars="200"/>
    </w:pPr>
    <w:rPr>
      <w:kern w:val="0"/>
      <w:sz w:val="24"/>
      <w:szCs w:val="20"/>
    </w:rPr>
  </w:style>
  <w:style w:type="paragraph" w:customStyle="1" w:styleId="60">
    <w:name w:val="01标题一"/>
    <w:basedOn w:val="1"/>
    <w:qFormat/>
    <w:uiPriority w:val="0"/>
    <w:rPr>
      <w:rFonts w:ascii="宋体" w:hAnsi="宋体"/>
      <w:b/>
      <w:sz w:val="28"/>
      <w:szCs w:val="28"/>
    </w:rPr>
  </w:style>
  <w:style w:type="paragraph" w:customStyle="1" w:styleId="61">
    <w:name w:val="列表段落1"/>
    <w:basedOn w:val="1"/>
    <w:qFormat/>
    <w:uiPriority w:val="0"/>
    <w:pPr>
      <w:ind w:firstLine="420" w:firstLineChars="200"/>
    </w:pPr>
    <w:rPr>
      <w:szCs w:val="20"/>
    </w:rPr>
  </w:style>
  <w:style w:type="paragraph" w:customStyle="1" w:styleId="62">
    <w:name w:val="默认段落字体 Para Char Char Char Char"/>
    <w:basedOn w:val="1"/>
    <w:qFormat/>
    <w:uiPriority w:val="0"/>
  </w:style>
  <w:style w:type="paragraph" w:customStyle="1" w:styleId="63">
    <w:name w:val="批注框文本 New"/>
    <w:basedOn w:val="1"/>
    <w:qFormat/>
    <w:uiPriority w:val="0"/>
    <w:rPr>
      <w:sz w:val="18"/>
      <w:szCs w:val="18"/>
    </w:rPr>
  </w:style>
  <w:style w:type="paragraph" w:customStyle="1" w:styleId="64">
    <w:name w:val="纯文本1"/>
    <w:basedOn w:val="1"/>
    <w:qFormat/>
    <w:uiPriority w:val="0"/>
    <w:rPr>
      <w:rFonts w:ascii="宋体" w:hAnsi="Courier New" w:cs="宋体"/>
      <w:szCs w:val="21"/>
    </w:rPr>
  </w:style>
  <w:style w:type="paragraph" w:customStyle="1" w:styleId="65">
    <w:name w:val="02标题二"/>
    <w:basedOn w:val="1"/>
    <w:qFormat/>
    <w:uiPriority w:val="0"/>
    <w:pPr>
      <w:ind w:firstLine="562" w:firstLineChars="200"/>
    </w:pPr>
    <w:rPr>
      <w:rFonts w:cs="华文仿宋"/>
      <w:b/>
      <w:bCs/>
      <w:sz w:val="28"/>
      <w:szCs w:val="28"/>
    </w:rPr>
  </w:style>
  <w:style w:type="paragraph" w:customStyle="1" w:styleId="66">
    <w:name w:val="Char11"/>
    <w:basedOn w:val="1"/>
    <w:qFormat/>
    <w:uiPriority w:val="0"/>
  </w:style>
  <w:style w:type="paragraph" w:customStyle="1" w:styleId="67">
    <w:name w:val="Table Paragraph"/>
    <w:basedOn w:val="1"/>
    <w:qFormat/>
    <w:uiPriority w:val="0"/>
    <w:pPr>
      <w:autoSpaceDE w:val="0"/>
      <w:autoSpaceDN w:val="0"/>
      <w:adjustRightInd w:val="0"/>
      <w:jc w:val="left"/>
    </w:pPr>
    <w:rPr>
      <w:kern w:val="0"/>
      <w:sz w:val="24"/>
    </w:rPr>
  </w:style>
  <w:style w:type="paragraph" w:customStyle="1" w:styleId="68">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9">
    <w:name w:val="样式 首行缩进:  2 字符"/>
    <w:basedOn w:val="1"/>
    <w:qFormat/>
    <w:uiPriority w:val="0"/>
    <w:pPr>
      <w:spacing w:line="400" w:lineRule="exact"/>
      <w:ind w:firstLine="200" w:firstLineChars="200"/>
    </w:pPr>
    <w:rPr>
      <w:rFonts w:cs="宋体"/>
      <w:sz w:val="24"/>
    </w:rPr>
  </w:style>
  <w:style w:type="paragraph" w:customStyle="1" w:styleId="70">
    <w:name w:val="节标题"/>
    <w:basedOn w:val="1"/>
    <w:next w:val="1"/>
    <w:qFormat/>
    <w:uiPriority w:val="0"/>
    <w:pPr>
      <w:widowControl/>
      <w:spacing w:line="289" w:lineRule="atLeast"/>
      <w:jc w:val="center"/>
      <w:textAlignment w:val="baseline"/>
    </w:pPr>
    <w:rPr>
      <w:color w:val="000000"/>
      <w:kern w:val="0"/>
      <w:sz w:val="28"/>
      <w:szCs w:val="20"/>
      <w:u w:val="none" w:color="000000"/>
    </w:rPr>
  </w:style>
  <w:style w:type="paragraph" w:customStyle="1" w:styleId="71">
    <w:name w:val="_Style 22"/>
    <w:basedOn w:val="1"/>
    <w:qFormat/>
    <w:uiPriority w:val="0"/>
  </w:style>
  <w:style w:type="paragraph" w:customStyle="1" w:styleId="72">
    <w:name w:val="00大标题"/>
    <w:basedOn w:val="1"/>
    <w:qFormat/>
    <w:uiPriority w:val="0"/>
    <w:pPr>
      <w:jc w:val="center"/>
    </w:pPr>
    <w:rPr>
      <w:rFonts w:ascii="宋体" w:hAnsi="宋体"/>
      <w:b/>
      <w:sz w:val="32"/>
      <w:szCs w:val="32"/>
    </w:rPr>
  </w:style>
  <w:style w:type="paragraph" w:customStyle="1" w:styleId="73">
    <w:name w:val="表格"/>
    <w:basedOn w:val="1"/>
    <w:qFormat/>
    <w:uiPriority w:val="0"/>
    <w:pPr>
      <w:spacing w:line="400" w:lineRule="exact"/>
    </w:pPr>
    <w:rPr>
      <w:sz w:val="24"/>
    </w:rPr>
  </w:style>
  <w:style w:type="paragraph" w:customStyle="1" w:styleId="74">
    <w:name w:val="模板普通正文"/>
    <w:basedOn w:val="32"/>
    <w:qFormat/>
    <w:uiPriority w:val="0"/>
    <w:pPr>
      <w:spacing w:beforeLines="50" w:after="10"/>
      <w:ind w:firstLine="490" w:firstLineChars="175"/>
      <w:jc w:val="left"/>
    </w:pPr>
    <w:rPr>
      <w:rFonts w:ascii="Calibri" w:hAnsi="Calibri" w:eastAsia="宋体" w:cs="Times New Roman"/>
      <w:spacing w:val="0"/>
      <w:sz w:val="24"/>
    </w:rPr>
  </w:style>
  <w:style w:type="paragraph" w:customStyle="1" w:styleId="75">
    <w:name w:val="正文XXXX"/>
    <w:basedOn w:val="1"/>
    <w:qFormat/>
    <w:uiPriority w:val="0"/>
    <w:pPr>
      <w:widowControl w:val="0"/>
      <w:ind w:firstLine="600"/>
      <w:jc w:val="both"/>
    </w:pPr>
    <w:rPr>
      <w:rFonts w:ascii="仿宋_GB2312" w:hAnsi="Times New Roman" w:cs="仿宋_GB2312"/>
      <w:color w:val="000000"/>
      <w:szCs w:val="30"/>
      <w:lang w:val="zh-CN"/>
    </w:rPr>
  </w:style>
  <w:style w:type="paragraph" w:customStyle="1" w:styleId="76">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77">
    <w:name w:val="UserStyle_30"/>
    <w:qFormat/>
    <w:uiPriority w:val="0"/>
    <w:pPr>
      <w:textAlignment w:val="baseline"/>
    </w:pPr>
    <w:rPr>
      <w:rFonts w:ascii="宋体" w:hAnsi="宋体" w:eastAsia="宋体" w:cs="黑体"/>
      <w:sz w:val="24"/>
      <w:szCs w:val="24"/>
      <w:lang w:val="en-US" w:eastAsia="zh-CN" w:bidi="ar-SA"/>
    </w:rPr>
  </w:style>
  <w:style w:type="character" w:customStyle="1" w:styleId="78">
    <w:name w:val="标题 1 Char"/>
    <w:basedOn w:val="22"/>
    <w:link w:val="3"/>
    <w:semiHidden/>
    <w:qFormat/>
    <w:uiPriority w:val="0"/>
    <w:rPr>
      <w:rFonts w:ascii="Times New Roman" w:hAnsi="Times New Roman" w:eastAsia="宋体" w:cs="Times New Roman"/>
      <w:b/>
      <w:bCs/>
      <w:kern w:val="44"/>
      <w:sz w:val="44"/>
      <w:szCs w:val="44"/>
    </w:rPr>
  </w:style>
  <w:style w:type="character" w:customStyle="1" w:styleId="79">
    <w:name w:val="标题 2 Char"/>
    <w:basedOn w:val="22"/>
    <w:link w:val="4"/>
    <w:semiHidden/>
    <w:qFormat/>
    <w:uiPriority w:val="0"/>
    <w:rPr>
      <w:rFonts w:ascii="Arial" w:hAnsi="Arial" w:eastAsia="黑体" w:cs="Times New Roman"/>
      <w:b/>
      <w:bCs/>
      <w:sz w:val="32"/>
      <w:szCs w:val="32"/>
    </w:rPr>
  </w:style>
  <w:style w:type="character" w:customStyle="1" w:styleId="80">
    <w:name w:val="标题 3 Char"/>
    <w:basedOn w:val="22"/>
    <w:link w:val="5"/>
    <w:semiHidden/>
    <w:qFormat/>
    <w:uiPriority w:val="0"/>
    <w:rPr>
      <w:rFonts w:ascii="Times New Roman" w:hAnsi="Times New Roman" w:eastAsia="宋体" w:cs="Times New Roman"/>
      <w:b/>
      <w:bCs/>
      <w:sz w:val="32"/>
      <w:szCs w:val="32"/>
    </w:rPr>
  </w:style>
  <w:style w:type="character" w:customStyle="1" w:styleId="81">
    <w:name w:val="标题 5 Char"/>
    <w:basedOn w:val="22"/>
    <w:link w:val="6"/>
    <w:semiHidden/>
    <w:qFormat/>
    <w:uiPriority w:val="0"/>
    <w:rPr>
      <w:rFonts w:ascii="Times New Roman" w:hAnsi="Times New Roman" w:eastAsia="宋体" w:cs="Times New Roman"/>
      <w:b/>
      <w:bCs/>
      <w:sz w:val="28"/>
      <w:szCs w:val="28"/>
    </w:rPr>
  </w:style>
  <w:style w:type="character" w:customStyle="1" w:styleId="82">
    <w:name w:val="批注主题 Char"/>
    <w:basedOn w:val="83"/>
    <w:link w:val="34"/>
    <w:semiHidden/>
    <w:qFormat/>
    <w:uiPriority w:val="0"/>
    <w:rPr>
      <w:rFonts w:ascii="Times New Roman" w:hAnsi="Times New Roman" w:eastAsia="宋体" w:cs="Times New Roman"/>
      <w:b/>
      <w:bCs/>
      <w:szCs w:val="24"/>
    </w:rPr>
  </w:style>
  <w:style w:type="character" w:customStyle="1" w:styleId="83">
    <w:name w:val="批注文字 字符1"/>
    <w:basedOn w:val="22"/>
    <w:qFormat/>
    <w:uiPriority w:val="0"/>
    <w:rPr>
      <w:rFonts w:ascii="Times New Roman" w:hAnsi="Times New Roman" w:eastAsia="宋体" w:cs="Times New Roman"/>
      <w:szCs w:val="24"/>
    </w:rPr>
  </w:style>
  <w:style w:type="character" w:customStyle="1" w:styleId="84">
    <w:name w:val="批注文字 Char"/>
    <w:link w:val="11"/>
    <w:semiHidden/>
    <w:qFormat/>
    <w:uiPriority w:val="0"/>
    <w:rPr>
      <w:rFonts w:eastAsia="宋体"/>
      <w:szCs w:val="24"/>
    </w:rPr>
  </w:style>
  <w:style w:type="character" w:customStyle="1" w:styleId="85">
    <w:name w:val="正文文本 Char"/>
    <w:basedOn w:val="22"/>
    <w:link w:val="2"/>
    <w:semiHidden/>
    <w:qFormat/>
    <w:uiPriority w:val="0"/>
    <w:rPr>
      <w:rFonts w:ascii="Calibri" w:hAnsi="Calibri" w:eastAsia="宋体" w:cs="Times New Roman"/>
      <w:sz w:val="22"/>
      <w:szCs w:val="24"/>
    </w:rPr>
  </w:style>
  <w:style w:type="character" w:customStyle="1" w:styleId="86">
    <w:name w:val="正文文本缩进 Char"/>
    <w:link w:val="32"/>
    <w:semiHidden/>
    <w:qFormat/>
    <w:uiPriority w:val="0"/>
    <w:rPr>
      <w:rFonts w:ascii="Times New Roman" w:hAnsi="Times New Roman" w:eastAsia="宋体" w:cs="Times New Roman"/>
      <w:szCs w:val="24"/>
    </w:rPr>
  </w:style>
  <w:style w:type="character" w:customStyle="1" w:styleId="87">
    <w:name w:val="纯文本 Char"/>
    <w:link w:val="35"/>
    <w:semiHidden/>
    <w:qFormat/>
    <w:uiPriority w:val="0"/>
    <w:rPr>
      <w:rFonts w:ascii="宋体" w:hAnsi="Courier New" w:eastAsia="华文宋体"/>
      <w:sz w:val="28"/>
    </w:rPr>
  </w:style>
  <w:style w:type="character" w:customStyle="1" w:styleId="88">
    <w:name w:val="日期 Char"/>
    <w:basedOn w:val="22"/>
    <w:link w:val="36"/>
    <w:semiHidden/>
    <w:qFormat/>
    <w:uiPriority w:val="0"/>
    <w:rPr>
      <w:rFonts w:ascii="Times New Roman" w:hAnsi="Times New Roman" w:eastAsia="宋体" w:cs="Times New Roman"/>
      <w:szCs w:val="24"/>
    </w:rPr>
  </w:style>
  <w:style w:type="character" w:customStyle="1" w:styleId="89">
    <w:name w:val="正文文本缩进 2 Char"/>
    <w:basedOn w:val="22"/>
    <w:link w:val="37"/>
    <w:semiHidden/>
    <w:qFormat/>
    <w:uiPriority w:val="0"/>
    <w:rPr>
      <w:rFonts w:ascii="Times New Roman" w:hAnsi="Times New Roman" w:eastAsia="宋体" w:cs="Times New Roman"/>
      <w:szCs w:val="24"/>
    </w:rPr>
  </w:style>
  <w:style w:type="character" w:customStyle="1" w:styleId="90">
    <w:name w:val="页脚 Char"/>
    <w:basedOn w:val="22"/>
    <w:link w:val="13"/>
    <w:semiHidden/>
    <w:qFormat/>
    <w:uiPriority w:val="0"/>
    <w:rPr>
      <w:rFonts w:ascii="Times New Roman" w:hAnsi="Times New Roman" w:eastAsia="宋体" w:cs="Times New Roman"/>
      <w:sz w:val="18"/>
      <w:szCs w:val="18"/>
    </w:rPr>
  </w:style>
  <w:style w:type="character" w:customStyle="1" w:styleId="91">
    <w:name w:val="正文首行缩进 2 Char"/>
    <w:link w:val="31"/>
    <w:semiHidden/>
    <w:qFormat/>
    <w:uiPriority w:val="0"/>
    <w:rPr>
      <w:rFonts w:ascii="Times New Roman" w:hAnsi="Times New Roman" w:eastAsia="宋体" w:cs="Times New Roman"/>
      <w:szCs w:val="24"/>
    </w:rPr>
  </w:style>
  <w:style w:type="character" w:customStyle="1" w:styleId="92">
    <w:name w:val="页眉 Char"/>
    <w:link w:val="14"/>
    <w:semiHidden/>
    <w:qFormat/>
    <w:uiPriority w:val="0"/>
    <w:rPr>
      <w:rFonts w:ascii="Times New Roman" w:hAnsi="Times New Roman" w:eastAsia="宋体" w:cs="Times New Roman"/>
      <w:sz w:val="18"/>
      <w:szCs w:val="18"/>
    </w:rPr>
  </w:style>
  <w:style w:type="character" w:customStyle="1" w:styleId="93">
    <w:name w:val="正文文本缩进 3 Char"/>
    <w:basedOn w:val="22"/>
    <w:link w:val="38"/>
    <w:semiHidden/>
    <w:qFormat/>
    <w:uiPriority w:val="0"/>
    <w:rPr>
      <w:rFonts w:ascii="Times New Roman" w:hAnsi="Times New Roman" w:eastAsia="宋体" w:cs="Times New Roman"/>
      <w:sz w:val="16"/>
      <w:szCs w:val="16"/>
    </w:rPr>
  </w:style>
  <w:style w:type="character" w:customStyle="1" w:styleId="94">
    <w:name w:val="HTML 预设格式 Char"/>
    <w:basedOn w:val="22"/>
    <w:link w:val="39"/>
    <w:semiHidden/>
    <w:qFormat/>
    <w:uiPriority w:val="0"/>
    <w:rPr>
      <w:rFonts w:ascii="宋体" w:hAnsi="宋体" w:eastAsia="宋体" w:cs="宋体"/>
      <w:kern w:val="0"/>
      <w:sz w:val="24"/>
      <w:szCs w:val="24"/>
    </w:rPr>
  </w:style>
  <w:style w:type="character" w:customStyle="1" w:styleId="95">
    <w:name w:val="标题 Char"/>
    <w:basedOn w:val="22"/>
    <w:link w:val="18"/>
    <w:semiHidden/>
    <w:qFormat/>
    <w:uiPriority w:val="0"/>
    <w:rPr>
      <w:rFonts w:ascii="Cambria" w:hAnsi="Cambria" w:eastAsia="宋体" w:cs="Times New Roman"/>
      <w:b/>
      <w:bCs/>
      <w:sz w:val="32"/>
      <w:szCs w:val="32"/>
    </w:rPr>
  </w:style>
  <w:style w:type="character" w:customStyle="1" w:styleId="96">
    <w:name w:val="批注框文本 Char Char Char"/>
    <w:link w:val="40"/>
    <w:semiHidden/>
    <w:qFormat/>
    <w:uiPriority w:val="0"/>
    <w:rPr>
      <w:rFonts w:eastAsia="宋体"/>
      <w:sz w:val="18"/>
      <w:szCs w:val="18"/>
    </w:rPr>
  </w:style>
  <w:style w:type="character" w:customStyle="1" w:styleId="97">
    <w:name w:val="page number"/>
    <w:basedOn w:val="22"/>
    <w:qFormat/>
    <w:uiPriority w:val="0"/>
    <w:rPr>
      <w:rFonts w:ascii="Times New Roman" w:hAnsi="Times New Roman" w:eastAsia="宋体" w:cs="Times New Roman"/>
    </w:rPr>
  </w:style>
  <w:style w:type="character" w:customStyle="1" w:styleId="98">
    <w:name w:val="annotation reference"/>
    <w:qFormat/>
    <w:uiPriority w:val="0"/>
    <w:rPr>
      <w:sz w:val="21"/>
      <w:szCs w:val="21"/>
    </w:rPr>
  </w:style>
  <w:style w:type="character" w:customStyle="1" w:styleId="99">
    <w:name w:val="GW-正文 Char Char"/>
    <w:link w:val="50"/>
    <w:semiHidden/>
    <w:qFormat/>
    <w:uiPriority w:val="0"/>
    <w:rPr>
      <w:szCs w:val="24"/>
    </w:rPr>
  </w:style>
  <w:style w:type="character" w:customStyle="1" w:styleId="100">
    <w:name w:val="纯文本 Char Char"/>
    <w:qFormat/>
    <w:uiPriority w:val="0"/>
    <w:rPr>
      <w:rFonts w:ascii="宋体" w:hAnsi="Courier New" w:eastAsia="宋体" w:cs="Courier New"/>
      <w:kern w:val="2"/>
      <w:sz w:val="21"/>
      <w:szCs w:val="21"/>
      <w:lang w:val="en-US" w:eastAsia="zh-CN" w:bidi="ar-SA"/>
    </w:rPr>
  </w:style>
  <w:style w:type="character" w:customStyle="1" w:styleId="101">
    <w:name w:val="正文文本缩进 Char Char"/>
    <w:link w:val="51"/>
    <w:semiHidden/>
    <w:qFormat/>
    <w:uiPriority w:val="0"/>
    <w:rPr>
      <w:rFonts w:ascii="楷体_GB2312" w:hAnsi="Calibri" w:eastAsia="楷体_GB2312"/>
      <w:sz w:val="32"/>
    </w:rPr>
  </w:style>
  <w:style w:type="character" w:customStyle="1" w:styleId="102">
    <w:name w:val="列出段落 Char"/>
    <w:link w:val="49"/>
    <w:semiHidden/>
    <w:qFormat/>
    <w:uiPriority w:val="0"/>
    <w:rPr>
      <w:rFonts w:ascii="Times New Roman" w:hAnsi="Times New Roman" w:eastAsia="宋体" w:cs="Times New Roman"/>
      <w:szCs w:val="24"/>
    </w:rPr>
  </w:style>
  <w:style w:type="character" w:customStyle="1" w:styleId="103">
    <w:name w:val="mwp_cyl_i4"/>
    <w:qFormat/>
    <w:uiPriority w:val="0"/>
    <w:rPr>
      <w:rFonts w:ascii="Times New Roman" w:hAnsi="Times New Roman" w:eastAsia="宋体" w:cs="Times New Roman"/>
      <w:bdr w:val="single" w:color="7F9DB9" w:sz="6" w:space="0"/>
    </w:rPr>
  </w:style>
  <w:style w:type="character" w:customStyle="1" w:styleId="104">
    <w:name w:val="正文文本缩进 Char Char Char"/>
    <w:qFormat/>
    <w:uiPriority w:val="0"/>
    <w:rPr>
      <w:rFonts w:ascii="楷体_GB2312" w:hAnsi="Calibri" w:eastAsia="楷体_GB2312"/>
      <w:kern w:val="2"/>
      <w:sz w:val="32"/>
      <w:lang w:val="en-US" w:eastAsia="zh-CN"/>
    </w:rPr>
  </w:style>
  <w:style w:type="character" w:customStyle="1" w:styleId="105">
    <w:name w:val="正文文本缩进 2 Char Char"/>
    <w:link w:val="53"/>
    <w:semiHidden/>
    <w:qFormat/>
    <w:uiPriority w:val="0"/>
    <w:rPr>
      <w:rFonts w:ascii="Arial" w:hAnsi="Arial" w:eastAsia="仿宋_GB2312"/>
      <w:sz w:val="32"/>
    </w:rPr>
  </w:style>
  <w:style w:type="character" w:customStyle="1" w:styleId="106">
    <w:name w:val="Char Char2"/>
    <w:qFormat/>
    <w:uiPriority w:val="0"/>
    <w:rPr>
      <w:rFonts w:ascii="宋体" w:hAnsi="Courier New" w:eastAsia="华文宋体" w:cs="Times New Roman"/>
      <w:sz w:val="28"/>
      <w:szCs w:val="20"/>
    </w:rPr>
  </w:style>
  <w:style w:type="character" w:customStyle="1" w:styleId="107">
    <w:name w:val="正文文本缩进 字符1"/>
    <w:basedOn w:val="22"/>
    <w:qFormat/>
    <w:uiPriority w:val="0"/>
    <w:rPr>
      <w:rFonts w:ascii="Times New Roman" w:hAnsi="Times New Roman" w:eastAsia="宋体" w:cs="Times New Roman"/>
      <w:szCs w:val="24"/>
    </w:rPr>
  </w:style>
  <w:style w:type="character" w:customStyle="1" w:styleId="108">
    <w:name w:val="正文文本首行缩进 2 字符1"/>
    <w:basedOn w:val="107"/>
    <w:qFormat/>
    <w:uiPriority w:val="0"/>
    <w:rPr>
      <w:rFonts w:ascii="Times New Roman" w:hAnsi="Times New Roman" w:eastAsia="宋体" w:cs="Times New Roman"/>
      <w:szCs w:val="24"/>
    </w:rPr>
  </w:style>
  <w:style w:type="character" w:customStyle="1" w:styleId="109">
    <w:name w:val="页眉 字符1"/>
    <w:basedOn w:val="22"/>
    <w:qFormat/>
    <w:uiPriority w:val="0"/>
    <w:rPr>
      <w:rFonts w:ascii="Times New Roman" w:hAnsi="Times New Roman" w:eastAsia="宋体" w:cs="Times New Roman"/>
      <w:sz w:val="18"/>
      <w:szCs w:val="18"/>
    </w:rPr>
  </w:style>
  <w:style w:type="character" w:customStyle="1" w:styleId="110">
    <w:name w:val="纯文本 字符1"/>
    <w:basedOn w:val="22"/>
    <w:qFormat/>
    <w:uiPriority w:val="0"/>
    <w:rPr>
      <w:rFonts w:ascii="宋体" w:hAnsi="Courier New" w:cs="Courier New"/>
      <w:szCs w:val="24"/>
    </w:rPr>
  </w:style>
  <w:style w:type="character" w:customStyle="1" w:styleId="111">
    <w:name w:val="批注框文本 字符1"/>
    <w:basedOn w:val="22"/>
    <w:qFormat/>
    <w:uiPriority w:val="0"/>
    <w:rPr>
      <w:rFonts w:ascii="Times New Roman" w:hAnsi="Times New Roman" w:eastAsia="宋体" w:cs="Times New Roman"/>
      <w:sz w:val="18"/>
      <w:szCs w:val="18"/>
    </w:rPr>
  </w:style>
  <w:style w:type="character" w:customStyle="1" w:styleId="112">
    <w:name w:val="font01"/>
    <w:basedOn w:val="22"/>
    <w:qFormat/>
    <w:uiPriority w:val="0"/>
    <w:rPr>
      <w:rFonts w:hint="eastAsia" w:ascii="宋体" w:hAnsi="宋体" w:eastAsia="宋体" w:cs="宋体"/>
      <w:color w:val="000000"/>
      <w:sz w:val="20"/>
      <w:szCs w:val="20"/>
      <w:u w:val="none"/>
    </w:rPr>
  </w:style>
  <w:style w:type="character" w:customStyle="1" w:styleId="113">
    <w:name w:val="font11"/>
    <w:basedOn w:val="22"/>
    <w:qFormat/>
    <w:uiPriority w:val="0"/>
    <w:rPr>
      <w:rFonts w:hint="eastAsia" w:ascii="宋体" w:hAnsi="宋体" w:eastAsia="宋体" w:cs="宋体"/>
      <w:color w:val="000000"/>
      <w:sz w:val="21"/>
      <w:szCs w:val="21"/>
      <w:u w:val="none"/>
    </w:rPr>
  </w:style>
  <w:style w:type="character" w:customStyle="1" w:styleId="114">
    <w:name w:val="font31"/>
    <w:basedOn w:val="22"/>
    <w:qFormat/>
    <w:uiPriority w:val="0"/>
    <w:rPr>
      <w:rFonts w:hint="eastAsia" w:ascii="宋体" w:hAnsi="宋体" w:eastAsia="宋体" w:cs="宋体"/>
      <w:color w:val="000000"/>
      <w:sz w:val="21"/>
      <w:szCs w:val="21"/>
      <w:u w:val="none"/>
    </w:rPr>
  </w:style>
  <w:style w:type="character" w:customStyle="1" w:styleId="115">
    <w:name w:val="font21"/>
    <w:basedOn w:val="22"/>
    <w:qFormat/>
    <w:uiPriority w:val="0"/>
    <w:rPr>
      <w:rFonts w:hint="default" w:ascii="Times New Roman" w:hAnsi="Times New Roman" w:cs="Times New Roman"/>
      <w:color w:val="000000"/>
      <w:sz w:val="21"/>
      <w:szCs w:val="21"/>
      <w:u w:val="none"/>
    </w:rPr>
  </w:style>
  <w:style w:type="character" w:customStyle="1" w:styleId="116">
    <w:name w:val="NormalCharacter"/>
    <w:qFormat/>
    <w:uiPriority w:val="0"/>
    <w:rPr>
      <w:rFonts w:ascii="Times New Roman" w:hAnsi="Times New Roman" w:eastAsia="宋体" w:cs="Times New Roman"/>
      <w:kern w:val="2"/>
      <w:sz w:val="21"/>
      <w:szCs w:val="24"/>
      <w:lang w:val="en-US" w:eastAsia="zh-CN" w:bidi="ar-SA"/>
    </w:rPr>
  </w:style>
  <w:style w:type="character" w:customStyle="1" w:styleId="117">
    <w:name w:val="qh_txt"/>
    <w:basedOn w:val="22"/>
    <w:qFormat/>
    <w:uiPriority w:val="0"/>
  </w:style>
  <w:style w:type="character" w:customStyle="1" w:styleId="118">
    <w:name w:val="qh_bg"/>
    <w:basedOn w:val="22"/>
    <w:qFormat/>
    <w:uiPriority w:val="0"/>
    <w:rPr>
      <w:shd w:val="clear" w:color="000000" w:fill="005EA9"/>
    </w:rPr>
  </w:style>
  <w:style w:type="character" w:customStyle="1" w:styleId="119">
    <w:name w:val="qh_bg1"/>
    <w:basedOn w:val="22"/>
    <w:qFormat/>
    <w:uiPriority w:val="0"/>
  </w:style>
  <w:style w:type="character" w:customStyle="1" w:styleId="120">
    <w:name w:val="qh_bg2"/>
    <w:basedOn w:val="22"/>
    <w:qFormat/>
    <w:uiPriority w:val="0"/>
    <w:rPr>
      <w:shd w:val="clear" w:color="000000" w:fill="005EA9"/>
    </w:rPr>
  </w:style>
  <w:style w:type="character" w:customStyle="1" w:styleId="121">
    <w:name w:val="qh_bg3"/>
    <w:basedOn w:val="22"/>
    <w:uiPriority w:val="0"/>
    <w:rPr>
      <w:shd w:val="clear" w:color="000000" w:fill="003297"/>
    </w:rPr>
  </w:style>
  <w:style w:type="character" w:customStyle="1" w:styleId="122">
    <w:name w:val="qh_bg4"/>
    <w:basedOn w:val="22"/>
    <w:qFormat/>
    <w:uiPriority w:val="0"/>
    <w:rPr>
      <w:shd w:val="clear" w:color="000000" w:fill="003297"/>
    </w:rPr>
  </w:style>
  <w:style w:type="character" w:customStyle="1" w:styleId="123">
    <w:name w:val="qh_bg5"/>
    <w:basedOn w:val="22"/>
    <w:qFormat/>
    <w:uiPriority w:val="0"/>
  </w:style>
  <w:style w:type="character" w:customStyle="1" w:styleId="124">
    <w:name w:val="qh_bg6"/>
    <w:basedOn w:val="22"/>
    <w:qFormat/>
    <w:uiPriority w:val="0"/>
    <w:rPr>
      <w:shd w:val="clear" w:color="000000" w:fill="003297"/>
    </w:rPr>
  </w:style>
  <w:style w:type="character" w:customStyle="1" w:styleId="125">
    <w:name w:val="qh_bg7"/>
    <w:basedOn w:val="22"/>
    <w:qFormat/>
    <w:uiPriority w:val="0"/>
    <w:rPr>
      <w:shd w:val="clear" w:color="000000" w:fill="003297"/>
    </w:rPr>
  </w:style>
  <w:style w:type="character" w:customStyle="1" w:styleId="126">
    <w:name w:val="qh_bg8"/>
    <w:basedOn w:val="22"/>
    <w:qFormat/>
    <w:uiPriority w:val="0"/>
  </w:style>
  <w:style w:type="character" w:customStyle="1" w:styleId="127">
    <w:name w:val="qh_bg9"/>
    <w:basedOn w:val="22"/>
    <w:qFormat/>
    <w:uiPriority w:val="0"/>
  </w:style>
  <w:style w:type="character" w:customStyle="1" w:styleId="128">
    <w:name w:val="qh_bg10"/>
    <w:basedOn w:val="22"/>
    <w:qFormat/>
    <w:uiPriority w:val="0"/>
  </w:style>
  <w:style w:type="character" w:customStyle="1" w:styleId="129">
    <w:name w:val="qh_bg11"/>
    <w:basedOn w:val="22"/>
    <w:qFormat/>
    <w:uiPriority w:val="0"/>
  </w:style>
  <w:style w:type="character" w:customStyle="1" w:styleId="130">
    <w:name w:val="qh_bg12"/>
    <w:basedOn w:val="22"/>
    <w:qFormat/>
    <w:uiPriority w:val="0"/>
  </w:style>
  <w:style w:type="character" w:customStyle="1" w:styleId="131">
    <w:name w:val="qh_bg13"/>
    <w:basedOn w:val="22"/>
    <w:qFormat/>
    <w:uiPriority w:val="0"/>
    <w:rPr>
      <w:shd w:val="clear" w:color="000000" w:fill="005EA9"/>
    </w:rPr>
  </w:style>
  <w:style w:type="character" w:customStyle="1" w:styleId="132">
    <w:name w:val="qh_bg14"/>
    <w:basedOn w:val="22"/>
    <w:qFormat/>
    <w:uiPriority w:val="0"/>
    <w:rPr>
      <w:shd w:val="clear" w:color="000000" w:fill="005EA9"/>
    </w:rPr>
  </w:style>
  <w:style w:type="character" w:customStyle="1" w:styleId="133">
    <w:name w:val="qh_bg15"/>
    <w:basedOn w:val="22"/>
    <w:qFormat/>
    <w:uiPriority w:val="0"/>
  </w:style>
  <w:style w:type="character" w:customStyle="1" w:styleId="134">
    <w:name w:val="qh_bg16"/>
    <w:basedOn w:val="22"/>
    <w:qFormat/>
    <w:uiPriority w:val="0"/>
    <w:rPr>
      <w:shd w:val="clear" w:color="000000" w:fill="005EA9"/>
    </w:rPr>
  </w:style>
  <w:style w:type="character" w:customStyle="1" w:styleId="135">
    <w:name w:val="qh_bg17"/>
    <w:basedOn w:val="22"/>
    <w:qFormat/>
    <w:uiPriority w:val="0"/>
    <w:rPr>
      <w:shd w:val="clear" w:color="000000" w:fill="14AF3F"/>
    </w:rPr>
  </w:style>
  <w:style w:type="character" w:customStyle="1" w:styleId="136">
    <w:name w:val="qh_bg18"/>
    <w:basedOn w:val="22"/>
    <w:qFormat/>
    <w:uiPriority w:val="0"/>
  </w:style>
  <w:style w:type="character" w:customStyle="1" w:styleId="137">
    <w:name w:val="qh_bg19"/>
    <w:basedOn w:val="22"/>
    <w:qFormat/>
    <w:uiPriority w:val="0"/>
    <w:rPr>
      <w:shd w:val="clear" w:color="000000" w:fill="F46916"/>
    </w:rPr>
  </w:style>
  <w:style w:type="character" w:customStyle="1" w:styleId="138">
    <w:name w:val="qh_bg20"/>
    <w:basedOn w:val="22"/>
    <w:qFormat/>
    <w:uiPriority w:val="0"/>
    <w:rPr>
      <w:shd w:val="clear" w:color="000000" w:fill="003297"/>
    </w:rPr>
  </w:style>
  <w:style w:type="character" w:customStyle="1" w:styleId="139">
    <w:name w:val="qh_bg21"/>
    <w:basedOn w:val="22"/>
    <w:qFormat/>
    <w:uiPriority w:val="0"/>
  </w:style>
  <w:style w:type="character" w:customStyle="1" w:styleId="140">
    <w:name w:val="qh_bg22"/>
    <w:basedOn w:val="22"/>
    <w:qFormat/>
    <w:uiPriority w:val="0"/>
  </w:style>
  <w:style w:type="character" w:customStyle="1" w:styleId="141">
    <w:name w:val="qh_bg23"/>
    <w:basedOn w:val="22"/>
    <w:qFormat/>
    <w:uiPriority w:val="0"/>
  </w:style>
  <w:style w:type="character" w:customStyle="1" w:styleId="142">
    <w:name w:val="qh_bg24"/>
    <w:basedOn w:val="22"/>
    <w:qFormat/>
    <w:uiPriority w:val="0"/>
  </w:style>
  <w:style w:type="character" w:customStyle="1" w:styleId="143">
    <w:name w:val="qh_bg25"/>
    <w:basedOn w:val="22"/>
    <w:qFormat/>
    <w:uiPriority w:val="0"/>
  </w:style>
  <w:style w:type="character" w:customStyle="1" w:styleId="144">
    <w:name w:val="qh_bg26"/>
    <w:basedOn w:val="22"/>
    <w:qFormat/>
    <w:uiPriority w:val="0"/>
  </w:style>
  <w:style w:type="character" w:customStyle="1" w:styleId="145">
    <w:name w:val="qh_bg27"/>
    <w:basedOn w:val="22"/>
    <w:qFormat/>
    <w:uiPriority w:val="0"/>
  </w:style>
  <w:style w:type="character" w:customStyle="1" w:styleId="146">
    <w:name w:val="c2"/>
    <w:basedOn w:val="22"/>
    <w:qFormat/>
    <w:uiPriority w:val="0"/>
  </w:style>
  <w:style w:type="character" w:customStyle="1" w:styleId="147">
    <w:name w:val="jg"/>
    <w:basedOn w:val="22"/>
    <w:qFormat/>
    <w:uiPriority w:val="0"/>
  </w:style>
  <w:style w:type="character" w:customStyle="1" w:styleId="148">
    <w:name w:val="note-content"/>
    <w:basedOn w:val="22"/>
    <w:qFormat/>
    <w:uiPriority w:val="0"/>
    <w:rPr>
      <w:color w:val="333333"/>
    </w:rPr>
  </w:style>
  <w:style w:type="character" w:customStyle="1" w:styleId="149">
    <w:name w:val="sec22"/>
    <w:basedOn w:val="22"/>
    <w:qFormat/>
    <w:uiPriority w:val="0"/>
    <w:rPr>
      <w:b/>
      <w:bCs/>
      <w:color w:val="005EA9"/>
    </w:rPr>
  </w:style>
  <w:style w:type="character" w:customStyle="1" w:styleId="150">
    <w:name w:val="c1"/>
    <w:basedOn w:val="22"/>
    <w:qFormat/>
    <w:uiPriority w:val="0"/>
  </w:style>
  <w:style w:type="character" w:customStyle="1" w:styleId="151">
    <w:name w:val="c3"/>
    <w:basedOn w:val="22"/>
    <w:qFormat/>
    <w:uiPriority w:val="0"/>
  </w:style>
  <w:style w:type="character" w:customStyle="1" w:styleId="152">
    <w:name w:val="tit"/>
    <w:basedOn w:val="22"/>
    <w:qFormat/>
    <w:uiPriority w:val="0"/>
    <w:rPr>
      <w:b/>
      <w:bCs/>
      <w:color w:val="AF0000"/>
    </w:rPr>
  </w:style>
  <w:style w:type="character" w:customStyle="1" w:styleId="153">
    <w:name w:val="font61"/>
    <w:basedOn w:val="2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13200</Words>
  <Characters>13851</Characters>
  <Lines>170</Lines>
  <Paragraphs>48</Paragraphs>
  <TotalTime>36</TotalTime>
  <ScaleCrop>false</ScaleCrop>
  <LinksUpToDate>false</LinksUpToDate>
  <CharactersWithSpaces>14544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2020-05-09T00:28:00Z</dcterms:created>
  <dc:creator>macw10</dc:creator>
  <cp:lastModifiedBy>Administrator</cp:lastModifiedBy>
  <cp:lastPrinted>2021-06-09T06:31:00Z</cp:lastPrinted>
  <dcterms:modified xsi:type="dcterms:W3CDTF">2023-04-07T08:40:06Z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E702DB1780AC4CEEA1E5874F02C935E5</vt:lpwstr>
  </property>
</Properties>
</file>