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color w:val="auto"/>
          <w:sz w:val="36"/>
          <w:szCs w:val="36"/>
          <w:highlight w:val="none"/>
          <w:lang w:eastAsia="zh-CN"/>
        </w:rPr>
      </w:pPr>
      <w:r>
        <w:rPr>
          <w:rFonts w:hint="eastAsia" w:asciiTheme="minorEastAsia" w:hAnsiTheme="minorEastAsia" w:eastAsiaTheme="minorEastAsia" w:cstheme="minorEastAsia"/>
          <w:b/>
          <w:bCs/>
          <w:color w:val="auto"/>
          <w:sz w:val="36"/>
          <w:szCs w:val="36"/>
          <w:highlight w:val="none"/>
          <w:lang w:eastAsia="zh-CN"/>
        </w:rPr>
        <w:t>铜陵学院2023～202</w:t>
      </w:r>
      <w:r>
        <w:rPr>
          <w:rFonts w:hint="eastAsia" w:asciiTheme="minorEastAsia" w:hAnsiTheme="minorEastAsia" w:eastAsiaTheme="minorEastAsia" w:cstheme="minorEastAsia"/>
          <w:b/>
          <w:bCs/>
          <w:color w:val="auto"/>
          <w:sz w:val="36"/>
          <w:szCs w:val="36"/>
          <w:highlight w:val="none"/>
          <w:lang w:val="en-US" w:eastAsia="zh-CN"/>
        </w:rPr>
        <w:t>4</w:t>
      </w:r>
      <w:r>
        <w:rPr>
          <w:rFonts w:hint="eastAsia" w:asciiTheme="minorEastAsia" w:hAnsiTheme="minorEastAsia" w:eastAsiaTheme="minorEastAsia" w:cstheme="minorEastAsia"/>
          <w:b/>
          <w:bCs/>
          <w:color w:val="auto"/>
          <w:sz w:val="36"/>
          <w:szCs w:val="36"/>
          <w:highlight w:val="none"/>
          <w:lang w:eastAsia="zh-CN"/>
        </w:rPr>
        <w:t>学年度日常电气类维修</w:t>
      </w:r>
    </w:p>
    <w:p>
      <w:pPr>
        <w:jc w:val="center"/>
        <w:rPr>
          <w:rFonts w:hint="eastAsia" w:asciiTheme="minorEastAsia" w:hAnsiTheme="minorEastAsia" w:eastAsiaTheme="minorEastAsia" w:cstheme="minorEastAsia"/>
          <w:b/>
          <w:bCs/>
          <w:color w:val="auto"/>
          <w:sz w:val="36"/>
          <w:szCs w:val="36"/>
          <w:highlight w:val="none"/>
          <w:lang w:eastAsia="zh-CN"/>
        </w:rPr>
      </w:pPr>
    </w:p>
    <w:p>
      <w:pPr>
        <w:jc w:val="center"/>
        <w:rPr>
          <w:rFonts w:hint="eastAsia" w:asciiTheme="minorEastAsia" w:hAnsiTheme="minorEastAsia" w:eastAsiaTheme="minorEastAsia" w:cstheme="minorEastAsia"/>
          <w:b/>
          <w:bCs/>
          <w:color w:val="auto"/>
          <w:sz w:val="36"/>
          <w:szCs w:val="36"/>
          <w:highlight w:val="none"/>
          <w:lang w:eastAsia="zh-CN"/>
        </w:rPr>
      </w:pPr>
      <w:r>
        <w:rPr>
          <w:rFonts w:hint="eastAsia" w:asciiTheme="minorEastAsia" w:hAnsiTheme="minorEastAsia" w:eastAsiaTheme="minorEastAsia" w:cstheme="minorEastAsia"/>
          <w:b/>
          <w:bCs/>
          <w:color w:val="auto"/>
          <w:sz w:val="36"/>
          <w:szCs w:val="36"/>
          <w:highlight w:val="none"/>
          <w:lang w:eastAsia="zh-CN"/>
        </w:rPr>
        <w:t>材料采购</w:t>
      </w:r>
    </w:p>
    <w:p>
      <w:pPr>
        <w:jc w:val="center"/>
        <w:rPr>
          <w:rFonts w:hint="eastAsia" w:asciiTheme="minorEastAsia" w:hAnsiTheme="minorEastAsia" w:eastAsiaTheme="minorEastAsia" w:cstheme="minorEastAsia"/>
          <w:b/>
          <w:bCs/>
          <w:color w:val="auto"/>
          <w:kern w:val="2"/>
          <w:sz w:val="36"/>
          <w:szCs w:val="36"/>
          <w:highlight w:val="none"/>
          <w:lang w:val="en-US" w:eastAsia="zh-CN" w:bidi="ar-SA"/>
        </w:rPr>
      </w:pPr>
    </w:p>
    <w:p>
      <w:pPr>
        <w:jc w:val="center"/>
        <w:rPr>
          <w:rFonts w:hint="eastAsia" w:asciiTheme="minorEastAsia" w:hAnsiTheme="minorEastAsia" w:eastAsiaTheme="minorEastAsia" w:cstheme="minorEastAsia"/>
          <w:b/>
          <w:bCs/>
          <w:color w:val="auto"/>
          <w:kern w:val="2"/>
          <w:sz w:val="36"/>
          <w:szCs w:val="36"/>
          <w:highlight w:val="none"/>
          <w:lang w:val="en-US" w:eastAsia="zh-CN" w:bidi="ar-SA"/>
        </w:rPr>
      </w:pPr>
      <w:r>
        <w:rPr>
          <w:rFonts w:hint="eastAsia" w:asciiTheme="minorEastAsia" w:hAnsiTheme="minorEastAsia" w:eastAsiaTheme="minorEastAsia" w:cstheme="minorEastAsia"/>
          <w:b/>
          <w:bCs/>
          <w:color w:val="auto"/>
          <w:kern w:val="2"/>
          <w:sz w:val="36"/>
          <w:szCs w:val="36"/>
          <w:highlight w:val="none"/>
          <w:lang w:val="en-US" w:eastAsia="zh-CN" w:bidi="ar-SA"/>
        </w:rPr>
        <w:t>询</w:t>
      </w:r>
    </w:p>
    <w:p>
      <w:pPr>
        <w:jc w:val="center"/>
        <w:rPr>
          <w:rFonts w:hint="eastAsia" w:asciiTheme="minorEastAsia" w:hAnsiTheme="minorEastAsia" w:eastAsiaTheme="minorEastAsia" w:cstheme="minorEastAsia"/>
          <w:b/>
          <w:bCs/>
          <w:color w:val="auto"/>
          <w:kern w:val="2"/>
          <w:sz w:val="36"/>
          <w:szCs w:val="36"/>
          <w:highlight w:val="none"/>
          <w:lang w:val="en-US" w:eastAsia="zh-CN" w:bidi="ar-SA"/>
        </w:rPr>
      </w:pPr>
    </w:p>
    <w:p>
      <w:pPr>
        <w:jc w:val="center"/>
        <w:rPr>
          <w:rFonts w:hint="eastAsia" w:asciiTheme="minorEastAsia" w:hAnsiTheme="minorEastAsia" w:eastAsiaTheme="minorEastAsia" w:cstheme="minorEastAsia"/>
          <w:b/>
          <w:bCs/>
          <w:color w:val="auto"/>
          <w:kern w:val="2"/>
          <w:sz w:val="36"/>
          <w:szCs w:val="36"/>
          <w:highlight w:val="none"/>
          <w:lang w:val="en-US" w:eastAsia="zh-CN" w:bidi="ar-SA"/>
        </w:rPr>
      </w:pPr>
      <w:r>
        <w:rPr>
          <w:rFonts w:hint="eastAsia" w:asciiTheme="minorEastAsia" w:hAnsiTheme="minorEastAsia" w:eastAsiaTheme="minorEastAsia" w:cstheme="minorEastAsia"/>
          <w:b/>
          <w:bCs/>
          <w:color w:val="auto"/>
          <w:kern w:val="2"/>
          <w:sz w:val="36"/>
          <w:szCs w:val="36"/>
          <w:highlight w:val="none"/>
          <w:lang w:val="en-US" w:eastAsia="zh-CN" w:bidi="ar-SA"/>
        </w:rPr>
        <w:t>价</w:t>
      </w:r>
    </w:p>
    <w:p>
      <w:pPr>
        <w:jc w:val="center"/>
        <w:rPr>
          <w:rFonts w:hint="eastAsia" w:asciiTheme="minorEastAsia" w:hAnsiTheme="minorEastAsia" w:eastAsiaTheme="minorEastAsia" w:cstheme="minorEastAsia"/>
          <w:b/>
          <w:bCs/>
          <w:color w:val="auto"/>
          <w:kern w:val="2"/>
          <w:sz w:val="36"/>
          <w:szCs w:val="36"/>
          <w:highlight w:val="none"/>
          <w:lang w:val="en-US" w:eastAsia="zh-CN" w:bidi="ar-SA"/>
        </w:rPr>
      </w:pPr>
    </w:p>
    <w:p>
      <w:pPr>
        <w:jc w:val="center"/>
        <w:rPr>
          <w:rFonts w:hint="eastAsia" w:asciiTheme="minorEastAsia" w:hAnsiTheme="minorEastAsia" w:eastAsiaTheme="minorEastAsia" w:cstheme="minorEastAsia"/>
          <w:b/>
          <w:bCs/>
          <w:color w:val="auto"/>
          <w:kern w:val="2"/>
          <w:sz w:val="36"/>
          <w:szCs w:val="36"/>
          <w:highlight w:val="none"/>
          <w:lang w:val="en-US" w:eastAsia="zh-CN" w:bidi="ar-SA"/>
        </w:rPr>
      </w:pPr>
      <w:r>
        <w:rPr>
          <w:rFonts w:hint="eastAsia" w:asciiTheme="minorEastAsia" w:hAnsiTheme="minorEastAsia" w:eastAsiaTheme="minorEastAsia" w:cstheme="minorEastAsia"/>
          <w:b/>
          <w:bCs/>
          <w:color w:val="auto"/>
          <w:kern w:val="2"/>
          <w:sz w:val="36"/>
          <w:szCs w:val="36"/>
          <w:highlight w:val="none"/>
          <w:lang w:val="en-US" w:eastAsia="zh-CN" w:bidi="ar-SA"/>
        </w:rPr>
        <w:t>文</w:t>
      </w:r>
    </w:p>
    <w:p>
      <w:pPr>
        <w:jc w:val="center"/>
        <w:rPr>
          <w:rFonts w:hint="eastAsia" w:asciiTheme="minorEastAsia" w:hAnsiTheme="minorEastAsia" w:eastAsiaTheme="minorEastAsia" w:cstheme="minorEastAsia"/>
          <w:b/>
          <w:bCs/>
          <w:color w:val="auto"/>
          <w:kern w:val="2"/>
          <w:sz w:val="36"/>
          <w:szCs w:val="36"/>
          <w:highlight w:val="none"/>
          <w:lang w:val="en-US" w:eastAsia="zh-CN" w:bidi="ar-SA"/>
        </w:rPr>
      </w:pPr>
    </w:p>
    <w:p>
      <w:pPr>
        <w:jc w:val="center"/>
        <w:rPr>
          <w:rFonts w:hint="eastAsia" w:asciiTheme="minorEastAsia" w:hAnsiTheme="minorEastAsia" w:eastAsiaTheme="minorEastAsia" w:cstheme="minorEastAsia"/>
          <w:b/>
          <w:bCs/>
          <w:color w:val="auto"/>
          <w:kern w:val="2"/>
          <w:sz w:val="28"/>
          <w:szCs w:val="28"/>
          <w:highlight w:val="none"/>
          <w:lang w:val="en-US" w:eastAsia="zh-CN" w:bidi="ar-SA"/>
        </w:rPr>
      </w:pPr>
      <w:r>
        <w:rPr>
          <w:rFonts w:hint="eastAsia" w:asciiTheme="minorEastAsia" w:hAnsiTheme="minorEastAsia" w:eastAsiaTheme="minorEastAsia" w:cstheme="minorEastAsia"/>
          <w:b/>
          <w:bCs/>
          <w:color w:val="auto"/>
          <w:kern w:val="2"/>
          <w:sz w:val="36"/>
          <w:szCs w:val="36"/>
          <w:highlight w:val="none"/>
          <w:lang w:val="en-US" w:eastAsia="zh-CN" w:bidi="ar-SA"/>
        </w:rPr>
        <w:t>件</w:t>
      </w:r>
    </w:p>
    <w:p>
      <w:pPr>
        <w:pStyle w:val="2"/>
        <w:ind w:firstLine="1205" w:firstLineChars="400"/>
        <w:rPr>
          <w:rFonts w:hint="eastAsia" w:asciiTheme="minorEastAsia" w:hAnsiTheme="minorEastAsia" w:eastAsiaTheme="minorEastAsia" w:cstheme="minorEastAsia"/>
          <w:b/>
          <w:bCs/>
          <w:color w:val="auto"/>
          <w:kern w:val="2"/>
          <w:sz w:val="30"/>
          <w:szCs w:val="30"/>
          <w:highlight w:val="none"/>
          <w:lang w:val="en-US" w:eastAsia="zh-CN" w:bidi="ar-SA"/>
        </w:rPr>
      </w:pPr>
    </w:p>
    <w:p>
      <w:pPr>
        <w:pStyle w:val="2"/>
        <w:ind w:firstLine="1205" w:firstLineChars="400"/>
        <w:rPr>
          <w:rFonts w:hint="eastAsia" w:asciiTheme="minorEastAsia" w:hAnsiTheme="minorEastAsia" w:eastAsiaTheme="minorEastAsia" w:cstheme="minorEastAsia"/>
          <w:b/>
          <w:bCs/>
          <w:color w:val="auto"/>
          <w:kern w:val="2"/>
          <w:sz w:val="30"/>
          <w:szCs w:val="30"/>
          <w:highlight w:val="none"/>
          <w:lang w:val="en-US" w:eastAsia="zh-CN" w:bidi="ar-SA"/>
        </w:rPr>
      </w:pPr>
    </w:p>
    <w:p>
      <w:pPr>
        <w:pStyle w:val="2"/>
        <w:ind w:firstLine="1205" w:firstLineChars="400"/>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color w:val="auto"/>
          <w:kern w:val="2"/>
          <w:sz w:val="30"/>
          <w:szCs w:val="30"/>
          <w:highlight w:val="none"/>
          <w:lang w:val="en-US" w:eastAsia="zh-CN" w:bidi="ar-SA"/>
        </w:rPr>
        <w:t>项目编号：</w:t>
      </w:r>
      <w:r>
        <w:rPr>
          <w:rFonts w:hint="eastAsia" w:asciiTheme="minorEastAsia" w:hAnsiTheme="minorEastAsia" w:eastAsiaTheme="minorEastAsia" w:cstheme="minorEastAsia"/>
          <w:b/>
          <w:bCs/>
          <w:sz w:val="30"/>
          <w:szCs w:val="30"/>
          <w:lang w:val="en-US" w:eastAsia="zh-CN"/>
        </w:rPr>
        <w:t>tlxyzb[2023] 058号</w:t>
      </w:r>
    </w:p>
    <w:p>
      <w:pPr>
        <w:pStyle w:val="2"/>
        <w:ind w:firstLine="1205" w:firstLineChars="400"/>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采购人：铜陵学院</w:t>
      </w:r>
    </w:p>
    <w:p>
      <w:pPr>
        <w:pStyle w:val="2"/>
        <w:ind w:firstLine="1205" w:firstLineChars="400"/>
        <w:rPr>
          <w:rFonts w:hint="eastAsia" w:asciiTheme="minorEastAsia" w:hAnsiTheme="minorEastAsia" w:eastAsiaTheme="minorEastAsia" w:cstheme="minorEastAsia"/>
          <w:b/>
          <w:bCs/>
          <w:sz w:val="30"/>
          <w:szCs w:val="30"/>
          <w:lang w:val="en-US" w:eastAsia="zh-CN"/>
        </w:rPr>
      </w:pPr>
    </w:p>
    <w:p>
      <w:pPr>
        <w:pStyle w:val="2"/>
        <w:ind w:firstLine="1205" w:firstLineChars="400"/>
        <w:rPr>
          <w:rFonts w:hint="eastAsia"/>
          <w:b/>
          <w:bCs/>
          <w:sz w:val="30"/>
          <w:szCs w:val="30"/>
          <w:lang w:val="en-US" w:eastAsia="zh-CN"/>
        </w:rPr>
      </w:pPr>
      <w:r>
        <w:rPr>
          <w:rFonts w:hint="eastAsia" w:asciiTheme="minorEastAsia" w:hAnsiTheme="minorEastAsia" w:eastAsiaTheme="minorEastAsia" w:cstheme="minorEastAsia"/>
          <w:b/>
          <w:bCs/>
          <w:sz w:val="30"/>
          <w:szCs w:val="30"/>
          <w:lang w:val="en-US" w:eastAsia="zh-CN"/>
        </w:rPr>
        <w:t>日期：2023年6月</w:t>
      </w:r>
    </w:p>
    <w:p>
      <w:pPr>
        <w:pStyle w:val="2"/>
        <w:ind w:firstLine="1205" w:firstLineChars="400"/>
        <w:rPr>
          <w:rFonts w:hint="eastAsia"/>
          <w:b/>
          <w:bCs/>
          <w:sz w:val="30"/>
          <w:szCs w:val="30"/>
          <w:lang w:val="en-US" w:eastAsia="zh-CN"/>
        </w:rPr>
      </w:pPr>
    </w:p>
    <w:p>
      <w:pPr>
        <w:pStyle w:val="2"/>
        <w:ind w:firstLine="1205" w:firstLineChars="400"/>
        <w:rPr>
          <w:rFonts w:hint="eastAsia"/>
          <w:b/>
          <w:bCs/>
          <w:sz w:val="30"/>
          <w:szCs w:val="30"/>
          <w:lang w:val="en-US" w:eastAsia="zh-CN"/>
        </w:rPr>
      </w:pPr>
    </w:p>
    <w:p>
      <w:pPr>
        <w:pStyle w:val="2"/>
        <w:ind w:firstLine="1205" w:firstLineChars="400"/>
        <w:rPr>
          <w:rFonts w:hint="default"/>
          <w:b/>
          <w:bCs/>
          <w:sz w:val="30"/>
          <w:szCs w:val="30"/>
          <w:lang w:val="en-US" w:eastAsia="zh-CN"/>
        </w:rPr>
      </w:pPr>
    </w:p>
    <w:p>
      <w:pPr>
        <w:ind w:firstLine="643" w:firstLineChars="200"/>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目录</w:t>
      </w:r>
    </w:p>
    <w:p>
      <w:pPr>
        <w:numPr>
          <w:ilvl w:val="0"/>
          <w:numId w:val="0"/>
        </w:numPr>
        <w:spacing w:line="360" w:lineRule="auto"/>
        <w:ind w:right="42" w:rightChars="20" w:firstLine="1400" w:firstLineChars="500"/>
        <w:jc w:val="left"/>
        <w:rPr>
          <w:rFonts w:ascii="宋体" w:hAnsi="宋体" w:cs="宋体"/>
          <w:color w:val="auto"/>
          <w:sz w:val="28"/>
          <w:szCs w:val="28"/>
          <w:highlight w:val="none"/>
        </w:rPr>
      </w:pPr>
      <w:r>
        <w:rPr>
          <w:rFonts w:hint="eastAsia" w:ascii="宋体" w:hAnsi="宋体" w:cs="宋体"/>
          <w:color w:val="auto"/>
          <w:sz w:val="28"/>
          <w:szCs w:val="28"/>
          <w:highlight w:val="none"/>
          <w:lang w:val="en-US" w:eastAsia="zh-CN"/>
        </w:rPr>
        <w:t xml:space="preserve">第一章  </w:t>
      </w:r>
      <w:r>
        <w:rPr>
          <w:rFonts w:hint="eastAsia" w:ascii="宋体" w:hAnsi="宋体" w:cs="宋体"/>
          <w:color w:val="auto"/>
          <w:sz w:val="28"/>
          <w:szCs w:val="28"/>
          <w:highlight w:val="none"/>
        </w:rPr>
        <w:t>询价公告</w:t>
      </w:r>
    </w:p>
    <w:p>
      <w:pPr>
        <w:numPr>
          <w:ilvl w:val="0"/>
          <w:numId w:val="0"/>
        </w:numPr>
        <w:spacing w:line="360" w:lineRule="auto"/>
        <w:ind w:right="42" w:rightChars="20" w:firstLine="1400" w:firstLineChars="500"/>
        <w:jc w:val="left"/>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第二章  询价响应供应商须知前附表</w:t>
      </w:r>
    </w:p>
    <w:p>
      <w:pPr>
        <w:numPr>
          <w:ilvl w:val="0"/>
          <w:numId w:val="0"/>
        </w:numPr>
        <w:spacing w:line="360" w:lineRule="auto"/>
        <w:ind w:right="42" w:rightChars="20" w:firstLine="1400" w:firstLineChars="500"/>
        <w:jc w:val="left"/>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第三章  询价须知</w:t>
      </w:r>
    </w:p>
    <w:p>
      <w:pPr>
        <w:numPr>
          <w:ilvl w:val="0"/>
          <w:numId w:val="0"/>
        </w:numPr>
        <w:spacing w:line="360" w:lineRule="auto"/>
        <w:ind w:right="42" w:rightChars="20" w:firstLine="2240" w:firstLineChars="800"/>
        <w:jc w:val="left"/>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（一）总则</w:t>
      </w:r>
    </w:p>
    <w:p>
      <w:pPr>
        <w:numPr>
          <w:ilvl w:val="0"/>
          <w:numId w:val="0"/>
        </w:numPr>
        <w:spacing w:line="360" w:lineRule="auto"/>
        <w:ind w:right="42" w:rightChars="20" w:firstLine="2240" w:firstLineChars="800"/>
        <w:jc w:val="left"/>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（二）询价文件</w:t>
      </w:r>
    </w:p>
    <w:p>
      <w:pPr>
        <w:numPr>
          <w:ilvl w:val="0"/>
          <w:numId w:val="0"/>
        </w:numPr>
        <w:spacing w:line="360" w:lineRule="auto"/>
        <w:ind w:right="42" w:rightChars="20" w:firstLine="2240" w:firstLineChars="800"/>
        <w:jc w:val="left"/>
        <w:rPr>
          <w:rFonts w:ascii="宋体" w:hAnsi="宋体" w:cs="宋体"/>
          <w:color w:val="auto"/>
          <w:sz w:val="28"/>
          <w:szCs w:val="28"/>
          <w:highlight w:val="none"/>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三</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供应商</w:t>
      </w:r>
    </w:p>
    <w:p>
      <w:pPr>
        <w:numPr>
          <w:ilvl w:val="0"/>
          <w:numId w:val="0"/>
        </w:numPr>
        <w:spacing w:line="360" w:lineRule="auto"/>
        <w:ind w:right="42" w:rightChars="20" w:firstLine="2240" w:firstLineChars="800"/>
        <w:jc w:val="left"/>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四</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询价文件的编制</w:t>
      </w:r>
    </w:p>
    <w:p>
      <w:pPr>
        <w:numPr>
          <w:ilvl w:val="0"/>
          <w:numId w:val="0"/>
        </w:numPr>
        <w:spacing w:line="360" w:lineRule="auto"/>
        <w:ind w:right="42" w:rightChars="20" w:firstLine="2240" w:firstLineChars="800"/>
        <w:jc w:val="left"/>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五</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询价文件的递交</w:t>
      </w:r>
    </w:p>
    <w:p>
      <w:pPr>
        <w:numPr>
          <w:ilvl w:val="0"/>
          <w:numId w:val="0"/>
        </w:numPr>
        <w:spacing w:line="360" w:lineRule="auto"/>
        <w:ind w:right="42" w:rightChars="20" w:firstLine="2240" w:firstLineChars="800"/>
        <w:jc w:val="left"/>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六</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开标现场</w:t>
      </w:r>
    </w:p>
    <w:p>
      <w:pPr>
        <w:numPr>
          <w:ilvl w:val="0"/>
          <w:numId w:val="0"/>
        </w:numPr>
        <w:spacing w:line="360" w:lineRule="auto"/>
        <w:ind w:right="42" w:rightChars="20" w:firstLine="2240" w:firstLineChars="800"/>
        <w:jc w:val="left"/>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七</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评审</w:t>
      </w:r>
    </w:p>
    <w:p>
      <w:pPr>
        <w:numPr>
          <w:ilvl w:val="0"/>
          <w:numId w:val="0"/>
        </w:numPr>
        <w:spacing w:line="360" w:lineRule="auto"/>
        <w:ind w:right="42" w:rightChars="20" w:firstLine="2240" w:firstLineChars="800"/>
        <w:jc w:val="left"/>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八</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废标</w:t>
      </w:r>
    </w:p>
    <w:p>
      <w:pPr>
        <w:numPr>
          <w:ilvl w:val="0"/>
          <w:numId w:val="0"/>
        </w:numPr>
        <w:spacing w:line="360" w:lineRule="auto"/>
        <w:ind w:right="42" w:rightChars="20" w:firstLine="2240" w:firstLineChars="800"/>
        <w:jc w:val="left"/>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九</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评标办法</w:t>
      </w:r>
    </w:p>
    <w:p>
      <w:pPr>
        <w:numPr>
          <w:ilvl w:val="0"/>
          <w:numId w:val="0"/>
        </w:numPr>
        <w:spacing w:line="360" w:lineRule="auto"/>
        <w:ind w:right="42" w:rightChars="20" w:firstLine="2240" w:firstLineChars="800"/>
        <w:jc w:val="left"/>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十</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合同的签订、履行及验收</w:t>
      </w:r>
    </w:p>
    <w:p>
      <w:pPr>
        <w:numPr>
          <w:ilvl w:val="0"/>
          <w:numId w:val="0"/>
        </w:numPr>
        <w:spacing w:line="360" w:lineRule="auto"/>
        <w:ind w:right="42" w:rightChars="20" w:firstLine="2240" w:firstLineChars="800"/>
        <w:jc w:val="left"/>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十一</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质疑</w:t>
      </w:r>
    </w:p>
    <w:p>
      <w:pPr>
        <w:numPr>
          <w:ilvl w:val="0"/>
          <w:numId w:val="0"/>
        </w:numPr>
        <w:spacing w:line="360" w:lineRule="auto"/>
        <w:ind w:right="42" w:rightChars="20" w:firstLine="1400" w:firstLineChars="500"/>
        <w:jc w:val="left"/>
        <w:rPr>
          <w:rFonts w:ascii="宋体" w:hAnsi="宋体" w:cs="宋体"/>
          <w:color w:val="auto"/>
          <w:sz w:val="28"/>
          <w:szCs w:val="28"/>
          <w:highlight w:val="none"/>
        </w:rPr>
      </w:pPr>
      <w:r>
        <w:rPr>
          <w:rFonts w:hint="eastAsia" w:ascii="宋体" w:hAnsi="宋体" w:cs="宋体"/>
          <w:color w:val="auto"/>
          <w:sz w:val="28"/>
          <w:szCs w:val="28"/>
          <w:highlight w:val="none"/>
          <w:lang w:val="en-US" w:eastAsia="zh-CN"/>
        </w:rPr>
        <w:t xml:space="preserve">第四章  </w:t>
      </w:r>
      <w:r>
        <w:rPr>
          <w:rFonts w:hint="eastAsia" w:ascii="宋体" w:hAnsi="宋体" w:cs="宋体"/>
          <w:color w:val="auto"/>
          <w:sz w:val="28"/>
          <w:szCs w:val="28"/>
          <w:highlight w:val="none"/>
        </w:rPr>
        <w:t>项目需求</w:t>
      </w:r>
    </w:p>
    <w:p>
      <w:pPr>
        <w:numPr>
          <w:ilvl w:val="0"/>
          <w:numId w:val="0"/>
        </w:numPr>
        <w:spacing w:line="360" w:lineRule="auto"/>
        <w:ind w:right="42" w:rightChars="20" w:firstLine="1400" w:firstLineChars="500"/>
        <w:jc w:val="left"/>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 xml:space="preserve">第五章  </w:t>
      </w:r>
      <w:r>
        <w:rPr>
          <w:rFonts w:hint="eastAsia" w:ascii="宋体" w:hAnsi="宋体" w:cs="宋体"/>
          <w:color w:val="auto"/>
          <w:sz w:val="28"/>
          <w:szCs w:val="28"/>
          <w:highlight w:val="none"/>
        </w:rPr>
        <w:t>项目合同</w:t>
      </w:r>
    </w:p>
    <w:p>
      <w:pPr>
        <w:numPr>
          <w:ilvl w:val="0"/>
          <w:numId w:val="0"/>
        </w:numPr>
        <w:spacing w:line="360" w:lineRule="auto"/>
        <w:ind w:right="42" w:rightChars="20" w:firstLine="1400" w:firstLineChars="500"/>
        <w:jc w:val="left"/>
        <w:rPr>
          <w:rFonts w:ascii="宋体" w:hAnsi="宋体" w:cs="宋体"/>
          <w:color w:val="auto"/>
          <w:sz w:val="28"/>
          <w:szCs w:val="28"/>
          <w:highlight w:val="none"/>
        </w:rPr>
      </w:pPr>
      <w:r>
        <w:rPr>
          <w:rFonts w:hint="eastAsia" w:ascii="宋体" w:hAnsi="宋体" w:cs="宋体"/>
          <w:color w:val="auto"/>
          <w:sz w:val="28"/>
          <w:szCs w:val="28"/>
          <w:highlight w:val="none"/>
        </w:rPr>
        <w:t>第六章</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询价响应书格式</w:t>
      </w:r>
    </w:p>
    <w:p>
      <w:pPr>
        <w:spacing w:line="360" w:lineRule="auto"/>
        <w:ind w:right="42" w:rightChars="20" w:firstLine="2240" w:firstLineChars="800"/>
        <w:jc w:val="left"/>
        <w:rPr>
          <w:rFonts w:ascii="宋体" w:hAnsi="宋体" w:cs="宋体"/>
          <w:color w:val="auto"/>
          <w:sz w:val="28"/>
          <w:szCs w:val="28"/>
          <w:highlight w:val="none"/>
        </w:rPr>
      </w:pPr>
      <w:r>
        <w:rPr>
          <w:rFonts w:hint="eastAsia" w:ascii="宋体" w:hAnsi="宋体" w:cs="宋体"/>
          <w:color w:val="auto"/>
          <w:sz w:val="28"/>
          <w:szCs w:val="28"/>
          <w:highlight w:val="none"/>
        </w:rPr>
        <w:t>（一）资格、技术及商务部分</w:t>
      </w:r>
    </w:p>
    <w:p>
      <w:pPr>
        <w:spacing w:line="360" w:lineRule="auto"/>
        <w:ind w:right="42" w:rightChars="20" w:firstLine="2240" w:firstLineChars="800"/>
        <w:jc w:val="left"/>
        <w:rPr>
          <w:rFonts w:ascii="宋体" w:hAnsi="宋体" w:cs="宋体"/>
          <w:color w:val="auto"/>
          <w:sz w:val="28"/>
          <w:szCs w:val="28"/>
          <w:highlight w:val="none"/>
        </w:rPr>
      </w:pPr>
      <w:r>
        <w:rPr>
          <w:rFonts w:hint="eastAsia" w:ascii="宋体" w:hAnsi="宋体" w:cs="宋体"/>
          <w:color w:val="auto"/>
          <w:sz w:val="28"/>
          <w:szCs w:val="28"/>
          <w:highlight w:val="none"/>
        </w:rPr>
        <w:t>（二）报价部分</w:t>
      </w:r>
    </w:p>
    <w:p>
      <w:pPr>
        <w:ind w:right="42" w:rightChars="20" w:firstLine="602" w:firstLineChars="200"/>
        <w:jc w:val="center"/>
        <w:rPr>
          <w:rFonts w:ascii="宋体" w:hAnsi="宋体" w:cs="宋体"/>
          <w:b/>
          <w:bCs/>
          <w:color w:val="auto"/>
          <w:sz w:val="30"/>
          <w:szCs w:val="30"/>
          <w:highlight w:val="none"/>
        </w:rPr>
      </w:pPr>
    </w:p>
    <w:p>
      <w:pPr>
        <w:pStyle w:val="3"/>
        <w:tabs>
          <w:tab w:val="left" w:pos="0"/>
          <w:tab w:val="left" w:pos="3165"/>
          <w:tab w:val="center" w:pos="4153"/>
        </w:tabs>
        <w:autoSpaceDE w:val="0"/>
        <w:autoSpaceDN w:val="0"/>
        <w:adjustRightIn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36"/>
          <w:sz w:val="28"/>
          <w:szCs w:val="28"/>
          <w:highlight w:val="none"/>
        </w:rPr>
        <w:t>第一章</w:t>
      </w:r>
      <w:bookmarkStart w:id="0" w:name="_Toc35393789"/>
      <w:bookmarkStart w:id="1" w:name="_Toc28359001"/>
      <w:r>
        <w:rPr>
          <w:rFonts w:hint="eastAsia" w:ascii="宋体" w:hAnsi="宋体" w:eastAsia="宋体" w:cs="宋体"/>
          <w:b/>
          <w:bCs/>
          <w:color w:val="auto"/>
          <w:kern w:val="36"/>
          <w:sz w:val="28"/>
          <w:szCs w:val="28"/>
          <w:highlight w:val="none"/>
        </w:rPr>
        <w:t xml:space="preserve">   询价公告</w:t>
      </w:r>
      <w:bookmarkEnd w:id="0"/>
      <w:bookmarkEnd w:id="1"/>
      <w:bookmarkStart w:id="2" w:name="_Hlk24379207"/>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一、项目基本情况</w:t>
      </w:r>
    </w:p>
    <w:p>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项目编号：</w:t>
      </w:r>
      <w:r>
        <w:rPr>
          <w:rFonts w:hint="eastAsia" w:ascii="宋体" w:hAnsi="宋体" w:cs="宋体"/>
          <w:color w:val="auto"/>
          <w:sz w:val="24"/>
          <w:szCs w:val="24"/>
          <w:highlight w:val="none"/>
          <w:lang w:val="en-US" w:eastAsia="zh-CN"/>
        </w:rPr>
        <w:t>tlxyzb[2023]058号</w:t>
      </w:r>
    </w:p>
    <w:p>
      <w:pPr>
        <w:spacing w:line="360" w:lineRule="auto"/>
        <w:ind w:firstLine="480" w:firstLineChars="200"/>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铜陵学院2023～202</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学年度日常电气类维修材料采购</w:t>
      </w:r>
      <w:bookmarkEnd w:id="2"/>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采购方式：询价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r>
        <w:rPr>
          <w:rFonts w:hint="eastAsia" w:ascii="宋体" w:hAnsi="宋体" w:cs="宋体"/>
          <w:color w:val="auto"/>
          <w:sz w:val="24"/>
          <w:szCs w:val="24"/>
          <w:highlight w:val="none"/>
          <w:lang w:val="en-US" w:eastAsia="zh-CN"/>
        </w:rPr>
        <w:t>9.8</w:t>
      </w:r>
      <w:r>
        <w:rPr>
          <w:rFonts w:hint="eastAsia" w:ascii="宋体" w:hAnsi="宋体" w:eastAsia="宋体" w:cs="宋体"/>
          <w:color w:val="auto"/>
          <w:sz w:val="24"/>
          <w:szCs w:val="24"/>
          <w:highlight w:val="none"/>
        </w:rPr>
        <w:t>万元</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采购需求：</w:t>
      </w:r>
      <w:r>
        <w:rPr>
          <w:rFonts w:hint="eastAsia" w:ascii="宋体" w:hAnsi="宋体" w:cs="宋体"/>
          <w:color w:val="auto"/>
          <w:sz w:val="24"/>
          <w:szCs w:val="24"/>
          <w:highlight w:val="none"/>
          <w:lang w:eastAsia="zh-CN"/>
        </w:rPr>
        <w:t>铜陵学院2023～202</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学年度日常电气类维修材料采购</w:t>
      </w:r>
      <w:r>
        <w:rPr>
          <w:rFonts w:hint="eastAsia" w:ascii="宋体" w:hAnsi="宋体" w:eastAsia="宋体" w:cs="宋体"/>
          <w:color w:val="auto"/>
          <w:sz w:val="24"/>
          <w:szCs w:val="24"/>
          <w:highlight w:val="none"/>
        </w:rPr>
        <w:t>，拟采购</w:t>
      </w:r>
      <w:r>
        <w:rPr>
          <w:rFonts w:hint="eastAsia" w:ascii="宋体" w:hAnsi="宋体"/>
          <w:color w:val="000000"/>
          <w:sz w:val="24"/>
        </w:rPr>
        <w:t>T8</w:t>
      </w:r>
      <w:r>
        <w:rPr>
          <w:rFonts w:hint="eastAsia" w:ascii="宋体" w:hAnsi="宋体"/>
          <w:color w:val="000000"/>
          <w:sz w:val="24"/>
          <w:lang w:val="en-US" w:eastAsia="zh-CN"/>
        </w:rPr>
        <w:t xml:space="preserve"> </w:t>
      </w:r>
      <w:r>
        <w:rPr>
          <w:rFonts w:hint="eastAsia" w:ascii="宋体" w:hAnsi="宋体"/>
          <w:color w:val="000000"/>
          <w:sz w:val="24"/>
        </w:rPr>
        <w:t>16wLED灯管</w:t>
      </w:r>
      <w:r>
        <w:rPr>
          <w:rFonts w:hint="eastAsia" w:ascii="宋体" w:hAnsi="宋体"/>
          <w:color w:val="000000"/>
          <w:sz w:val="24"/>
          <w:lang w:val="en-US" w:eastAsia="zh-CN"/>
        </w:rPr>
        <w:t>1</w:t>
      </w:r>
      <w:r>
        <w:rPr>
          <w:rFonts w:hint="eastAsia" w:ascii="宋体" w:hAnsi="宋体" w:eastAsia="宋体" w:cs="宋体"/>
          <w:color w:val="auto"/>
          <w:sz w:val="24"/>
          <w:szCs w:val="24"/>
          <w:highlight w:val="none"/>
        </w:rPr>
        <w:t>500</w:t>
      </w:r>
      <w:r>
        <w:rPr>
          <w:rFonts w:hint="eastAsia" w:ascii="宋体" w:hAnsi="宋体" w:cs="宋体"/>
          <w:color w:val="auto"/>
          <w:sz w:val="24"/>
          <w:szCs w:val="24"/>
          <w:highlight w:val="none"/>
          <w:lang w:val="en-US" w:eastAsia="zh-CN"/>
        </w:rPr>
        <w:t>个</w:t>
      </w:r>
      <w:r>
        <w:rPr>
          <w:rFonts w:hint="eastAsia" w:ascii="宋体" w:hAnsi="宋体" w:eastAsia="宋体" w:cs="宋体"/>
          <w:color w:val="auto"/>
          <w:sz w:val="24"/>
          <w:szCs w:val="24"/>
          <w:highlight w:val="none"/>
        </w:rPr>
        <w:t>、</w:t>
      </w:r>
      <w:r>
        <w:rPr>
          <w:rFonts w:hint="eastAsia" w:ascii="宋体" w:hAnsi="宋体"/>
          <w:color w:val="000000"/>
          <w:sz w:val="24"/>
        </w:rPr>
        <w:t>T</w:t>
      </w:r>
      <w:r>
        <w:rPr>
          <w:rFonts w:hint="eastAsia" w:ascii="宋体" w:hAnsi="宋体"/>
          <w:color w:val="000000"/>
          <w:sz w:val="24"/>
          <w:lang w:val="en-US" w:eastAsia="zh-CN"/>
        </w:rPr>
        <w:t xml:space="preserve">5 </w:t>
      </w:r>
      <w:r>
        <w:rPr>
          <w:rFonts w:hint="eastAsia" w:ascii="宋体" w:hAnsi="宋体"/>
          <w:color w:val="000000"/>
          <w:sz w:val="24"/>
        </w:rPr>
        <w:t>16w</w:t>
      </w:r>
      <w:r>
        <w:rPr>
          <w:rFonts w:hint="eastAsia" w:ascii="宋体" w:hAnsi="宋体" w:eastAsia="宋体" w:cs="宋体"/>
          <w:color w:val="auto"/>
          <w:sz w:val="24"/>
          <w:szCs w:val="24"/>
          <w:highlight w:val="none"/>
        </w:rPr>
        <w:t>LED灯管</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000个</w:t>
      </w:r>
      <w:r>
        <w:rPr>
          <w:rFonts w:hint="eastAsia" w:ascii="宋体" w:hAnsi="宋体" w:cs="宋体"/>
          <w:color w:val="auto"/>
          <w:sz w:val="24"/>
          <w:szCs w:val="24"/>
          <w:highlight w:val="none"/>
          <w:lang w:eastAsia="zh-CN"/>
        </w:rPr>
        <w:t>、</w:t>
      </w:r>
      <w:r>
        <w:rPr>
          <w:rFonts w:hint="eastAsia" w:ascii="宋体" w:hAnsi="宋体"/>
          <w:color w:val="000000"/>
          <w:sz w:val="24"/>
        </w:rPr>
        <w:t>LED一体支架（含光源）</w:t>
      </w:r>
      <w:r>
        <w:rPr>
          <w:rFonts w:hint="eastAsia" w:ascii="宋体" w:hAnsi="宋体"/>
          <w:color w:val="000000"/>
          <w:sz w:val="24"/>
          <w:lang w:eastAsia="zh-CN"/>
        </w:rPr>
        <w:t>、灯头、断路器、开关</w:t>
      </w:r>
      <w:r>
        <w:rPr>
          <w:rFonts w:hint="eastAsia" w:ascii="宋体" w:hAnsi="宋体" w:eastAsia="宋体" w:cs="宋体"/>
          <w:color w:val="auto"/>
          <w:sz w:val="24"/>
          <w:szCs w:val="24"/>
          <w:highlight w:val="none"/>
        </w:rPr>
        <w:t>等，具体内容详见</w:t>
      </w:r>
      <w:r>
        <w:rPr>
          <w:rFonts w:hint="eastAsia" w:ascii="宋体" w:hAnsi="宋体" w:cs="宋体"/>
          <w:color w:val="auto"/>
          <w:sz w:val="24"/>
          <w:szCs w:val="24"/>
          <w:highlight w:val="none"/>
          <w:lang w:val="en-US" w:eastAsia="zh-CN"/>
        </w:rPr>
        <w:t>项目需求</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合同履行期限：</w:t>
      </w:r>
      <w:r>
        <w:rPr>
          <w:rFonts w:hint="eastAsia" w:ascii="宋体" w:hAnsi="宋体" w:cs="宋体"/>
          <w:color w:val="auto"/>
          <w:sz w:val="24"/>
          <w:szCs w:val="24"/>
          <w:highlight w:val="none"/>
          <w:lang w:eastAsia="zh-CN"/>
        </w:rPr>
        <w:t>2023</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月--202</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月期间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标段（包别）划分：</w:t>
      </w: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个标段</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本项目不接受联合体投标。</w:t>
      </w:r>
      <w:bookmarkStart w:id="3" w:name="_Toc28359003"/>
      <w:bookmarkStart w:id="4" w:name="_Toc35393622"/>
      <w:bookmarkStart w:id="5" w:name="_Toc28359080"/>
      <w:bookmarkStart w:id="6" w:name="_Toc35393791"/>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二、申请人的资格要求</w:t>
      </w:r>
      <w:bookmarkEnd w:id="3"/>
      <w:bookmarkEnd w:id="4"/>
      <w:bookmarkEnd w:id="5"/>
      <w:bookmarkEnd w:id="6"/>
    </w:p>
    <w:p>
      <w:pPr>
        <w:widowControl/>
        <w:shd w:val="clear" w:color="auto" w:fill="FFFFFF"/>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1.供应商必须具备独立法人营业资格或工商注册的个体工商户且满足《中华人民共和国政府采购法》相关规定；</w:t>
      </w:r>
    </w:p>
    <w:p>
      <w:pPr>
        <w:widowControl/>
        <w:shd w:val="clear" w:color="auto" w:fill="FFFFFF"/>
        <w:spacing w:line="360" w:lineRule="auto"/>
        <w:ind w:firstLine="480" w:firstLineChars="200"/>
        <w:rPr>
          <w:rFonts w:hint="eastAsia" w:ascii="宋体" w:hAnsi="宋体" w:eastAsia="宋体" w:cs="宋体"/>
          <w:color w:val="auto"/>
          <w:sz w:val="24"/>
          <w:szCs w:val="24"/>
          <w:highlight w:val="none"/>
        </w:rPr>
      </w:pPr>
      <w:bookmarkStart w:id="7" w:name="_Toc28359081"/>
      <w:bookmarkStart w:id="8" w:name="_Toc28359004"/>
      <w:r>
        <w:rPr>
          <w:rFonts w:hint="eastAsia" w:ascii="宋体" w:hAnsi="宋体" w:eastAsia="宋体" w:cs="宋体"/>
          <w:color w:val="auto"/>
          <w:sz w:val="24"/>
          <w:szCs w:val="24"/>
          <w:highlight w:val="none"/>
        </w:rPr>
        <w:t>2．供应商存在以下不良信用记录情形之一的，不得推荐为成交候选人，不得确定为成交供应商：</w:t>
      </w:r>
    </w:p>
    <w:p>
      <w:pPr>
        <w:widowControl/>
        <w:shd w:val="clear" w:color="auto" w:fill="FFFFFF"/>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(1）供应商被人民法院列入失信被执行人的；</w:t>
      </w:r>
    </w:p>
    <w:p>
      <w:pPr>
        <w:widowControl/>
        <w:shd w:val="clear" w:color="auto" w:fill="FFFFFF"/>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(2）供应商或其法定代表人近三年内被人民检察院列入行贿犯罪档案的；</w:t>
      </w:r>
    </w:p>
    <w:p>
      <w:pPr>
        <w:widowControl/>
        <w:shd w:val="clear" w:color="auto" w:fill="FFFFFF"/>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(3）供应商被工商行政管理部门列入企业经营异常名录的；</w:t>
      </w:r>
    </w:p>
    <w:p>
      <w:pPr>
        <w:widowControl/>
        <w:shd w:val="clear" w:color="auto" w:fill="FFFFFF"/>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(4）供应商被税务部门列入重大税收违法案件当事人名单的；</w:t>
      </w:r>
    </w:p>
    <w:p>
      <w:pPr>
        <w:spacing w:line="360" w:lineRule="auto"/>
        <w:ind w:left="479" w:leftChars="228"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(5）供应商被政府采购监管部门列入政府采购严重违法失信行为记录名单</w:t>
      </w:r>
      <w:bookmarkStart w:id="9" w:name="_Toc35393792"/>
      <w:bookmarkStart w:id="10" w:name="_Toc35393623"/>
    </w:p>
    <w:p>
      <w:pPr>
        <w:spacing w:line="360" w:lineRule="auto"/>
        <w:ind w:left="479" w:leftChars="228" w:firstLine="0" w:firstLineChars="0"/>
        <w:rPr>
          <w:rFonts w:hint="eastAsia" w:ascii="宋体" w:hAnsi="宋体" w:cs="宋体"/>
          <w:kern w:val="0"/>
          <w:sz w:val="24"/>
          <w:highlight w:val="none"/>
          <w:lang w:val="zh-CN"/>
        </w:rPr>
      </w:pPr>
      <w:r>
        <w:rPr>
          <w:rFonts w:hint="eastAsia" w:ascii="宋体" w:hAnsi="宋体" w:cs="宋体"/>
          <w:kern w:val="0"/>
          <w:sz w:val="24"/>
          <w:highlight w:val="none"/>
          <w:lang w:val="zh-CN"/>
        </w:rPr>
        <w:t>（</w:t>
      </w:r>
      <w:r>
        <w:rPr>
          <w:rFonts w:hint="eastAsia" w:ascii="宋体" w:hAnsi="宋体" w:cs="宋体"/>
          <w:kern w:val="0"/>
          <w:sz w:val="24"/>
          <w:highlight w:val="none"/>
        </w:rPr>
        <w:t>6</w:t>
      </w:r>
      <w:r>
        <w:rPr>
          <w:rFonts w:hint="eastAsia" w:ascii="宋体" w:hAnsi="宋体" w:cs="宋体"/>
          <w:kern w:val="0"/>
          <w:sz w:val="24"/>
          <w:highlight w:val="none"/>
          <w:lang w:val="zh-CN"/>
        </w:rPr>
        <w:t>）被铜陵市公共资源交易监管部门记录的不良行为累计分值在 10 分（含）-15 分（不含），且最近一次不良行为记录公布日距开标日未超过 3 个月；</w:t>
      </w:r>
    </w:p>
    <w:p>
      <w:pPr>
        <w:widowControl/>
        <w:shd w:val="clear" w:color="auto" w:fill="FFFFFF"/>
        <w:spacing w:line="360" w:lineRule="auto"/>
        <w:ind w:firstLine="480" w:firstLineChars="200"/>
        <w:rPr>
          <w:rFonts w:hint="eastAsia" w:ascii="宋体" w:hAnsi="宋体" w:cs="宋体"/>
          <w:kern w:val="0"/>
          <w:sz w:val="24"/>
          <w:highlight w:val="none"/>
          <w:lang w:val="zh-CN"/>
        </w:rPr>
      </w:pPr>
      <w:r>
        <w:rPr>
          <w:rFonts w:hint="eastAsia" w:ascii="宋体" w:hAnsi="宋体" w:cs="宋体"/>
          <w:kern w:val="0"/>
          <w:sz w:val="24"/>
          <w:highlight w:val="none"/>
          <w:lang w:val="zh-CN"/>
        </w:rPr>
        <w:t>（</w:t>
      </w:r>
      <w:r>
        <w:rPr>
          <w:rFonts w:hint="eastAsia" w:ascii="宋体" w:hAnsi="宋体" w:cs="宋体"/>
          <w:kern w:val="0"/>
          <w:sz w:val="24"/>
          <w:highlight w:val="none"/>
        </w:rPr>
        <w:t>7</w:t>
      </w:r>
      <w:r>
        <w:rPr>
          <w:rFonts w:hint="eastAsia" w:ascii="宋体" w:hAnsi="宋体" w:cs="宋体"/>
          <w:kern w:val="0"/>
          <w:sz w:val="24"/>
          <w:highlight w:val="none"/>
          <w:lang w:val="zh-CN"/>
        </w:rPr>
        <w:t>）被铜陵市公共资源交易监管部门记不良行为记录累计分值在 15 分（含）-20 分（不含），且最近一次不良行为记录公布日距开标日未超过 6 个月；</w:t>
      </w:r>
    </w:p>
    <w:p>
      <w:pPr>
        <w:widowControl/>
        <w:shd w:val="clear" w:color="auto" w:fill="FFFFFF"/>
        <w:spacing w:line="360" w:lineRule="auto"/>
        <w:ind w:firstLine="480" w:firstLineChars="200"/>
        <w:rPr>
          <w:rFonts w:hint="eastAsia"/>
        </w:rPr>
      </w:pPr>
      <w:r>
        <w:rPr>
          <w:rFonts w:hint="eastAsia" w:ascii="宋体" w:hAnsi="宋体" w:cs="宋体"/>
          <w:kern w:val="0"/>
          <w:sz w:val="24"/>
          <w:highlight w:val="none"/>
          <w:lang w:val="zh-CN"/>
        </w:rPr>
        <w:t>（</w:t>
      </w:r>
      <w:r>
        <w:rPr>
          <w:rFonts w:hint="eastAsia" w:ascii="宋体" w:hAnsi="宋体" w:cs="宋体"/>
          <w:kern w:val="0"/>
          <w:sz w:val="24"/>
          <w:highlight w:val="none"/>
        </w:rPr>
        <w:t>8</w:t>
      </w:r>
      <w:r>
        <w:rPr>
          <w:rFonts w:hint="eastAsia" w:ascii="宋体" w:hAnsi="宋体" w:cs="宋体"/>
          <w:kern w:val="0"/>
          <w:sz w:val="24"/>
          <w:highlight w:val="none"/>
          <w:lang w:val="zh-CN"/>
        </w:rPr>
        <w:t>）被铜陵市公共资源交易监管部门记不良行为记录累计分值达 20</w:t>
      </w:r>
      <w:r>
        <w:rPr>
          <w:rFonts w:hint="eastAsia" w:ascii="宋体" w:hAnsi="宋体" w:cs="宋体"/>
          <w:kern w:val="0"/>
          <w:sz w:val="24"/>
          <w:highlight w:val="none"/>
        </w:rPr>
        <w:t xml:space="preserve"> </w:t>
      </w:r>
      <w:r>
        <w:rPr>
          <w:rFonts w:hint="eastAsia" w:ascii="宋体" w:hAnsi="宋体" w:cs="宋体"/>
          <w:kern w:val="0"/>
          <w:sz w:val="24"/>
          <w:highlight w:val="none"/>
          <w:lang w:val="zh-CN"/>
        </w:rPr>
        <w:t>分（含）以上，且最近一次不良行为记录公布日距开标日未超过 12 个月。</w:t>
      </w:r>
    </w:p>
    <w:p>
      <w:pPr>
        <w:spacing w:line="360" w:lineRule="auto"/>
        <w:ind w:firstLine="480" w:firstLineChars="200"/>
        <w:rPr>
          <w:rFonts w:hint="eastAsia" w:ascii="宋体" w:hAnsi="宋体" w:eastAsia="宋体" w:cs="宋体"/>
          <w:i/>
          <w:iCs/>
          <w:color w:val="auto"/>
          <w:sz w:val="24"/>
          <w:szCs w:val="24"/>
          <w:highlight w:val="none"/>
          <w:u w:val="single"/>
        </w:rPr>
      </w:pPr>
      <w:r>
        <w:rPr>
          <w:rFonts w:hint="eastAsia" w:ascii="宋体" w:hAnsi="宋体" w:eastAsia="宋体" w:cs="宋体"/>
          <w:bCs/>
          <w:color w:val="auto"/>
          <w:sz w:val="24"/>
          <w:szCs w:val="24"/>
          <w:highlight w:val="none"/>
        </w:rPr>
        <w:t>三、获取采购文件</w:t>
      </w:r>
      <w:bookmarkEnd w:id="7"/>
      <w:bookmarkEnd w:id="8"/>
      <w:bookmarkEnd w:id="9"/>
      <w:bookmarkEnd w:id="10"/>
    </w:p>
    <w:p>
      <w:pPr>
        <w:widowControl/>
        <w:shd w:val="clear" w:color="auto" w:fill="FFFFFF"/>
        <w:spacing w:line="360" w:lineRule="auto"/>
        <w:ind w:firstLine="480"/>
        <w:jc w:val="left"/>
        <w:rPr>
          <w:rFonts w:hint="eastAsia" w:ascii="宋体" w:hAnsi="宋体" w:eastAsia="宋体" w:cs="宋体"/>
          <w:b/>
          <w:color w:val="auto"/>
          <w:kern w:val="0"/>
          <w:sz w:val="24"/>
          <w:szCs w:val="24"/>
          <w:highlight w:val="none"/>
          <w:shd w:val="clear" w:color="auto" w:fill="FFFFFF"/>
        </w:rPr>
      </w:pPr>
      <w:r>
        <w:rPr>
          <w:rFonts w:hint="eastAsia" w:ascii="宋体" w:hAnsi="宋体" w:eastAsia="宋体" w:cs="宋体"/>
          <w:color w:val="auto"/>
          <w:sz w:val="24"/>
          <w:szCs w:val="24"/>
          <w:highlight w:val="none"/>
        </w:rPr>
        <w:t>凡有意参加投标</w:t>
      </w:r>
      <w:r>
        <w:rPr>
          <w:rFonts w:hint="eastAsia" w:ascii="宋体" w:hAnsi="宋体" w:cs="宋体"/>
          <w:color w:val="auto"/>
          <w:sz w:val="24"/>
          <w:szCs w:val="24"/>
          <w:highlight w:val="none"/>
          <w:lang w:eastAsia="zh-CN"/>
        </w:rPr>
        <w:t>人</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自行在铜陵学院网站（</w:t>
      </w:r>
      <w:r>
        <w:rPr>
          <w:rFonts w:hint="eastAsia" w:ascii="宋体" w:hAnsi="宋体" w:cs="宋体"/>
          <w:color w:val="auto"/>
          <w:sz w:val="24"/>
          <w:szCs w:val="24"/>
          <w:highlight w:val="none"/>
          <w:lang w:val="en-US" w:eastAsia="zh-CN"/>
        </w:rPr>
        <w:t>www.tlu.edu.cn）</w:t>
      </w:r>
      <w:r>
        <w:rPr>
          <w:rFonts w:hint="eastAsia" w:ascii="宋体" w:hAnsi="宋体" w:cs="宋体"/>
          <w:color w:val="auto"/>
          <w:sz w:val="24"/>
          <w:szCs w:val="24"/>
          <w:highlight w:val="none"/>
          <w:lang w:eastAsia="zh-CN"/>
        </w:rPr>
        <w:t>下载</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bookmarkStart w:id="11" w:name="_Toc35393624"/>
      <w:bookmarkStart w:id="12" w:name="_Toc35393793"/>
      <w:bookmarkStart w:id="13" w:name="_Toc28359082"/>
      <w:bookmarkStart w:id="14" w:name="_Toc28359005"/>
      <w:r>
        <w:rPr>
          <w:rFonts w:hint="eastAsia" w:ascii="宋体" w:hAnsi="宋体" w:eastAsia="宋体" w:cs="宋体"/>
          <w:bCs/>
          <w:color w:val="auto"/>
          <w:sz w:val="24"/>
          <w:szCs w:val="24"/>
          <w:highlight w:val="none"/>
        </w:rPr>
        <w:t>四、</w:t>
      </w:r>
      <w:bookmarkEnd w:id="11"/>
      <w:bookmarkEnd w:id="12"/>
      <w:bookmarkEnd w:id="13"/>
      <w:bookmarkEnd w:id="14"/>
      <w:r>
        <w:rPr>
          <w:rFonts w:hint="eastAsia" w:ascii="宋体" w:hAnsi="宋体" w:eastAsia="宋体" w:cs="宋体"/>
          <w:bCs/>
          <w:color w:val="auto"/>
          <w:sz w:val="24"/>
          <w:szCs w:val="24"/>
          <w:highlight w:val="none"/>
        </w:rPr>
        <w:t>响应文件提交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提交响应文件截止时间：</w:t>
      </w:r>
      <w:bookmarkStart w:id="15" w:name="_Toc28359007"/>
      <w:bookmarkStart w:id="16" w:name="_Toc35393625"/>
      <w:bookmarkStart w:id="17" w:name="_Toc35393794"/>
      <w:bookmarkStart w:id="18" w:name="_Toc28359084"/>
      <w:r>
        <w:rPr>
          <w:rFonts w:hint="eastAsia" w:ascii="宋体" w:hAnsi="宋体" w:cs="宋体"/>
          <w:color w:val="auto"/>
          <w:sz w:val="24"/>
          <w:szCs w:val="24"/>
          <w:highlight w:val="none"/>
          <w:lang w:eastAsia="zh-CN"/>
        </w:rPr>
        <w:t>2023</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06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时</w:t>
      </w:r>
      <w:r>
        <w:rPr>
          <w:rFonts w:hint="eastAsia" w:ascii="宋体" w:hAnsi="宋体" w:cs="宋体"/>
          <w:color w:val="auto"/>
          <w:sz w:val="24"/>
          <w:szCs w:val="24"/>
          <w:highlight w:val="none"/>
          <w:lang w:val="en-US" w:eastAsia="zh-CN"/>
        </w:rPr>
        <w:t>00</w:t>
      </w:r>
      <w:r>
        <w:rPr>
          <w:rFonts w:hint="eastAsia" w:ascii="宋体" w:hAnsi="宋体" w:eastAsia="宋体" w:cs="宋体"/>
          <w:color w:val="auto"/>
          <w:sz w:val="24"/>
          <w:szCs w:val="24"/>
          <w:highlight w:val="none"/>
        </w:rPr>
        <w:t>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bCs/>
          <w:kern w:val="0"/>
          <w:sz w:val="24"/>
          <w:szCs w:val="24"/>
          <w:highlight w:val="yellow"/>
        </w:rPr>
        <w:t>（因</w:t>
      </w:r>
      <w:r>
        <w:rPr>
          <w:rFonts w:hint="eastAsia" w:ascii="宋体" w:hAnsi="宋体" w:cs="宋体"/>
          <w:bCs/>
          <w:kern w:val="0"/>
          <w:sz w:val="24"/>
          <w:szCs w:val="24"/>
          <w:highlight w:val="yellow"/>
          <w:lang w:eastAsia="zh-CN"/>
        </w:rPr>
        <w:t>校园管控</w:t>
      </w:r>
      <w:r>
        <w:rPr>
          <w:rFonts w:hint="eastAsia" w:ascii="宋体" w:hAnsi="宋体" w:cs="宋体"/>
          <w:bCs/>
          <w:kern w:val="0"/>
          <w:sz w:val="24"/>
          <w:szCs w:val="24"/>
          <w:highlight w:val="yellow"/>
        </w:rPr>
        <w:t>要求，请投标人在</w:t>
      </w:r>
      <w:r>
        <w:rPr>
          <w:rFonts w:hint="eastAsia" w:ascii="宋体" w:hAnsi="宋体" w:cs="宋体"/>
          <w:bCs/>
          <w:kern w:val="0"/>
          <w:sz w:val="24"/>
          <w:szCs w:val="24"/>
          <w:highlight w:val="yellow"/>
          <w:lang w:eastAsia="zh-CN"/>
        </w:rPr>
        <w:t>2023</w:t>
      </w:r>
      <w:r>
        <w:rPr>
          <w:rFonts w:hint="eastAsia" w:ascii="宋体" w:hAnsi="宋体" w:cs="宋体"/>
          <w:bCs/>
          <w:kern w:val="0"/>
          <w:sz w:val="24"/>
          <w:szCs w:val="24"/>
          <w:highlight w:val="yellow"/>
        </w:rPr>
        <w:t>年</w:t>
      </w:r>
      <w:r>
        <w:rPr>
          <w:rFonts w:hint="eastAsia" w:ascii="宋体" w:hAnsi="宋体" w:cs="宋体"/>
          <w:bCs/>
          <w:kern w:val="0"/>
          <w:sz w:val="24"/>
          <w:szCs w:val="24"/>
          <w:highlight w:val="yellow"/>
          <w:lang w:val="en-US" w:eastAsia="zh-CN"/>
        </w:rPr>
        <w:t>6</w:t>
      </w:r>
      <w:r>
        <w:rPr>
          <w:rFonts w:hint="eastAsia" w:ascii="宋体" w:hAnsi="宋体" w:cs="宋体"/>
          <w:bCs/>
          <w:kern w:val="0"/>
          <w:sz w:val="24"/>
          <w:szCs w:val="24"/>
          <w:highlight w:val="yellow"/>
        </w:rPr>
        <w:t>月</w:t>
      </w:r>
      <w:r>
        <w:rPr>
          <w:rFonts w:hint="eastAsia" w:ascii="宋体" w:hAnsi="宋体" w:cs="宋体"/>
          <w:bCs/>
          <w:kern w:val="0"/>
          <w:sz w:val="24"/>
          <w:szCs w:val="24"/>
          <w:highlight w:val="yellow"/>
          <w:lang w:val="en-US" w:eastAsia="zh-CN"/>
        </w:rPr>
        <w:t>30</w:t>
      </w:r>
      <w:r>
        <w:rPr>
          <w:rFonts w:hint="eastAsia" w:ascii="宋体" w:hAnsi="宋体" w:cs="宋体"/>
          <w:bCs/>
          <w:kern w:val="0"/>
          <w:sz w:val="24"/>
          <w:szCs w:val="24"/>
          <w:highlight w:val="yellow"/>
        </w:rPr>
        <w:t>日上午8:30-11:00期间投递投标函，其它时段不接收）递交投标文件</w:t>
      </w:r>
    </w:p>
    <w:p>
      <w:pPr>
        <w:spacing w:line="360" w:lineRule="auto"/>
        <w:ind w:firstLine="480" w:firstLineChars="200"/>
        <w:rPr>
          <w:rFonts w:hint="default" w:ascii="宋体" w:hAnsi="宋体" w:eastAsia="宋体" w:cs="宋体"/>
          <w:b/>
          <w:color w:val="auto"/>
          <w:kern w:val="0"/>
          <w:sz w:val="24"/>
          <w:szCs w:val="24"/>
          <w:highlight w:val="none"/>
          <w:u w:val="single"/>
          <w:lang w:val="en-US" w:eastAsia="zh-CN"/>
        </w:rPr>
      </w:pPr>
      <w:r>
        <w:rPr>
          <w:rFonts w:hint="eastAsia" w:ascii="宋体" w:hAnsi="宋体" w:eastAsia="宋体" w:cs="宋体"/>
          <w:color w:val="auto"/>
          <w:sz w:val="24"/>
          <w:szCs w:val="24"/>
          <w:highlight w:val="none"/>
        </w:rPr>
        <w:t>地点：</w:t>
      </w:r>
      <w:r>
        <w:rPr>
          <w:rFonts w:hint="eastAsia" w:ascii="宋体" w:hAnsi="宋体" w:cs="宋体"/>
          <w:b w:val="0"/>
          <w:bCs/>
          <w:color w:val="auto"/>
          <w:kern w:val="0"/>
          <w:sz w:val="24"/>
          <w:szCs w:val="24"/>
          <w:highlight w:val="none"/>
          <w:u w:val="single"/>
          <w:lang w:eastAsia="zh-CN"/>
        </w:rPr>
        <w:t>铜陵学院新校区图书馆八楼（</w:t>
      </w:r>
      <w:r>
        <w:rPr>
          <w:rFonts w:hint="eastAsia" w:ascii="宋体" w:hAnsi="宋体" w:cs="宋体"/>
          <w:b w:val="0"/>
          <w:bCs/>
          <w:color w:val="auto"/>
          <w:kern w:val="0"/>
          <w:sz w:val="24"/>
          <w:szCs w:val="24"/>
          <w:highlight w:val="none"/>
          <w:u w:val="single"/>
          <w:lang w:val="en-US" w:eastAsia="zh-CN"/>
        </w:rPr>
        <w:t>806）；联系人：胡老师（13955931061）。</w:t>
      </w:r>
    </w:p>
    <w:bookmarkEnd w:id="15"/>
    <w:bookmarkEnd w:id="16"/>
    <w:bookmarkEnd w:id="17"/>
    <w:bookmarkEnd w:id="18"/>
    <w:p>
      <w:pPr>
        <w:spacing w:line="360" w:lineRule="auto"/>
        <w:ind w:firstLine="480" w:firstLineChars="200"/>
        <w:rPr>
          <w:rFonts w:hint="eastAsia" w:ascii="宋体" w:hAnsi="宋体" w:eastAsia="宋体" w:cs="宋体"/>
          <w:color w:val="auto"/>
          <w:kern w:val="0"/>
          <w:sz w:val="24"/>
          <w:szCs w:val="24"/>
          <w:highlight w:val="none"/>
        </w:rPr>
      </w:pPr>
      <w:bookmarkStart w:id="19" w:name="_Toc35393795"/>
      <w:bookmarkStart w:id="20" w:name="_Toc35393626"/>
      <w:r>
        <w:rPr>
          <w:rFonts w:hint="eastAsia" w:ascii="宋体" w:hAnsi="宋体" w:eastAsia="宋体" w:cs="宋体"/>
          <w:bCs/>
          <w:color w:val="auto"/>
          <w:sz w:val="24"/>
          <w:szCs w:val="24"/>
          <w:highlight w:val="none"/>
        </w:rPr>
        <w:t>五、其他补充事宜</w:t>
      </w:r>
      <w:bookmarkEnd w:id="19"/>
      <w:bookmarkEnd w:id="20"/>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采购项目的名称、编号、数量、简要规格描述或项目基本概况介绍详见采购需求；</w:t>
      </w:r>
    </w:p>
    <w:p>
      <w:pPr>
        <w:spacing w:line="360" w:lineRule="auto"/>
        <w:ind w:firstLine="480" w:firstLineChars="200"/>
        <w:rPr>
          <w:rFonts w:hint="eastAsia" w:ascii="宋体" w:hAnsi="宋体" w:eastAsia="宋体" w:cs="宋体"/>
          <w:color w:val="auto"/>
          <w:sz w:val="24"/>
          <w:szCs w:val="24"/>
          <w:highlight w:val="none"/>
        </w:rPr>
      </w:pPr>
      <w:bookmarkStart w:id="21" w:name="_Toc35393627"/>
      <w:bookmarkStart w:id="22" w:name="_Toc28359085"/>
      <w:bookmarkStart w:id="23" w:name="_Toc28359008"/>
      <w:bookmarkStart w:id="24" w:name="_Toc35393796"/>
      <w:r>
        <w:rPr>
          <w:rFonts w:hint="eastAsia" w:ascii="宋体" w:hAnsi="宋体" w:eastAsia="宋体" w:cs="宋体"/>
          <w:bCs/>
          <w:color w:val="auto"/>
          <w:sz w:val="24"/>
          <w:szCs w:val="24"/>
          <w:highlight w:val="none"/>
        </w:rPr>
        <w:t>六、凡对本次采购提出询问，请按以下方式联系。</w:t>
      </w:r>
      <w:bookmarkEnd w:id="21"/>
      <w:bookmarkEnd w:id="22"/>
      <w:bookmarkEnd w:id="23"/>
      <w:bookmarkEnd w:id="24"/>
    </w:p>
    <w:p>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1.采购人信息</w:t>
      </w:r>
    </w:p>
    <w:p>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rPr>
        <w:t xml:space="preserve">　铜陵学院           </w:t>
      </w:r>
    </w:p>
    <w:p>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铜陵市开发区翠湖四路1335号</w:t>
      </w:r>
      <w:r>
        <w:rPr>
          <w:rFonts w:hint="eastAsia" w:ascii="宋体" w:hAnsi="宋体" w:cs="宋体"/>
          <w:color w:val="auto"/>
          <w:sz w:val="24"/>
          <w:szCs w:val="24"/>
          <w:highlight w:val="none"/>
          <w:u w:val="single"/>
          <w:lang w:val="en-US" w:eastAsia="zh-CN"/>
        </w:rPr>
        <w:t xml:space="preserve"> </w:t>
      </w:r>
    </w:p>
    <w:p>
      <w:pPr>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single"/>
        </w:rPr>
        <w:t>　程老师    0562-5881058</w:t>
      </w:r>
    </w:p>
    <w:p>
      <w:pPr>
        <w:spacing w:line="360" w:lineRule="auto"/>
        <w:ind w:firstLine="480" w:firstLineChars="200"/>
        <w:rPr>
          <w:rFonts w:hint="eastAsia" w:ascii="宋体" w:hAnsi="宋体" w:eastAsia="宋体" w:cs="宋体"/>
          <w:color w:val="auto"/>
          <w:sz w:val="24"/>
          <w:szCs w:val="24"/>
          <w:highlight w:val="none"/>
          <w:u w:val="single"/>
        </w:rPr>
      </w:pPr>
      <w:bookmarkStart w:id="25" w:name="_Toc28359086"/>
      <w:bookmarkStart w:id="26" w:name="_Toc28359009"/>
      <w:r>
        <w:rPr>
          <w:rFonts w:hint="eastAsia" w:ascii="宋体" w:hAnsi="宋体" w:eastAsia="宋体" w:cs="宋体"/>
          <w:color w:val="auto"/>
          <w:sz w:val="24"/>
          <w:szCs w:val="24"/>
          <w:highlight w:val="none"/>
        </w:rPr>
        <w:t>2.</w:t>
      </w:r>
      <w:bookmarkEnd w:id="25"/>
      <w:bookmarkEnd w:id="26"/>
      <w:bookmarkStart w:id="27" w:name="_Toc28359010"/>
      <w:bookmarkStart w:id="28" w:name="_Toc28359087"/>
      <w:r>
        <w:rPr>
          <w:rFonts w:hint="eastAsia" w:ascii="宋体" w:hAnsi="宋体" w:eastAsia="宋体" w:cs="宋体"/>
          <w:color w:val="auto"/>
          <w:sz w:val="24"/>
          <w:szCs w:val="24"/>
          <w:highlight w:val="none"/>
        </w:rPr>
        <w:t>项目</w:t>
      </w:r>
      <w:r>
        <w:rPr>
          <w:rFonts w:hint="eastAsia" w:ascii="宋体" w:hAnsi="宋体" w:cs="宋体"/>
          <w:color w:val="auto"/>
          <w:sz w:val="24"/>
          <w:szCs w:val="24"/>
          <w:highlight w:val="none"/>
          <w:lang w:eastAsia="zh-CN"/>
        </w:rPr>
        <w:t>业务、技术咨询</w:t>
      </w:r>
      <w:r>
        <w:rPr>
          <w:rFonts w:hint="eastAsia" w:ascii="宋体" w:hAnsi="宋体" w:eastAsia="宋体" w:cs="宋体"/>
          <w:color w:val="auto"/>
          <w:sz w:val="24"/>
          <w:szCs w:val="24"/>
          <w:highlight w:val="none"/>
        </w:rPr>
        <w:t>联系方式</w:t>
      </w:r>
      <w:bookmarkEnd w:id="27"/>
      <w:bookmarkEnd w:id="28"/>
    </w:p>
    <w:p>
      <w:pPr>
        <w:pStyle w:val="11"/>
        <w:spacing w:line="360" w:lineRule="auto"/>
        <w:ind w:firstLine="480" w:firstLineChars="200"/>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yellow"/>
        </w:rPr>
        <w:t>项目联系人：</w:t>
      </w:r>
      <w:r>
        <w:rPr>
          <w:rFonts w:hint="eastAsia" w:hAnsi="宋体" w:eastAsia="宋体" w:cs="宋体"/>
          <w:color w:val="auto"/>
          <w:sz w:val="24"/>
          <w:szCs w:val="24"/>
          <w:highlight w:val="yellow"/>
          <w:lang w:eastAsia="zh-CN"/>
        </w:rPr>
        <w:t>铜陵学院总务处沈老师</w:t>
      </w:r>
    </w:p>
    <w:p>
      <w:pPr>
        <w:pStyle w:val="11"/>
        <w:spacing w:line="360" w:lineRule="auto"/>
        <w:ind w:firstLine="480" w:firstLineChars="200"/>
        <w:rPr>
          <w:rFonts w:hint="default" w:ascii="宋体" w:hAnsi="宋体" w:eastAsia="宋体" w:cs="宋体"/>
          <w:color w:val="auto"/>
          <w:sz w:val="24"/>
          <w:szCs w:val="24"/>
          <w:highlight w:val="yellow"/>
          <w:lang w:val="en-US" w:eastAsia="zh-CN"/>
        </w:rPr>
      </w:pPr>
      <w:r>
        <w:rPr>
          <w:rFonts w:hint="eastAsia" w:hAnsi="宋体" w:eastAsia="宋体" w:cs="宋体"/>
          <w:color w:val="auto"/>
          <w:sz w:val="24"/>
          <w:szCs w:val="24"/>
          <w:highlight w:val="yellow"/>
          <w:lang w:val="en-US" w:eastAsia="zh-CN"/>
        </w:rPr>
        <w:t>联系电话：0562-5882006</w:t>
      </w:r>
    </w:p>
    <w:p>
      <w:pPr>
        <w:widowControl/>
        <w:shd w:val="clear" w:color="auto" w:fill="FFFFFF"/>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rPr>
        <w:t>七、询价保证金：</w:t>
      </w:r>
      <w:r>
        <w:rPr>
          <w:rFonts w:hint="eastAsia" w:ascii="宋体" w:hAnsi="宋体" w:cs="宋体"/>
          <w:bCs/>
          <w:color w:val="auto"/>
          <w:sz w:val="24"/>
          <w:szCs w:val="24"/>
          <w:highlight w:val="none"/>
          <w:lang w:val="en-US" w:eastAsia="zh-CN"/>
        </w:rPr>
        <w:t>无</w:t>
      </w:r>
    </w:p>
    <w:p>
      <w:pPr>
        <w:spacing w:line="360" w:lineRule="auto"/>
        <w:ind w:right="42" w:rightChars="20"/>
        <w:jc w:val="center"/>
        <w:rPr>
          <w:rFonts w:hint="eastAsia" w:ascii="宋体" w:hAnsi="宋体" w:eastAsia="宋体" w:cs="宋体"/>
          <w:b/>
          <w:bCs/>
          <w:color w:val="auto"/>
          <w:sz w:val="24"/>
          <w:szCs w:val="24"/>
          <w:highlight w:val="none"/>
        </w:rPr>
      </w:pPr>
    </w:p>
    <w:p>
      <w:pPr>
        <w:pStyle w:val="2"/>
        <w:rPr>
          <w:rFonts w:hint="eastAsia" w:ascii="宋体" w:hAnsi="宋体" w:eastAsia="宋体" w:cs="宋体"/>
          <w:b/>
          <w:bCs/>
          <w:color w:val="auto"/>
          <w:sz w:val="24"/>
          <w:szCs w:val="24"/>
          <w:highlight w:val="none"/>
        </w:rPr>
      </w:pPr>
    </w:p>
    <w:p>
      <w:pPr>
        <w:pStyle w:val="2"/>
        <w:rPr>
          <w:rFonts w:hint="eastAsia" w:ascii="宋体" w:hAnsi="宋体" w:eastAsia="宋体" w:cs="宋体"/>
          <w:b/>
          <w:bCs/>
          <w:color w:val="auto"/>
          <w:sz w:val="24"/>
          <w:szCs w:val="24"/>
          <w:highlight w:val="none"/>
        </w:rPr>
      </w:pPr>
    </w:p>
    <w:p>
      <w:pPr>
        <w:pStyle w:val="2"/>
        <w:rPr>
          <w:rFonts w:hint="eastAsia" w:ascii="宋体" w:hAnsi="宋体" w:eastAsia="宋体" w:cs="宋体"/>
          <w:b/>
          <w:bCs/>
          <w:color w:val="auto"/>
          <w:sz w:val="24"/>
          <w:szCs w:val="24"/>
          <w:highlight w:val="none"/>
        </w:rPr>
      </w:pPr>
    </w:p>
    <w:p>
      <w:pPr>
        <w:pStyle w:val="2"/>
        <w:rPr>
          <w:rFonts w:hint="eastAsia" w:ascii="宋体" w:hAnsi="宋体" w:eastAsia="宋体" w:cs="宋体"/>
          <w:b/>
          <w:bCs/>
          <w:color w:val="auto"/>
          <w:sz w:val="24"/>
          <w:szCs w:val="24"/>
          <w:highlight w:val="none"/>
        </w:rPr>
      </w:pPr>
    </w:p>
    <w:p>
      <w:pPr>
        <w:pStyle w:val="2"/>
        <w:rPr>
          <w:rFonts w:hint="eastAsia" w:ascii="宋体" w:hAnsi="宋体" w:eastAsia="宋体" w:cs="宋体"/>
          <w:b/>
          <w:bCs/>
          <w:color w:val="auto"/>
          <w:sz w:val="24"/>
          <w:szCs w:val="24"/>
          <w:highlight w:val="none"/>
        </w:rPr>
      </w:pPr>
    </w:p>
    <w:p>
      <w:pPr>
        <w:pStyle w:val="2"/>
        <w:rPr>
          <w:rFonts w:hint="eastAsia" w:ascii="宋体" w:hAnsi="宋体" w:eastAsia="宋体" w:cs="宋体"/>
          <w:b/>
          <w:bCs/>
          <w:color w:val="auto"/>
          <w:sz w:val="24"/>
          <w:szCs w:val="24"/>
          <w:highlight w:val="none"/>
        </w:rPr>
      </w:pPr>
    </w:p>
    <w:p>
      <w:pPr>
        <w:pStyle w:val="2"/>
        <w:rPr>
          <w:rFonts w:hint="eastAsia" w:ascii="宋体" w:hAnsi="宋体" w:eastAsia="宋体" w:cs="宋体"/>
          <w:b/>
          <w:bCs/>
          <w:color w:val="auto"/>
          <w:sz w:val="24"/>
          <w:szCs w:val="24"/>
          <w:highlight w:val="none"/>
        </w:rPr>
      </w:pPr>
    </w:p>
    <w:p>
      <w:pPr>
        <w:spacing w:line="360" w:lineRule="auto"/>
        <w:ind w:right="42" w:rightChars="2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第二章  询价响应供应商须知前附表</w:t>
      </w:r>
    </w:p>
    <w:tbl>
      <w:tblPr>
        <w:tblStyle w:val="18"/>
        <w:tblW w:w="919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611"/>
        <w:gridCol w:w="2577"/>
        <w:gridCol w:w="600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611" w:type="dxa"/>
            <w:tcBorders>
              <w:top w:val="single" w:color="auto" w:sz="12" w:space="0"/>
            </w:tcBorders>
            <w:vAlign w:val="center"/>
          </w:tcPr>
          <w:p>
            <w:pPr>
              <w:pStyle w:val="37"/>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序号</w:t>
            </w:r>
          </w:p>
        </w:tc>
        <w:tc>
          <w:tcPr>
            <w:tcW w:w="2577" w:type="dxa"/>
            <w:tcBorders>
              <w:top w:val="single" w:color="auto" w:sz="12" w:space="0"/>
            </w:tcBorders>
            <w:vAlign w:val="center"/>
          </w:tcPr>
          <w:p>
            <w:pPr>
              <w:pStyle w:val="37"/>
              <w:ind w:left="38"/>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条款名称</w:t>
            </w:r>
          </w:p>
        </w:tc>
        <w:tc>
          <w:tcPr>
            <w:tcW w:w="6003" w:type="dxa"/>
            <w:tcBorders>
              <w:top w:val="single" w:color="auto" w:sz="12" w:space="0"/>
            </w:tcBorders>
            <w:vAlign w:val="center"/>
          </w:tcPr>
          <w:p>
            <w:pPr>
              <w:pStyle w:val="37"/>
              <w:jc w:val="center"/>
              <w:rPr>
                <w:rFonts w:hint="eastAsia" w:ascii="宋体" w:hAnsi="宋体" w:eastAsia="宋体" w:cs="宋体"/>
                <w:b/>
                <w:bCs/>
                <w:color w:val="auto"/>
                <w:sz w:val="24"/>
                <w:szCs w:val="24"/>
                <w:highlight w:val="none"/>
                <w:lang w:val="zh-CN"/>
              </w:rPr>
            </w:pPr>
            <w:r>
              <w:rPr>
                <w:rFonts w:hint="eastAsia" w:ascii="宋体" w:hAnsi="宋体" w:eastAsia="宋体" w:cs="宋体"/>
                <w:color w:val="auto"/>
                <w:sz w:val="24"/>
                <w:szCs w:val="24"/>
                <w:highlight w:val="none"/>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5"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lang w:val="zh-CN"/>
              </w:rPr>
            </w:pPr>
          </w:p>
        </w:tc>
        <w:tc>
          <w:tcPr>
            <w:tcW w:w="2577" w:type="dxa"/>
            <w:vAlign w:val="center"/>
          </w:tcPr>
          <w:p>
            <w:pPr>
              <w:pStyle w:val="37"/>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资格审查资料</w:t>
            </w:r>
          </w:p>
        </w:tc>
        <w:tc>
          <w:tcPr>
            <w:tcW w:w="6003" w:type="dxa"/>
            <w:vAlign w:val="center"/>
          </w:tcPr>
          <w:p>
            <w:pPr>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见询价公告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8"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lang w:val="zh-CN"/>
              </w:rPr>
            </w:pPr>
          </w:p>
        </w:tc>
        <w:tc>
          <w:tcPr>
            <w:tcW w:w="2577" w:type="dxa"/>
            <w:vAlign w:val="center"/>
          </w:tcPr>
          <w:p>
            <w:pPr>
              <w:pStyle w:val="37"/>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资金来源</w:t>
            </w:r>
          </w:p>
        </w:tc>
        <w:tc>
          <w:tcPr>
            <w:tcW w:w="6003" w:type="dxa"/>
            <w:vAlign w:val="center"/>
          </w:tcPr>
          <w:p>
            <w:pPr>
              <w:pStyle w:val="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4"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lang w:val="zh-CN"/>
              </w:rPr>
            </w:pPr>
          </w:p>
        </w:tc>
        <w:tc>
          <w:tcPr>
            <w:tcW w:w="2577" w:type="dxa"/>
            <w:vAlign w:val="center"/>
          </w:tcPr>
          <w:p>
            <w:pPr>
              <w:pStyle w:val="37"/>
              <w:ind w:left="38"/>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预算控制数</w:t>
            </w:r>
          </w:p>
        </w:tc>
        <w:tc>
          <w:tcPr>
            <w:tcW w:w="6003" w:type="dxa"/>
            <w:vAlign w:val="center"/>
          </w:tcPr>
          <w:p>
            <w:pPr>
              <w:pStyle w:val="37"/>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9.8</w:t>
            </w:r>
            <w:r>
              <w:rPr>
                <w:rFonts w:hint="eastAsia" w:ascii="宋体" w:hAnsi="宋体" w:eastAsia="宋体" w:cs="宋体"/>
                <w:color w:val="auto"/>
                <w:sz w:val="24"/>
                <w:szCs w:val="24"/>
                <w:highlight w:val="none"/>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73"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lang w:val="zh-CN"/>
              </w:rPr>
            </w:pPr>
          </w:p>
        </w:tc>
        <w:tc>
          <w:tcPr>
            <w:tcW w:w="2577" w:type="dxa"/>
            <w:vAlign w:val="center"/>
          </w:tcPr>
          <w:p>
            <w:pPr>
              <w:pStyle w:val="37"/>
              <w:ind w:left="38"/>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采购方式</w:t>
            </w:r>
          </w:p>
        </w:tc>
        <w:tc>
          <w:tcPr>
            <w:tcW w:w="6003" w:type="dxa"/>
            <w:vAlign w:val="center"/>
          </w:tcPr>
          <w:p>
            <w:pPr>
              <w:pStyle w:val="37"/>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询价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6"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rPr>
            </w:pPr>
          </w:p>
        </w:tc>
        <w:tc>
          <w:tcPr>
            <w:tcW w:w="2577" w:type="dxa"/>
            <w:vAlign w:val="center"/>
          </w:tcPr>
          <w:p>
            <w:pPr>
              <w:pStyle w:val="37"/>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是否接受联合体</w:t>
            </w:r>
          </w:p>
        </w:tc>
        <w:tc>
          <w:tcPr>
            <w:tcW w:w="6003" w:type="dxa"/>
            <w:vAlign w:val="center"/>
          </w:tcPr>
          <w:p>
            <w:pPr>
              <w:pStyle w:val="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27"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lang w:val="zh-CN"/>
              </w:rPr>
            </w:pPr>
          </w:p>
        </w:tc>
        <w:tc>
          <w:tcPr>
            <w:tcW w:w="2577" w:type="dxa"/>
            <w:vAlign w:val="center"/>
          </w:tcPr>
          <w:p>
            <w:pPr>
              <w:pStyle w:val="37"/>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是否接受分包履约</w:t>
            </w:r>
          </w:p>
        </w:tc>
        <w:tc>
          <w:tcPr>
            <w:tcW w:w="6003" w:type="dxa"/>
            <w:vAlign w:val="center"/>
          </w:tcPr>
          <w:p>
            <w:pPr>
              <w:pStyle w:val="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35"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lang w:val="zh-CN"/>
              </w:rPr>
            </w:pPr>
          </w:p>
        </w:tc>
        <w:tc>
          <w:tcPr>
            <w:tcW w:w="2577" w:type="dxa"/>
            <w:vAlign w:val="center"/>
          </w:tcPr>
          <w:p>
            <w:pPr>
              <w:pStyle w:val="37"/>
              <w:ind w:left="52"/>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构成询价文件的其他文件</w:t>
            </w:r>
          </w:p>
        </w:tc>
        <w:tc>
          <w:tcPr>
            <w:tcW w:w="6003" w:type="dxa"/>
            <w:vAlign w:val="center"/>
          </w:tcPr>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询价文件的澄清、修改书及有关补充通知为询价文件的有效组成部分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6"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lang w:val="zh-CN"/>
              </w:rPr>
            </w:pPr>
          </w:p>
        </w:tc>
        <w:tc>
          <w:tcPr>
            <w:tcW w:w="2577" w:type="dxa"/>
            <w:vAlign w:val="center"/>
          </w:tcPr>
          <w:p>
            <w:pPr>
              <w:pStyle w:val="37"/>
              <w:ind w:left="52"/>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询价投标截止时间</w:t>
            </w:r>
          </w:p>
        </w:tc>
        <w:tc>
          <w:tcPr>
            <w:tcW w:w="6003" w:type="dxa"/>
            <w:vAlign w:val="center"/>
          </w:tcPr>
          <w:p>
            <w:pPr>
              <w:pStyle w:val="37"/>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见询价公告，迟于投标截止时间递交的文件将不予接受。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1"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rPr>
            </w:pPr>
          </w:p>
        </w:tc>
        <w:tc>
          <w:tcPr>
            <w:tcW w:w="2577" w:type="dxa"/>
            <w:vAlign w:val="center"/>
          </w:tcPr>
          <w:p>
            <w:pPr>
              <w:pStyle w:val="37"/>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投标有效期</w:t>
            </w:r>
          </w:p>
        </w:tc>
        <w:tc>
          <w:tcPr>
            <w:tcW w:w="6003" w:type="dxa"/>
            <w:vAlign w:val="center"/>
          </w:tcPr>
          <w:p>
            <w:pPr>
              <w:pStyle w:val="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开标后三个月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4"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rPr>
            </w:pPr>
          </w:p>
        </w:tc>
        <w:tc>
          <w:tcPr>
            <w:tcW w:w="2577" w:type="dxa"/>
            <w:vAlign w:val="center"/>
          </w:tcPr>
          <w:p>
            <w:pPr>
              <w:pStyle w:val="37"/>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标段划分</w:t>
            </w:r>
          </w:p>
        </w:tc>
        <w:tc>
          <w:tcPr>
            <w:tcW w:w="6003" w:type="dxa"/>
            <w:vAlign w:val="center"/>
          </w:tcPr>
          <w:p>
            <w:pPr>
              <w:pStyle w:val="37"/>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一</w:t>
            </w:r>
            <w:r>
              <w:rPr>
                <w:rFonts w:hint="eastAsia" w:ascii="宋体" w:hAnsi="宋体" w:eastAsia="宋体" w:cs="宋体"/>
                <w:color w:val="auto"/>
                <w:sz w:val="24"/>
                <w:szCs w:val="24"/>
                <w:highlight w:val="none"/>
              </w:rPr>
              <w:t>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06"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rPr>
            </w:pPr>
          </w:p>
        </w:tc>
        <w:tc>
          <w:tcPr>
            <w:tcW w:w="2577" w:type="dxa"/>
            <w:vAlign w:val="center"/>
          </w:tcPr>
          <w:p>
            <w:pPr>
              <w:pStyle w:val="37"/>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质保期</w:t>
            </w:r>
          </w:p>
        </w:tc>
        <w:tc>
          <w:tcPr>
            <w:tcW w:w="6003" w:type="dxa"/>
            <w:vAlign w:val="center"/>
          </w:tcPr>
          <w:p>
            <w:pPr>
              <w:pStyle w:val="37"/>
              <w:rPr>
                <w:rFonts w:hint="default" w:cs="宋体"/>
                <w:color w:val="auto"/>
                <w:sz w:val="24"/>
                <w:szCs w:val="24"/>
                <w:highlight w:val="none"/>
                <w:lang w:val="en-US" w:eastAsia="zh-CN"/>
              </w:rPr>
            </w:pPr>
            <w:r>
              <w:rPr>
                <w:rFonts w:hint="eastAsia" w:cs="宋体"/>
                <w:color w:val="auto"/>
                <w:sz w:val="24"/>
                <w:szCs w:val="24"/>
                <w:highlight w:val="none"/>
                <w:lang w:val="en-US" w:eastAsia="zh-CN"/>
              </w:rPr>
              <w:t>一年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3"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lang w:val="zh-CN"/>
              </w:rPr>
            </w:pPr>
          </w:p>
        </w:tc>
        <w:tc>
          <w:tcPr>
            <w:tcW w:w="2577" w:type="dxa"/>
            <w:vAlign w:val="center"/>
          </w:tcPr>
          <w:p>
            <w:pPr>
              <w:pStyle w:val="37"/>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递交询价文件地点及开标地点</w:t>
            </w:r>
          </w:p>
        </w:tc>
        <w:tc>
          <w:tcPr>
            <w:tcW w:w="6003" w:type="dxa"/>
            <w:vAlign w:val="center"/>
          </w:tcPr>
          <w:p>
            <w:pPr>
              <w:pStyle w:val="37"/>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见询价公告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37"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lang w:val="zh-CN"/>
              </w:rPr>
            </w:pPr>
          </w:p>
        </w:tc>
        <w:tc>
          <w:tcPr>
            <w:tcW w:w="2577" w:type="dxa"/>
            <w:vAlign w:val="center"/>
          </w:tcPr>
          <w:p>
            <w:pPr>
              <w:pStyle w:val="37"/>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中标候选人推荐</w:t>
            </w:r>
          </w:p>
        </w:tc>
        <w:tc>
          <w:tcPr>
            <w:tcW w:w="6003" w:type="dxa"/>
            <w:vAlign w:val="center"/>
          </w:tcPr>
          <w:p>
            <w:pPr>
              <w:pStyle w:val="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评标委员会依据询价文件规定的评标标准和方法对合格询价响应文件分别进行评审和比较，</w:t>
            </w:r>
            <w:r>
              <w:rPr>
                <w:rFonts w:hint="eastAsia" w:ascii="宋体" w:hAnsi="宋体" w:eastAsia="宋体" w:cs="宋体"/>
                <w:b/>
                <w:bCs/>
                <w:color w:val="auto"/>
                <w:sz w:val="24"/>
                <w:szCs w:val="24"/>
                <w:highlight w:val="none"/>
              </w:rPr>
              <w:t>结合信用查询情况，</w:t>
            </w:r>
            <w:r>
              <w:rPr>
                <w:rFonts w:hint="eastAsia"/>
                <w:b/>
                <w:bCs/>
                <w:color w:val="auto"/>
                <w:sz w:val="24"/>
                <w:szCs w:val="24"/>
                <w:highlight w:val="none"/>
              </w:rPr>
              <w:t>按顺序推荐出有排序的</w:t>
            </w:r>
            <w:r>
              <w:rPr>
                <w:rFonts w:hint="eastAsia"/>
                <w:b/>
                <w:bCs/>
                <w:color w:val="auto"/>
                <w:sz w:val="24"/>
                <w:szCs w:val="24"/>
                <w:highlight w:val="none"/>
                <w:u w:val="single"/>
                <w:lang w:val="en-US" w:eastAsia="zh-CN"/>
              </w:rPr>
              <w:t xml:space="preserve"> 2 </w:t>
            </w:r>
            <w:r>
              <w:rPr>
                <w:rFonts w:hint="eastAsia"/>
                <w:b/>
                <w:bCs/>
                <w:color w:val="auto"/>
                <w:sz w:val="24"/>
                <w:szCs w:val="24"/>
                <w:highlight w:val="none"/>
              </w:rPr>
              <w:t>名成交候选人</w:t>
            </w:r>
            <w:r>
              <w:rPr>
                <w:rFonts w:hint="eastAsia" w:ascii="宋体" w:hAnsi="宋体" w:eastAsia="宋体" w:cs="宋体"/>
                <w:b/>
                <w:bCs/>
                <w:color w:val="auto"/>
                <w:sz w:val="24"/>
                <w:szCs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37"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lang w:val="zh-CN"/>
              </w:rPr>
            </w:pPr>
          </w:p>
        </w:tc>
        <w:tc>
          <w:tcPr>
            <w:tcW w:w="2577" w:type="dxa"/>
            <w:vAlign w:val="center"/>
          </w:tcPr>
          <w:p>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项目业务及技术咨询</w:t>
            </w:r>
          </w:p>
        </w:tc>
        <w:tc>
          <w:tcPr>
            <w:tcW w:w="6003" w:type="dxa"/>
            <w:vAlign w:val="center"/>
          </w:tcPr>
          <w:p>
            <w:pPr>
              <w:pStyle w:val="37"/>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供应商应自行对供货现场和周围环境进行勘察，以获取编制询价文件和签署合同所需的资料。</w:t>
            </w:r>
          </w:p>
          <w:p>
            <w:pPr>
              <w:pStyle w:val="37"/>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管理使用部门铜陵学院总务处</w:t>
            </w:r>
            <w:r>
              <w:rPr>
                <w:rFonts w:hint="eastAsia" w:ascii="宋体" w:hAnsi="宋体" w:cs="宋体"/>
                <w:color w:val="auto"/>
                <w:sz w:val="24"/>
                <w:szCs w:val="24"/>
                <w:highlight w:val="none"/>
                <w:lang w:eastAsia="zh-CN"/>
              </w:rPr>
              <w:t>沈老师</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u w:val="single"/>
                <w:lang w:val="en-US" w:eastAsia="zh-CN"/>
              </w:rPr>
              <w:t>0562-5882006</w:t>
            </w:r>
            <w:r>
              <w:rPr>
                <w:rFonts w:hint="eastAsia" w:ascii="宋体" w:hAnsi="宋体" w:eastAsia="宋体" w:cs="宋体"/>
                <w:color w:val="auto"/>
                <w:sz w:val="24"/>
                <w:szCs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7"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rPr>
            </w:pPr>
          </w:p>
        </w:tc>
        <w:tc>
          <w:tcPr>
            <w:tcW w:w="2577" w:type="dxa"/>
            <w:vAlign w:val="center"/>
          </w:tcPr>
          <w:p>
            <w:pPr>
              <w:pStyle w:val="37"/>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询价响应文件份数</w:t>
            </w:r>
          </w:p>
        </w:tc>
        <w:tc>
          <w:tcPr>
            <w:tcW w:w="6003" w:type="dxa"/>
            <w:vAlign w:val="center"/>
          </w:tcPr>
          <w:p>
            <w:pPr>
              <w:pStyle w:val="3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一正</w:t>
            </w:r>
            <w:r>
              <w:rPr>
                <w:rFonts w:hint="eastAsia"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1"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lang w:val="zh-CN"/>
              </w:rPr>
            </w:pPr>
          </w:p>
        </w:tc>
        <w:tc>
          <w:tcPr>
            <w:tcW w:w="2577" w:type="dxa"/>
            <w:vAlign w:val="center"/>
          </w:tcPr>
          <w:p>
            <w:pPr>
              <w:pStyle w:val="37"/>
              <w:ind w:left="33"/>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询价响应</w:t>
            </w:r>
            <w:r>
              <w:rPr>
                <w:rFonts w:hint="eastAsia" w:ascii="宋体" w:hAnsi="宋体" w:eastAsia="宋体" w:cs="宋体"/>
                <w:color w:val="auto"/>
                <w:sz w:val="24"/>
                <w:szCs w:val="24"/>
                <w:highlight w:val="none"/>
                <w:lang w:val="zh-CN"/>
              </w:rPr>
              <w:t>保证金</w:t>
            </w:r>
          </w:p>
        </w:tc>
        <w:tc>
          <w:tcPr>
            <w:tcW w:w="6003" w:type="dxa"/>
            <w:vAlign w:val="center"/>
          </w:tcPr>
          <w:p>
            <w:pPr>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0" w:hRule="atLeast"/>
          <w:jc w:val="center"/>
        </w:trPr>
        <w:tc>
          <w:tcPr>
            <w:tcW w:w="611" w:type="dxa"/>
            <w:vAlign w:val="center"/>
          </w:tcPr>
          <w:p>
            <w:pPr>
              <w:pStyle w:val="37"/>
              <w:numPr>
                <w:ilvl w:val="0"/>
                <w:numId w:val="2"/>
              </w:numPr>
              <w:jc w:val="center"/>
              <w:rPr>
                <w:rFonts w:hint="eastAsia" w:ascii="宋体" w:hAnsi="宋体" w:eastAsia="宋体" w:cs="宋体"/>
                <w:color w:val="auto"/>
                <w:sz w:val="24"/>
                <w:szCs w:val="24"/>
                <w:highlight w:val="none"/>
                <w:lang w:val="zh-CN"/>
              </w:rPr>
            </w:pPr>
          </w:p>
        </w:tc>
        <w:tc>
          <w:tcPr>
            <w:tcW w:w="2577" w:type="dxa"/>
            <w:vAlign w:val="center"/>
          </w:tcPr>
          <w:p>
            <w:pPr>
              <w:pStyle w:val="37"/>
              <w:ind w:right="28"/>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备选方案和报价</w:t>
            </w:r>
          </w:p>
        </w:tc>
        <w:tc>
          <w:tcPr>
            <w:tcW w:w="6003" w:type="dxa"/>
            <w:vAlign w:val="center"/>
          </w:tcPr>
          <w:p>
            <w:pPr>
              <w:pStyle w:val="37"/>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不接受备选响应方案和多个报价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2" w:hRule="atLeast"/>
          <w:jc w:val="center"/>
        </w:trPr>
        <w:tc>
          <w:tcPr>
            <w:tcW w:w="611" w:type="dxa"/>
            <w:vAlign w:val="center"/>
          </w:tcPr>
          <w:p>
            <w:pPr>
              <w:numPr>
                <w:ilvl w:val="0"/>
                <w:numId w:val="2"/>
              </w:numPr>
              <w:jc w:val="center"/>
              <w:rPr>
                <w:rFonts w:hint="eastAsia" w:ascii="宋体" w:hAnsi="宋体" w:eastAsia="宋体" w:cs="宋体"/>
                <w:color w:val="auto"/>
                <w:sz w:val="24"/>
                <w:szCs w:val="24"/>
                <w:highlight w:val="none"/>
                <w:lang w:val="zh-CN"/>
              </w:rPr>
            </w:pPr>
          </w:p>
        </w:tc>
        <w:tc>
          <w:tcPr>
            <w:tcW w:w="2577" w:type="dxa"/>
            <w:vAlign w:val="center"/>
          </w:tcPr>
          <w:p>
            <w:pPr>
              <w:widowControl/>
              <w:jc w:val="center"/>
              <w:rPr>
                <w:rFonts w:hint="eastAsia" w:ascii="宋体" w:hAnsi="宋体" w:eastAsia="宋体" w:cs="宋体"/>
                <w:color w:val="auto"/>
                <w:sz w:val="24"/>
                <w:szCs w:val="24"/>
                <w:highlight w:val="none"/>
                <w:lang w:val="zh-CN"/>
              </w:rPr>
            </w:pPr>
            <w:r>
              <w:rPr>
                <w:rFonts w:hint="eastAsia" w:ascii="宋体" w:hAnsi="宋体" w:eastAsia="宋体" w:cs="宋体"/>
                <w:color w:val="auto"/>
                <w:kern w:val="0"/>
                <w:sz w:val="24"/>
                <w:szCs w:val="24"/>
                <w:highlight w:val="none"/>
              </w:rPr>
              <w:t>供货期</w:t>
            </w:r>
          </w:p>
        </w:tc>
        <w:tc>
          <w:tcPr>
            <w:tcW w:w="6003" w:type="dxa"/>
            <w:vAlign w:val="center"/>
          </w:tcPr>
          <w:p>
            <w:pPr>
              <w:snapToGrid w:val="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2023年9月-2024年8月</w:t>
            </w:r>
            <w:r>
              <w:rPr>
                <w:rFonts w:hint="eastAsia" w:ascii="宋体" w:hAnsi="宋体" w:cs="宋体"/>
                <w:color w:val="auto"/>
                <w:sz w:val="24"/>
                <w:szCs w:val="24"/>
                <w:highlight w:val="none"/>
                <w:lang w:eastAsia="zh-CN"/>
              </w:rPr>
              <w:t>期间。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37" w:hRule="atLeast"/>
          <w:jc w:val="center"/>
        </w:trPr>
        <w:tc>
          <w:tcPr>
            <w:tcW w:w="611" w:type="dxa"/>
            <w:vAlign w:val="center"/>
          </w:tcPr>
          <w:p>
            <w:pPr>
              <w:numPr>
                <w:ilvl w:val="0"/>
                <w:numId w:val="2"/>
              </w:numPr>
              <w:jc w:val="center"/>
              <w:rPr>
                <w:rFonts w:hint="eastAsia" w:ascii="宋体" w:hAnsi="宋体" w:eastAsia="宋体" w:cs="宋体"/>
                <w:color w:val="auto"/>
                <w:sz w:val="24"/>
                <w:szCs w:val="24"/>
                <w:highlight w:val="none"/>
              </w:rPr>
            </w:pPr>
          </w:p>
        </w:tc>
        <w:tc>
          <w:tcPr>
            <w:tcW w:w="2577" w:type="dxa"/>
            <w:vAlign w:val="center"/>
          </w:tcPr>
          <w:p>
            <w:pPr>
              <w:pStyle w:val="37"/>
              <w:ind w:left="33"/>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付款方式</w:t>
            </w:r>
          </w:p>
        </w:tc>
        <w:tc>
          <w:tcPr>
            <w:tcW w:w="6003" w:type="dxa"/>
            <w:vAlign w:val="center"/>
          </w:tcPr>
          <w:p>
            <w:pPr>
              <w:pStyle w:val="8"/>
              <w:ind w:firstLine="0"/>
              <w:rPr>
                <w:rFonts w:hint="eastAsia" w:ascii="宋体" w:hAnsi="宋体" w:eastAsia="宋体" w:cs="宋体"/>
                <w:color w:val="auto"/>
                <w:sz w:val="24"/>
                <w:szCs w:val="24"/>
                <w:highlight w:val="none"/>
              </w:rPr>
            </w:pPr>
            <w:r>
              <w:rPr>
                <w:rFonts w:hint="eastAsia" w:ascii="宋体" w:hAnsi="宋体"/>
                <w:bCs/>
                <w:color w:val="auto"/>
                <w:sz w:val="24"/>
                <w:szCs w:val="24"/>
                <w:highlight w:val="none"/>
              </w:rPr>
              <w:t>本项目不支付预付款，按照</w:t>
            </w:r>
            <w:r>
              <w:rPr>
                <w:rFonts w:hint="eastAsia" w:ascii="宋体" w:hAnsi="宋体"/>
                <w:bCs/>
                <w:color w:val="auto"/>
                <w:sz w:val="24"/>
                <w:szCs w:val="24"/>
                <w:highlight w:val="none"/>
                <w:lang w:eastAsia="zh-CN"/>
              </w:rPr>
              <w:t>采购人</w:t>
            </w:r>
            <w:r>
              <w:rPr>
                <w:rFonts w:hint="eastAsia" w:ascii="宋体" w:hAnsi="宋体"/>
                <w:bCs/>
                <w:color w:val="auto"/>
                <w:sz w:val="24"/>
                <w:szCs w:val="24"/>
                <w:highlight w:val="none"/>
              </w:rPr>
              <w:t>要求及时将有关维修材料产品</w:t>
            </w:r>
            <w:r>
              <w:rPr>
                <w:rFonts w:hint="eastAsia" w:ascii="宋体" w:hAnsi="宋体" w:cs="Arial"/>
                <w:color w:val="auto"/>
                <w:kern w:val="0"/>
                <w:sz w:val="24"/>
                <w:szCs w:val="24"/>
                <w:highlight w:val="none"/>
              </w:rPr>
              <w:t>供货到位</w:t>
            </w:r>
            <w:r>
              <w:rPr>
                <w:rFonts w:hint="eastAsia" w:ascii="宋体" w:hAnsi="宋体"/>
                <w:color w:val="auto"/>
                <w:sz w:val="24"/>
                <w:szCs w:val="24"/>
                <w:highlight w:val="none"/>
              </w:rPr>
              <w:t>，经</w:t>
            </w:r>
            <w:r>
              <w:rPr>
                <w:rFonts w:hint="eastAsia" w:ascii="宋体" w:hAnsi="宋体"/>
                <w:color w:val="auto"/>
                <w:sz w:val="24"/>
                <w:szCs w:val="24"/>
                <w:highlight w:val="none"/>
                <w:lang w:eastAsia="zh-CN"/>
              </w:rPr>
              <w:t>采购人</w:t>
            </w:r>
            <w:r>
              <w:rPr>
                <w:rFonts w:hint="eastAsia" w:ascii="宋体" w:hAnsi="宋体"/>
                <w:color w:val="auto"/>
                <w:sz w:val="24"/>
                <w:szCs w:val="24"/>
                <w:highlight w:val="none"/>
              </w:rPr>
              <w:t>验收合格后</w:t>
            </w:r>
            <w:r>
              <w:rPr>
                <w:rFonts w:hint="eastAsia" w:ascii="宋体" w:hAnsi="宋体"/>
                <w:bCs/>
                <w:color w:val="auto"/>
                <w:sz w:val="24"/>
                <w:szCs w:val="24"/>
                <w:highlight w:val="none"/>
              </w:rPr>
              <w:t>一个月内，按实际供应数量结算并支付产品价款。（</w:t>
            </w:r>
            <w:r>
              <w:rPr>
                <w:rFonts w:hint="eastAsia"/>
                <w:color w:val="auto"/>
                <w:sz w:val="24"/>
                <w:szCs w:val="24"/>
                <w:highlight w:val="none"/>
              </w:rPr>
              <w:t>零星供应可零星结算或分批结算</w:t>
            </w:r>
            <w:r>
              <w:rPr>
                <w:rFonts w:hint="eastAsia" w:ascii="宋体" w:hAnsi="宋体"/>
                <w:bCs/>
                <w:color w:val="auto"/>
                <w:sz w:val="24"/>
                <w:szCs w:val="24"/>
                <w:highlight w:val="none"/>
              </w:rPr>
              <w:t>）</w:t>
            </w:r>
            <w:r>
              <w:rPr>
                <w:rFonts w:hint="eastAsia" w:ascii="宋体" w:hAnsi="宋体"/>
                <w:bCs/>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54" w:hRule="atLeast"/>
          <w:jc w:val="center"/>
        </w:trPr>
        <w:tc>
          <w:tcPr>
            <w:tcW w:w="611" w:type="dxa"/>
            <w:vAlign w:val="center"/>
          </w:tcPr>
          <w:p>
            <w:pPr>
              <w:numPr>
                <w:ilvl w:val="0"/>
                <w:numId w:val="2"/>
              </w:numPr>
              <w:jc w:val="center"/>
              <w:rPr>
                <w:rFonts w:hint="eastAsia" w:ascii="宋体" w:hAnsi="宋体" w:eastAsia="宋体" w:cs="宋体"/>
                <w:color w:val="auto"/>
                <w:sz w:val="24"/>
                <w:szCs w:val="24"/>
                <w:highlight w:val="none"/>
                <w:lang w:val="zh-CN"/>
              </w:rPr>
            </w:pPr>
          </w:p>
        </w:tc>
        <w:tc>
          <w:tcPr>
            <w:tcW w:w="2577" w:type="dxa"/>
            <w:vAlign w:val="center"/>
          </w:tcPr>
          <w:p>
            <w:pPr>
              <w:pStyle w:val="37"/>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费用承担</w:t>
            </w:r>
          </w:p>
        </w:tc>
        <w:tc>
          <w:tcPr>
            <w:tcW w:w="6003" w:type="dxa"/>
            <w:vAlign w:val="center"/>
          </w:tcPr>
          <w:p>
            <w:pPr>
              <w:pStyle w:val="37"/>
              <w:ind w:right="105" w:rightChars="50"/>
              <w:rPr>
                <w:rFonts w:hint="eastAsia" w:ascii="宋体" w:hAnsi="宋体" w:eastAsia="宋体" w:cs="宋体"/>
                <w:color w:val="auto"/>
                <w:sz w:val="24"/>
                <w:szCs w:val="24"/>
                <w:highlight w:val="none"/>
                <w:u w:val="single"/>
                <w:lang w:val="zh-CN"/>
              </w:rPr>
            </w:pPr>
            <w:r>
              <w:rPr>
                <w:rFonts w:hint="eastAsia" w:ascii="宋体" w:hAnsi="宋体" w:eastAsia="宋体" w:cs="宋体"/>
                <w:color w:val="auto"/>
                <w:sz w:val="24"/>
                <w:szCs w:val="24"/>
                <w:highlight w:val="none"/>
              </w:rPr>
              <w:t>供应商参加询价活动发生的一切费用均自理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22" w:hRule="atLeast"/>
          <w:jc w:val="center"/>
        </w:trPr>
        <w:tc>
          <w:tcPr>
            <w:tcW w:w="611" w:type="dxa"/>
            <w:vAlign w:val="center"/>
          </w:tcPr>
          <w:p>
            <w:pPr>
              <w:numPr>
                <w:ilvl w:val="0"/>
                <w:numId w:val="2"/>
              </w:numPr>
              <w:jc w:val="center"/>
              <w:rPr>
                <w:rFonts w:hint="eastAsia" w:ascii="宋体" w:hAnsi="宋体" w:eastAsia="宋体" w:cs="宋体"/>
                <w:color w:val="auto"/>
                <w:sz w:val="24"/>
                <w:szCs w:val="24"/>
                <w:highlight w:val="none"/>
                <w:lang w:val="zh-CN"/>
              </w:rPr>
            </w:pPr>
          </w:p>
        </w:tc>
        <w:tc>
          <w:tcPr>
            <w:tcW w:w="2577" w:type="dxa"/>
            <w:vAlign w:val="center"/>
          </w:tcPr>
          <w:p>
            <w:pPr>
              <w:pStyle w:val="37"/>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合同签订时间</w:t>
            </w:r>
          </w:p>
        </w:tc>
        <w:tc>
          <w:tcPr>
            <w:tcW w:w="6003" w:type="dxa"/>
            <w:vAlign w:val="center"/>
          </w:tcPr>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采购人通知领取</w:t>
            </w:r>
            <w:r>
              <w:rPr>
                <w:rFonts w:hint="eastAsia" w:ascii="宋体" w:hAnsi="宋体" w:cs="宋体"/>
                <w:color w:val="auto"/>
                <w:sz w:val="24"/>
                <w:szCs w:val="24"/>
                <w:highlight w:val="none"/>
                <w:lang w:val="en-US" w:eastAsia="zh-CN"/>
              </w:rPr>
              <w:t>成交</w:t>
            </w:r>
            <w:r>
              <w:rPr>
                <w:rFonts w:hint="eastAsia" w:ascii="宋体" w:hAnsi="宋体" w:eastAsia="宋体" w:cs="宋体"/>
                <w:color w:val="auto"/>
                <w:sz w:val="24"/>
                <w:szCs w:val="24"/>
                <w:highlight w:val="none"/>
              </w:rPr>
              <w:t>通知书后，</w:t>
            </w:r>
            <w:r>
              <w:rPr>
                <w:rFonts w:hint="eastAsia" w:ascii="宋体" w:hAnsi="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应在3日内领取中标通知书，领取后</w:t>
            </w:r>
            <w:r>
              <w:rPr>
                <w:rFonts w:hint="eastAsia" w:ascii="宋体" w:hAnsi="宋体" w:cs="宋体"/>
                <w:color w:val="auto"/>
                <w:sz w:val="24"/>
                <w:szCs w:val="24"/>
                <w:highlight w:val="none"/>
                <w:lang w:val="en-US" w:eastAsia="zh-CN"/>
              </w:rPr>
              <w:t>7个工作日</w:t>
            </w:r>
            <w:r>
              <w:rPr>
                <w:rFonts w:hint="eastAsia" w:ascii="宋体" w:hAnsi="宋体" w:eastAsia="宋体" w:cs="宋体"/>
                <w:color w:val="auto"/>
                <w:sz w:val="24"/>
                <w:szCs w:val="24"/>
                <w:highlight w:val="none"/>
              </w:rPr>
              <w:t>内与采购人签订合同，逾期不领取中标通知书或不签订合同的，顺延至第二</w:t>
            </w:r>
            <w:r>
              <w:rPr>
                <w:rFonts w:hint="eastAsia" w:ascii="宋体" w:hAnsi="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或重新采购。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57" w:hRule="atLeast"/>
          <w:jc w:val="center"/>
        </w:trPr>
        <w:tc>
          <w:tcPr>
            <w:tcW w:w="611" w:type="dxa"/>
            <w:vAlign w:val="center"/>
          </w:tcPr>
          <w:p>
            <w:pPr>
              <w:numPr>
                <w:ilvl w:val="0"/>
                <w:numId w:val="2"/>
              </w:numPr>
              <w:jc w:val="center"/>
              <w:rPr>
                <w:rFonts w:hint="eastAsia" w:ascii="宋体" w:hAnsi="宋体" w:eastAsia="宋体" w:cs="宋体"/>
                <w:color w:val="auto"/>
                <w:sz w:val="24"/>
                <w:szCs w:val="24"/>
                <w:highlight w:val="none"/>
              </w:rPr>
            </w:pPr>
          </w:p>
        </w:tc>
        <w:tc>
          <w:tcPr>
            <w:tcW w:w="2577" w:type="dxa"/>
            <w:vAlign w:val="center"/>
          </w:tcPr>
          <w:p>
            <w:pPr>
              <w:pStyle w:val="3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信用查询</w:t>
            </w:r>
          </w:p>
        </w:tc>
        <w:tc>
          <w:tcPr>
            <w:tcW w:w="6003" w:type="dxa"/>
            <w:vAlign w:val="center"/>
          </w:tcPr>
          <w:p>
            <w:pPr>
              <w:autoSpaceDE w:val="0"/>
              <w:autoSpaceDN w:val="0"/>
              <w:adjustRightIn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详见评标办法</w:t>
            </w:r>
          </w:p>
        </w:tc>
      </w:tr>
    </w:tbl>
    <w:p>
      <w:pPr>
        <w:widowControl/>
        <w:shd w:val="clear" w:color="auto" w:fill="FFFFFF"/>
        <w:spacing w:line="360" w:lineRule="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 xml:space="preserve">                   第三章    询价须知</w:t>
      </w:r>
    </w:p>
    <w:p>
      <w:pPr>
        <w:widowControl/>
        <w:shd w:val="clear" w:color="auto" w:fill="FFFFFF"/>
        <w:spacing w:line="36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（一）总则</w:t>
      </w:r>
    </w:p>
    <w:p>
      <w:pPr>
        <w:spacing w:line="360" w:lineRule="auto"/>
        <w:ind w:firstLine="549"/>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1、本询价文件仅适用于本次询价的货物项目。根据采购人</w:t>
      </w:r>
      <w:r>
        <w:rPr>
          <w:rFonts w:hint="eastAsia" w:ascii="宋体" w:hAnsi="宋体" w:cs="宋体"/>
          <w:color w:val="auto"/>
          <w:sz w:val="24"/>
          <w:szCs w:val="24"/>
          <w:highlight w:val="none"/>
          <w:lang w:eastAsia="zh-CN"/>
        </w:rPr>
        <w:t>使用部门</w:t>
      </w:r>
      <w:r>
        <w:rPr>
          <w:rFonts w:hint="eastAsia" w:ascii="宋体" w:hAnsi="宋体" w:eastAsia="宋体" w:cs="宋体"/>
          <w:color w:val="auto"/>
          <w:sz w:val="24"/>
          <w:szCs w:val="24"/>
          <w:highlight w:val="none"/>
        </w:rPr>
        <w:t>提交的技术服务要求，对此项目进行编制询价文件，组织开评标活动。</w:t>
      </w:r>
    </w:p>
    <w:p>
      <w:pPr>
        <w:tabs>
          <w:tab w:val="left" w:pos="1370"/>
        </w:tabs>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次招标的货物是指各种形态和种类的物品，包括原材料、燃料、设备、产品等，包括与之相关的备品备件、工具、手册及安装、调试、技术协助、校准、培训、售后服务等。询价文件中没有提及采购货物来源地的，根据《中华人民共和国政府采购法》的相关规定均应是本国货物。优先采购纳入实施品目清单管理的节能、环保产品。依据品目清单和认证证书实施政府优先采购和强制采购。投标的货物必须是合法生产的符合国家有关标准要求的货物，并满足询价文件规定的规格、参数、质量、价格、有效期、售后服务等要求。本询价文件所采购的货物、产品、配件等全部标的，均应是全新、未使用过的，是完全符合相应质量标准的原装正品。无论询价文件是否列明，供应商所提供的货物、产品、配件均须符合国家产品质量、安全、卫生、环保、检疫检验、生产经营许可等现行法律法规的规定，否则投标无效。本询价文件所要求的证书、认证、资质，均应当是由权威机构颁发，且在有效期内的。</w:t>
      </w:r>
    </w:p>
    <w:p>
      <w:pPr>
        <w:widowControl/>
        <w:shd w:val="clear" w:color="auto" w:fill="FFFFFF"/>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3、采购人将根据质量和服务均能满足询价文件规定的实质性要求且报价最低的原则确定成交供应商，该供应商的报价即为成交的合同价</w:t>
      </w:r>
      <w:r>
        <w:rPr>
          <w:rFonts w:hint="eastAsia" w:ascii="宋体" w:hAnsi="宋体" w:eastAsia="宋体" w:cs="宋体"/>
          <w:b/>
          <w:bCs/>
          <w:color w:val="auto"/>
          <w:kern w:val="0"/>
          <w:sz w:val="24"/>
          <w:szCs w:val="24"/>
          <w:highlight w:val="none"/>
        </w:rPr>
        <w:t>（报价单位为万元或元，如有小数，精确到小数点后两位）</w:t>
      </w:r>
      <w:r>
        <w:rPr>
          <w:rFonts w:hint="eastAsia" w:ascii="宋体" w:hAnsi="宋体" w:eastAsia="宋体" w:cs="宋体"/>
          <w:color w:val="auto"/>
          <w:kern w:val="0"/>
          <w:sz w:val="24"/>
          <w:szCs w:val="24"/>
          <w:highlight w:val="none"/>
        </w:rPr>
        <w:t>，是否满足询价文件实质性响应要求，由询价小组按照“少数服从多数”原则评判。</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4、供应商的响应函将作为合同的组成部分。</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5、供应商如对本询价文件报价，即表示认可采购人提出的上述要求，且在报价时间截止后不得撤回。</w:t>
      </w:r>
    </w:p>
    <w:p>
      <w:pPr>
        <w:spacing w:line="36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（二）询价文件</w:t>
      </w:r>
    </w:p>
    <w:p>
      <w:pPr>
        <w:pStyle w:val="1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供应商应当按照询价文件的要求编制询价响应文件。询价响应文件应对询价文件提出的要求和条件作出实质性响应。供应商应认真阅读和充分理解询价文件中所有的内容。如果供应商没有满足询价文件的有关要求，其风险由供应商自行承担。</w:t>
      </w:r>
    </w:p>
    <w:p>
      <w:pPr>
        <w:pStyle w:val="1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7、供应商获取询价文件后，应仔细检查询价文件的所有内容，如有残缺、疑问等问题应在询价文件中规定的时间内向代理机构提出，否则，由此引起的损失由供应商自行承担。</w:t>
      </w:r>
    </w:p>
    <w:p>
      <w:pPr>
        <w:pStyle w:val="1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询价文件的澄清</w:t>
      </w:r>
    </w:p>
    <w:p>
      <w:pPr>
        <w:pStyle w:val="1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8.1供应商可以要求采购单位对询价文件中的有关问题进行答疑、澄清。</w:t>
      </w:r>
    </w:p>
    <w:p>
      <w:pPr>
        <w:pStyle w:val="1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供应商对询价文件如有疑问，须在法律规定的时间前按询价公告中的联系方式，以书面形式（如传真、信件等）通知采购人和代理机构。未在规定时间提出疑问的，将不予答复。在此规定时间以前收到的、且需要做出澄清的问题，将在投标截止前以公告的形式刊登在“中国政府采购网”“铜陵学院”“铜陵华诚工程咨询有限公司”网，告知所有供应商，但不说明问题的来源。因此，供应商无论是否提出过澄清的要求，均应上网查看是否有关本项目的澄清说明。</w:t>
      </w:r>
    </w:p>
    <w:p>
      <w:pPr>
        <w:pStyle w:val="1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r>
        <w:rPr>
          <w:rFonts w:hint="eastAsia"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询价文件的修改</w:t>
      </w:r>
    </w:p>
    <w:p>
      <w:pPr>
        <w:pStyle w:val="1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9.1在某些情况下，采购人可能对询价文件进行修改。</w:t>
      </w:r>
    </w:p>
    <w:p>
      <w:pPr>
        <w:pStyle w:val="1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9.2采购人对询价文件的修改，将以书面形式通知所有供应商，并对这些供应商具有约束力。</w:t>
      </w:r>
    </w:p>
    <w:p>
      <w:pPr>
        <w:pStyle w:val="1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 为使供应商有充分时间对询价文件的修改部分进行研究或由于其他原因，采购人可以决定延长询价响应截止日期，并以前款方式将变更时间通知所有供应商。</w:t>
      </w:r>
    </w:p>
    <w:p>
      <w:pPr>
        <w:widowControl/>
        <w:shd w:val="clear" w:color="auto" w:fill="FFFFFF"/>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10、关于偏离</w:t>
      </w:r>
    </w:p>
    <w:p>
      <w:pPr>
        <w:widowControl/>
        <w:shd w:val="clear" w:color="auto" w:fill="FFFFFF"/>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10.1供应商响应文件（响应函）中出现的偏离，分为实质性偏离和非实质性偏离。</w:t>
      </w:r>
    </w:p>
    <w:p>
      <w:pPr>
        <w:widowControl/>
        <w:shd w:val="clear" w:color="auto" w:fill="FFFFFF"/>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10.2实质性偏离是指响应文件未能实质响应询价通知书的要求，所供货物和服务在功能上无法达到询价通知书规定的最低要求。非实质性偏离是指响应文件在实质上响应询价通知书的要求，但在个别地方存在一些不规则、不一致、不完整的内容，或者所供货物和服务实质上能够满足所列技术需求达到的功能，只是因为采用了不同的技术而导致不能在技术参数中响应。</w:t>
      </w:r>
    </w:p>
    <w:p>
      <w:pPr>
        <w:widowControl/>
        <w:shd w:val="clear" w:color="auto" w:fill="FFFFFF"/>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10.3出现实质性偏离的将作无效响应处理。出现非实质性偏离的，询价小组将要求供应商在规定的时间内予以澄清、说明、补正或承诺。供应商拒不或在规定的时间内没有进行澄清、说明、补正或澄清、补正的内容不能说明问题的，作无效响应处理。询价小组不接受供应商主动提出的澄清、说明或补正。</w:t>
      </w:r>
    </w:p>
    <w:p>
      <w:pPr>
        <w:widowControl/>
        <w:shd w:val="clear" w:color="auto" w:fill="FFFFFF"/>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10.4响应文件中出现的偏离是否属于实质性偏离，以及偏离程度由询价小组根据项目实际情况确定。</w:t>
      </w:r>
    </w:p>
    <w:p>
      <w:pPr>
        <w:widowControl/>
        <w:shd w:val="clear" w:color="auto" w:fill="FFFFFF"/>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11、提交保证金（如有）</w:t>
      </w:r>
    </w:p>
    <w:p>
      <w:pPr>
        <w:widowControl/>
        <w:shd w:val="clear" w:color="auto" w:fill="FFFFFF"/>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11.1投标保证金从单位基本账户转账、汇款或者以金融机构、担保机构出具的保函形式提交，不接受现金形式，保证金到账、保函递交截止时间为招标公告规定的时间。</w:t>
      </w:r>
    </w:p>
    <w:p>
      <w:pPr>
        <w:widowControl/>
        <w:shd w:val="clear" w:color="auto" w:fill="FFFFFF"/>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11.6.2投标保证金以金融机构、担保机构出具的保函形式提交的，保函复印件或扫描件装入投标文件。</w:t>
      </w:r>
    </w:p>
    <w:p>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（三）供应商</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12、投标费用</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供应商必须自行承担所有与参加投标有关的一切费用。不论投标的结果如何，采购人和</w:t>
      </w:r>
      <w:r>
        <w:rPr>
          <w:rFonts w:hint="eastAsia" w:ascii="宋体" w:hAnsi="宋体" w:cs="宋体"/>
          <w:color w:val="auto"/>
          <w:sz w:val="24"/>
          <w:szCs w:val="24"/>
          <w:highlight w:val="none"/>
          <w:lang w:val="en-US" w:eastAsia="zh-CN"/>
        </w:rPr>
        <w:t>代理</w:t>
      </w:r>
      <w:r>
        <w:rPr>
          <w:rFonts w:hint="eastAsia" w:ascii="宋体" w:hAnsi="宋体" w:eastAsia="宋体" w:cs="宋体"/>
          <w:color w:val="auto"/>
          <w:sz w:val="24"/>
          <w:szCs w:val="24"/>
          <w:highlight w:val="none"/>
        </w:rPr>
        <w:t>采购机构在任何情况下均无义务和责任承担这些费用。</w:t>
      </w:r>
    </w:p>
    <w:p>
      <w:pPr>
        <w:spacing w:line="360" w:lineRule="auto"/>
        <w:ind w:firstLine="54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13、合格的供应商</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13.1合格的供应商应当满足本项目询价文件所载明须满足的最低条件。</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13.2供应商之间如果存在下列情形之一的，且参加同一标段（包别）或者不分标段（包别）的同一项目投标，相关供应商均按无效标进行处理：</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13.2.1法定代表人为同一个人的两个及两个以上法人；</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13.2.2母公司、全资子公司及其控股公司；</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13.2.3参加投标的其他组织之间存在特殊的利害关系的；</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13.2.4法律和行政法规规定的其他情形。</w:t>
      </w:r>
    </w:p>
    <w:p>
      <w:pPr>
        <w:spacing w:line="360" w:lineRule="auto"/>
        <w:ind w:firstLine="54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14、勘察现场</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14.1供应商应自行对供货现场和周围环境进行勘察，以获取编制询价响应文件和签署合同所需的资料。勘察现场的方式、地址及联系方式见供应商须知前附表。</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勘察现场所发生的费用由供应商自行承担。采购人向供应商提供的有关现场的资料和数据，是采购人现有的能使供应商利用的资料。采购人对供应商由此而做出的推论、理解和结论概不负责。供应商未到现场实地踏勘的，中标后签订合同时和履约过程中，不得以不完全了解现场情况为由，提出任何形式的增加合同价款或索赔的要求。</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14.3除非有特殊要求，询价文件不单独提供供货使用地的自然环境、气候条件、公用设施等情况，供应商被视为熟悉上述与履行合同有关的一切情况。</w:t>
      </w:r>
    </w:p>
    <w:p>
      <w:pPr>
        <w:wordWrap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15、知识产权</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供应商须保证，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15.2供应商如欲在项目实施过程中采用自有知识成果，须在询价响应文件中声明，并提供相关知识产权证明文件。使用该知识成果后，供应商须提供开发接口和开发手册等技术文档。</w:t>
      </w:r>
    </w:p>
    <w:p>
      <w:pPr>
        <w:spacing w:line="360" w:lineRule="auto"/>
        <w:ind w:firstLine="54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16、纪律与保密</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16.1供应商的投标行为应遵守中国的有关法律、法规和规章。</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16.2供应商不得相互串通投标报价，不得妨碍其他供应商的公平竞争，不得损害采购人或其他供应商的合法权益，供应商不得以向采购人、评委会成员行贿或者采取其他不正当手段谋取中标。</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16.2.1有下列情形之一的，属于供应商相互串通投标：</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16.2.1.1供应商之间协商投标报价等询价响应文件的实质性内容；</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16.2.1.2供应商之间约定</w:t>
      </w:r>
      <w:r>
        <w:rPr>
          <w:rFonts w:hint="eastAsia" w:ascii="宋体" w:hAnsi="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16.2.1.3供应商之间约定部分供应商放弃投标或者中标；</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16.2.1.4属于同一集团、协会、商会等组织成员的供应商按照该组织要求协同投标；</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16.2.1.5供应商之间为谋取中标或者排斥特定供应商而采取的其他联合行动。</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16.2.1.6法律法规规定的其它情形。</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16.2.2 有下列情形之一的，视为供应商相互串通投标：</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16.2.2.1不同供应商的询价响应文件由同一单位或者个人编制；</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16.2.2.2不同供应商委托同一单位或者个人办理投标事宜。</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16.2.2.3不同供应商的询价响应文件载明的项目负责人（或技术负责人）为同一人；</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16.2.2.4不同供应商的询价响应文件相互混装；</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16.2.2.5 不同供应商的响应文件异常一致或者投标报价是呈规律性差异；</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16.2.2.6不同供应商的投标保证金从同一单位（或者同一个人）的账户转出；</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16.2.2.7法律法规规定的其它情形。</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16.3在确定</w:t>
      </w:r>
      <w:r>
        <w:rPr>
          <w:rFonts w:hint="eastAsia" w:ascii="宋体" w:hAnsi="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之前，供应商试图在询价响应文件审查、澄清、比较和评价时对评委会和采购人施加任何影响都可能导致其投标无效。</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17.联合体投标</w:t>
      </w:r>
    </w:p>
    <w:p>
      <w:pPr>
        <w:spacing w:line="360" w:lineRule="auto"/>
        <w:ind w:firstLine="5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17.1非本项目明确要求不接受联合体形式投标外，两个或两个以上投标人可以组成一个联合体投标，以一个投标人的身份投标，项目投标时以联合体牵头人制作投标文件。</w:t>
      </w:r>
    </w:p>
    <w:p>
      <w:pPr>
        <w:spacing w:line="360" w:lineRule="auto"/>
        <w:ind w:firstLine="5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联合体各方之间应当签订联合体协议，明确约定联合体各方应当承担的工作和相应的责任，明确联合体牵头人，并将联合体协议连同投标文件一并提交，联合体协议上需加盖联合体各方的公章。由同一专业的单位组成的联合体，按照同一资质等级较低的单位确定资质等级。</w:t>
      </w:r>
    </w:p>
    <w:p>
      <w:pPr>
        <w:spacing w:line="360" w:lineRule="auto"/>
        <w:ind w:firstLine="55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17.3联合体各方签订联合体协议后，不得再以自己的名义单独在同一项目中投标，也不得组成新的联合体参加同一项目投标，否则</w:t>
      </w:r>
      <w:r>
        <w:rPr>
          <w:rFonts w:hint="eastAsia" w:ascii="宋体" w:hAnsi="宋体" w:eastAsia="宋体" w:cs="宋体"/>
          <w:b/>
          <w:bCs/>
          <w:color w:val="auto"/>
          <w:sz w:val="24"/>
          <w:szCs w:val="24"/>
          <w:highlight w:val="none"/>
        </w:rPr>
        <w:t>相关供应商按无效标处理。</w:t>
      </w:r>
    </w:p>
    <w:p>
      <w:pPr>
        <w:spacing w:line="360" w:lineRule="auto"/>
        <w:ind w:firstLine="5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17.4联合体投标的，可以由联合体中的一方或者共同提交投标保证金，以一方名义提交保证金的，对联合体各方均具有约束力。</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18.投标品牌</w:t>
      </w:r>
    </w:p>
    <w:p>
      <w:pPr>
        <w:pStyle w:val="39"/>
        <w:wordWrap w:val="0"/>
        <w:spacing w:line="360" w:lineRule="auto"/>
        <w:ind w:firstLine="48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询价文件中提供的参考商标、品牌，是采购人为了方便供应商更准确、更清楚说明拟采购货物的技术规格，并无</w:t>
      </w:r>
      <w:r>
        <w:rPr>
          <w:rFonts w:hint="eastAsia" w:ascii="宋体" w:hAnsi="宋体" w:cs="宋体"/>
          <w:b w:val="0"/>
          <w:bCs w:val="0"/>
          <w:color w:val="auto"/>
          <w:sz w:val="24"/>
          <w:szCs w:val="24"/>
          <w:highlight w:val="none"/>
          <w:lang w:eastAsia="zh-CN"/>
        </w:rPr>
        <w:t>强制</w:t>
      </w:r>
      <w:r>
        <w:rPr>
          <w:rFonts w:hint="eastAsia" w:ascii="宋体" w:hAnsi="宋体" w:eastAsia="宋体" w:cs="宋体"/>
          <w:b w:val="0"/>
          <w:bCs w:val="0"/>
          <w:color w:val="auto"/>
          <w:sz w:val="24"/>
          <w:szCs w:val="24"/>
          <w:highlight w:val="none"/>
        </w:rPr>
        <w:t>限制性。供应商在投标中若选用替代商标、品牌，应优于或相当于参考商标、品牌的技术规格。</w:t>
      </w:r>
    </w:p>
    <w:p>
      <w:pPr>
        <w:spacing w:line="360" w:lineRule="auto"/>
        <w:ind w:firstLine="525"/>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19.签章的效力</w:t>
      </w:r>
    </w:p>
    <w:p>
      <w:pPr>
        <w:pStyle w:val="39"/>
        <w:wordWrap w:val="0"/>
        <w:spacing w:line="360" w:lineRule="auto"/>
        <w:ind w:firstLine="48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询价文件中明确要求加盖公章的，供应商必须加盖供应商公章。</w:t>
      </w:r>
    </w:p>
    <w:p>
      <w:pPr>
        <w:spacing w:line="360" w:lineRule="auto"/>
        <w:ind w:firstLine="525" w:firstLineChars="218"/>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20.企业诚信库（本项目不启用）</w:t>
      </w:r>
    </w:p>
    <w:p>
      <w:pPr>
        <w:spacing w:line="360" w:lineRule="auto"/>
        <w:ind w:firstLine="523" w:firstLineChars="2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20.1为进一步规范招投标行为，提高招投标工作效率，降低投标成本，加强对供应商诚信信息的管理，加快政府采购工作电子化、信息化建设，中心实行供应商企业诚信库制度，并面向全国免费征集。</w:t>
      </w:r>
    </w:p>
    <w:p>
      <w:pPr>
        <w:pStyle w:val="1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20.2入库资料的真实性、有效性、完整性、准确性、合法性及清晰度由供应商负责。企业诚信库中的文字信息必须与扫描件、真实证照完全一致。企业诚信库资料的有效性在评标时由项目评审委员会负责审核。</w:t>
      </w:r>
    </w:p>
    <w:p>
      <w:pPr>
        <w:spacing w:line="360" w:lineRule="auto"/>
        <w:ind w:firstLine="523" w:firstLineChars="2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20.3为确保询价响应文件通过评审，供应商应及时对入库资料进行补充、更新。如因前款原因未通过本项目评委会评审，由供应商承担全部责任。</w:t>
      </w:r>
    </w:p>
    <w:p>
      <w:pPr>
        <w:widowControl/>
        <w:shd w:val="clear" w:color="auto" w:fill="FFFFFF"/>
        <w:spacing w:line="36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（四）询价响应文件的编制</w:t>
      </w:r>
    </w:p>
    <w:p>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21</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询价响应的语言及度量衡单位</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21.1</w:t>
      </w:r>
      <w:r>
        <w:rPr>
          <w:rFonts w:hint="eastAsia" w:ascii="宋体" w:hAnsi="宋体" w:eastAsia="宋体" w:cs="宋体"/>
          <w:color w:val="auto"/>
          <w:sz w:val="24"/>
          <w:szCs w:val="24"/>
          <w:highlight w:val="none"/>
        </w:rPr>
        <w:t>供应商的询价响应书、以及供应商与采购单位就询价响应的所有往来函电，均须使用简体中文。</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21.2</w:t>
      </w:r>
      <w:r>
        <w:rPr>
          <w:rFonts w:hint="eastAsia" w:ascii="宋体" w:hAnsi="宋体" w:eastAsia="宋体" w:cs="宋体"/>
          <w:color w:val="auto"/>
          <w:sz w:val="24"/>
          <w:szCs w:val="24"/>
          <w:highlight w:val="none"/>
        </w:rPr>
        <w:t>除询价文件中另有规定外，询价响应书所使用的度量衡均须采用法定计量单位。</w:t>
      </w:r>
    </w:p>
    <w:p>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22</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询价响应书构成</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 xml:space="preserve">22.1 </w:t>
      </w:r>
      <w:r>
        <w:rPr>
          <w:rFonts w:hint="eastAsia" w:ascii="宋体" w:hAnsi="宋体" w:eastAsia="宋体" w:cs="宋体"/>
          <w:color w:val="auto"/>
          <w:sz w:val="24"/>
          <w:szCs w:val="24"/>
          <w:highlight w:val="none"/>
        </w:rPr>
        <w:t>询价响应书应包括本询价文件第五章询价响应书中所规定的全部内容。</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22.2</w:t>
      </w:r>
      <w:r>
        <w:rPr>
          <w:rFonts w:hint="eastAsia" w:ascii="宋体" w:hAnsi="宋体" w:eastAsia="宋体" w:cs="宋体"/>
          <w:color w:val="auto"/>
          <w:sz w:val="24"/>
          <w:szCs w:val="24"/>
          <w:highlight w:val="none"/>
        </w:rPr>
        <w:t>供应商必须对其询价响应书的真实性与准确性负责。供应商一旦成为成交供应商，其询价响应书将作为合同的重要组成部分。</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22.3</w:t>
      </w:r>
      <w:r>
        <w:rPr>
          <w:rFonts w:hint="eastAsia" w:ascii="宋体" w:hAnsi="宋体" w:eastAsia="宋体" w:cs="宋体"/>
          <w:color w:val="auto"/>
          <w:sz w:val="24"/>
          <w:szCs w:val="24"/>
          <w:highlight w:val="none"/>
        </w:rPr>
        <w:t>供应商不得擅自对询价文件的格式、条款和技术要求进行修改。否则，其询价响应书在谈判时有可能被认为是未对询价文件做出实质性的响应而中止对其作进一步的评审。</w:t>
      </w:r>
    </w:p>
    <w:p>
      <w:pPr>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23</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询价响应报价</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23.1询价响应报价应清楚地标明供应商拟提供货物的名称、单价和总价。只允许有一个方案、一个报价，多方案、多报价的询价响应将不被接受。响应报价超过项目预算控制数或不按规定格式进行报价的属于无效响应。</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23.2询价响应报价表上货物的价格是交货地的验收价格，其总价即为履行合同的固定价格。</w:t>
      </w:r>
    </w:p>
    <w:p>
      <w:pPr>
        <w:wordWrap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23.3投标报价只限于填写在投标报价表内，响应文件其它位置不应出现报价内容。</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23.4</w:t>
      </w:r>
      <w:bookmarkStart w:id="29" w:name="EB616bfadcee8947c09e287939cf58f192"/>
      <w:r>
        <w:rPr>
          <w:rFonts w:hint="eastAsia" w:ascii="宋体" w:hAnsi="宋体" w:eastAsia="宋体" w:cs="宋体"/>
          <w:color w:val="auto"/>
          <w:sz w:val="24"/>
          <w:szCs w:val="24"/>
          <w:highlight w:val="none"/>
        </w:rPr>
        <w:t>供应商的报价应包含所投货物、保险、税费、包装、运输、现场落地、安装及安装损耗、调试、检测验收和交付后约定期限内维保等工作所发生的一切应有费用。</w:t>
      </w:r>
      <w:bookmarkEnd w:id="29"/>
      <w:r>
        <w:rPr>
          <w:rFonts w:hint="eastAsia" w:ascii="宋体" w:hAnsi="宋体" w:eastAsia="宋体" w:cs="宋体"/>
          <w:color w:val="auto"/>
          <w:sz w:val="24"/>
          <w:szCs w:val="24"/>
          <w:highlight w:val="none"/>
        </w:rPr>
        <w:t>投标报价为签订合同的依据。</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23.5供应商应在询价响应文件中注明拟提供货物的单价、服务内容明细和总价。除政策性文件规定以外，供应商所报价格在合同实施期间不因市场变化因素而变动。</w:t>
      </w:r>
    </w:p>
    <w:p>
      <w:pPr>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24</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询价响应货币：</w:t>
      </w:r>
      <w:r>
        <w:rPr>
          <w:rFonts w:hint="eastAsia" w:ascii="宋体" w:hAnsi="宋体" w:eastAsia="宋体" w:cs="宋体"/>
          <w:color w:val="auto"/>
          <w:sz w:val="24"/>
          <w:szCs w:val="24"/>
          <w:highlight w:val="none"/>
        </w:rPr>
        <w:t>须以人民币报价。</w:t>
      </w:r>
    </w:p>
    <w:p>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25</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证明供应商合格的资格文件</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25.1供应商在其询价响应书中，应根据询价文件要求提交证明其有资格参加和成交后有能力履行合同的资质证明文件，作为其询价文件的一部分。</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25.2供应商资质证书（或资格证明）处于年检、换证、升级、变更等期间，除非法律法规或发证机构有书面材料明确表明供应商资质（或资格)有效，否则一律不予认可</w:t>
      </w:r>
    </w:p>
    <w:p>
      <w:pPr>
        <w:numPr>
          <w:ilvl w:val="0"/>
          <w:numId w:val="3"/>
        </w:num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询价响应保证金（如有）。</w:t>
      </w:r>
    </w:p>
    <w:p>
      <w:pPr>
        <w:numPr>
          <w:ilvl w:val="0"/>
          <w:numId w:val="0"/>
        </w:num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27、询价响应书的密封和标记</w:t>
      </w:r>
    </w:p>
    <w:p>
      <w:pPr>
        <w:pStyle w:val="39"/>
        <w:wordWrap w:val="0"/>
        <w:ind w:firstLine="48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27.1</w:t>
      </w:r>
      <w:bookmarkStart w:id="30" w:name="_Hlt509650747"/>
      <w:bookmarkEnd w:id="30"/>
      <w:r>
        <w:rPr>
          <w:rFonts w:hint="eastAsia" w:ascii="宋体" w:hAnsi="宋体" w:eastAsia="宋体" w:cs="宋体"/>
          <w:b w:val="0"/>
          <w:bCs w:val="0"/>
          <w:color w:val="auto"/>
          <w:sz w:val="24"/>
          <w:szCs w:val="24"/>
          <w:highlight w:val="none"/>
        </w:rPr>
        <w:t>响应文件按照要求盖章。</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27.2询价响应文件应当密封，并在密封袋上标注项目名称、项目编号、供应商名称及包别。</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27.3如果未按规定封装或加写标记或递交，代理机构将不承担响应文件错放或提前开封的责任，并导致该类别文件递交无效。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27.4供应商应按照询价文件的要求准备询价响应文件。</w:t>
      </w:r>
    </w:p>
    <w:p>
      <w:pPr>
        <w:widowControl/>
        <w:shd w:val="clear" w:color="auto" w:fill="FFFFFF"/>
        <w:spacing w:line="360" w:lineRule="auto"/>
        <w:jc w:val="center"/>
        <w:rPr>
          <w:rFonts w:hint="eastAsia" w:ascii="宋体" w:hAnsi="宋体" w:eastAsia="宋体" w:cs="宋体"/>
          <w:b/>
          <w:bCs/>
          <w:color w:val="auto"/>
          <w:kern w:val="0"/>
          <w:sz w:val="24"/>
          <w:szCs w:val="24"/>
          <w:highlight w:val="none"/>
        </w:rPr>
      </w:pPr>
    </w:p>
    <w:p>
      <w:pPr>
        <w:widowControl/>
        <w:shd w:val="clear" w:color="auto" w:fill="FFFFFF"/>
        <w:spacing w:line="36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（五）询价响应文件递交</w:t>
      </w:r>
    </w:p>
    <w:p>
      <w:pPr>
        <w:widowControl/>
        <w:shd w:val="clear" w:color="auto" w:fill="FFFFFF"/>
        <w:spacing w:line="360" w:lineRule="auto"/>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28</w:t>
      </w:r>
      <w:r>
        <w:rPr>
          <w:rFonts w:hint="eastAsia" w:ascii="宋体" w:hAnsi="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询价响应文件递交</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28.1询价响应文件的递交是指供应商在投标截止时间前密封送达指定开标地点。</w:t>
      </w:r>
    </w:p>
    <w:p>
      <w:pPr>
        <w:pStyle w:val="1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28.2投标截止时间前，供应商可以修改或撤回已提交的询价响应文件。</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28.3在询价文件要求提交询价响应文件的截止时间之后送达的询价响应文件，为无效询价响应文件，代理机构将拒绝接收。</w:t>
      </w:r>
    </w:p>
    <w:p>
      <w:pPr>
        <w:wordWrap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29、拒绝的投标书：</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采购单位将拒绝迟交的标书并原封退回。</w:t>
      </w:r>
    </w:p>
    <w:p>
      <w:pPr>
        <w:wordWrap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30、投标书的修改和撤回</w:t>
      </w:r>
    </w:p>
    <w:p>
      <w:pPr>
        <w:pStyle w:val="1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30.1询价响应文件的修改和撤回，必须以书面形式通知采购单位。</w:t>
      </w:r>
    </w:p>
    <w:p>
      <w:pPr>
        <w:pStyle w:val="1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30.2供应商修改书或撤回通知书，应由法定代表人或其授权代表签署，修改书应当按询价文件要求进行密封、标注，并在密封文件袋上标注“修改”字样。</w:t>
      </w:r>
    </w:p>
    <w:p>
      <w:pPr>
        <w:pStyle w:val="5"/>
        <w:spacing w:line="360" w:lineRule="auto"/>
        <w:jc w:val="center"/>
        <w:rPr>
          <w:rFonts w:hint="eastAsia" w:ascii="宋体" w:hAnsi="宋体" w:eastAsia="宋体" w:cs="宋体"/>
          <w:color w:val="auto"/>
          <w:sz w:val="24"/>
          <w:szCs w:val="24"/>
          <w:highlight w:val="none"/>
        </w:rPr>
      </w:pPr>
    </w:p>
    <w:p>
      <w:pPr>
        <w:pStyle w:val="5"/>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（六）开标现场</w:t>
      </w:r>
    </w:p>
    <w:p>
      <w:pPr>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31</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开标程序</w:t>
      </w:r>
    </w:p>
    <w:p>
      <w:pPr>
        <w:wordWrap w:val="0"/>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 xml:space="preserve">31.1 </w:t>
      </w:r>
      <w:r>
        <w:rPr>
          <w:rFonts w:hint="eastAsia" w:ascii="宋体" w:hAnsi="宋体" w:cs="宋体"/>
          <w:color w:val="auto"/>
          <w:sz w:val="24"/>
          <w:szCs w:val="24"/>
          <w:highlight w:val="none"/>
          <w:lang w:eastAsia="zh-CN"/>
        </w:rPr>
        <w:t>采购人在纪委等部门监督下组织开标及评审程序，不</w:t>
      </w:r>
      <w:r>
        <w:rPr>
          <w:rFonts w:hint="eastAsia" w:ascii="宋体" w:hAnsi="宋体" w:eastAsia="宋体" w:cs="宋体"/>
          <w:color w:val="auto"/>
          <w:sz w:val="24"/>
          <w:szCs w:val="24"/>
          <w:highlight w:val="none"/>
        </w:rPr>
        <w:t>邀请</w:t>
      </w:r>
      <w:r>
        <w:rPr>
          <w:rFonts w:hint="eastAsia" w:ascii="宋体" w:hAnsi="宋体" w:cs="宋体"/>
          <w:color w:val="auto"/>
          <w:sz w:val="24"/>
          <w:szCs w:val="24"/>
          <w:highlight w:val="none"/>
          <w:lang w:eastAsia="zh-CN"/>
        </w:rPr>
        <w:t>投标单位</w:t>
      </w:r>
      <w:r>
        <w:rPr>
          <w:rFonts w:hint="eastAsia" w:ascii="宋体" w:hAnsi="宋体" w:eastAsia="宋体" w:cs="宋体"/>
          <w:color w:val="auto"/>
          <w:sz w:val="24"/>
          <w:szCs w:val="24"/>
          <w:highlight w:val="none"/>
        </w:rPr>
        <w:t>代表参加。</w:t>
      </w:r>
    </w:p>
    <w:p>
      <w:pPr>
        <w:numPr>
          <w:ilvl w:val="0"/>
          <w:numId w:val="0"/>
        </w:numPr>
        <w:snapToGrid w:val="0"/>
        <w:spacing w:line="360" w:lineRule="auto"/>
        <w:jc w:val="center"/>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七</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评审</w:t>
      </w:r>
    </w:p>
    <w:p>
      <w:pPr>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评审程序</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32.1询价小组由采购人依法组建，成员人数为3人以上单数。询价小组成员名单在成交结果确定前应当保密。</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32.2询价小组首先对供应商的有效性进行审查，有效性审查不通过的，将不得进入报价。</w:t>
      </w:r>
    </w:p>
    <w:p>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32.3询价小组对供应商提交的询价响应书及样品（如有）进行审查。</w:t>
      </w:r>
    </w:p>
    <w:p>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32.4、询价小组在满足询价文件实质性要求的供应商中，从低到高的顺序推荐</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名成交候选人。</w:t>
      </w:r>
    </w:p>
    <w:p>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对否定的供应商，询价小组要提出充足的否定理由，并填写在评审记录上；对评审结果持有异议的，按照少数服从多数的原则由评委采取投票方式表决确定并记录入评审记录。</w:t>
      </w:r>
    </w:p>
    <w:p>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资格审查</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由询价小组对供应商资格进行审查。</w:t>
      </w:r>
    </w:p>
    <w:p>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33.1询价响应书及样品</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询价小组将认真审查供应商提交的询价响应书，了解其与询价文件要求是否有偏离，并对照本询价文件规定评判供应商是否合格。审查完询价响应书后，对合格供应商提供的样品（如有）进行检验。</w:t>
      </w:r>
    </w:p>
    <w:p>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33.2成交候选人</w:t>
      </w:r>
    </w:p>
    <w:p>
      <w:pPr>
        <w:snapToGrid w:val="0"/>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询价小组从质量和服务均能满足询价文件实质性响应要求的供应商中，按照最后报价由低到高的顺序以及信用查询情况提出成交候选人，并编写评审报告。</w:t>
      </w:r>
      <w:r>
        <w:rPr>
          <w:rFonts w:hint="eastAsia" w:ascii="宋体" w:hAnsi="宋体" w:eastAsia="宋体" w:cs="宋体"/>
          <w:b/>
          <w:bCs/>
          <w:color w:val="auto"/>
          <w:sz w:val="24"/>
          <w:szCs w:val="24"/>
          <w:highlight w:val="none"/>
        </w:rPr>
        <w:t>如最后报价相同，由采购人在现场监督</w:t>
      </w:r>
      <w:r>
        <w:rPr>
          <w:rFonts w:hint="eastAsia" w:ascii="宋体" w:hAnsi="宋体" w:cs="宋体"/>
          <w:b/>
          <w:bCs/>
          <w:color w:val="auto"/>
          <w:sz w:val="24"/>
          <w:szCs w:val="24"/>
          <w:highlight w:val="none"/>
          <w:lang w:eastAsia="zh-CN"/>
        </w:rPr>
        <w:t>部门监督</w:t>
      </w:r>
      <w:r>
        <w:rPr>
          <w:rFonts w:hint="eastAsia" w:ascii="宋体" w:hAnsi="宋体" w:eastAsia="宋体" w:cs="宋体"/>
          <w:b/>
          <w:bCs/>
          <w:color w:val="auto"/>
          <w:sz w:val="24"/>
          <w:szCs w:val="24"/>
          <w:highlight w:val="none"/>
        </w:rPr>
        <w:t>下代为抽取。</w:t>
      </w:r>
    </w:p>
    <w:p>
      <w:pPr>
        <w:snapToGrid w:val="0"/>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kern w:val="0"/>
          <w:sz w:val="24"/>
          <w:szCs w:val="24"/>
          <w:highlight w:val="none"/>
        </w:rPr>
        <w:t>32.3 采购人收到评审报告后最迟在3个工作日确定成交结果，也可以授权评标委员会依据现行法规直接确定成交供应商。</w:t>
      </w:r>
    </w:p>
    <w:p>
      <w:pPr>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34</w:t>
      </w:r>
      <w:r>
        <w:rPr>
          <w:rFonts w:hint="eastAsia" w:ascii="宋体" w:hAnsi="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中标通知书</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确定后,由采购人向</w:t>
      </w:r>
      <w:r>
        <w:rPr>
          <w:rFonts w:hint="eastAsia" w:ascii="宋体" w:hAnsi="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发出中标通知书。中标通知书对采购人和</w:t>
      </w:r>
      <w:r>
        <w:rPr>
          <w:rFonts w:hint="eastAsia" w:ascii="宋体" w:hAnsi="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具有同等法律效力。</w:t>
      </w:r>
    </w:p>
    <w:p>
      <w:pPr>
        <w:snapToGrid w:val="0"/>
        <w:spacing w:line="360" w:lineRule="auto"/>
        <w:ind w:firstLine="482" w:firstLineChars="200"/>
        <w:rPr>
          <w:rFonts w:hint="eastAsia" w:ascii="宋体" w:hAnsi="宋体" w:eastAsia="宋体" w:cs="宋体"/>
          <w:b/>
          <w:bCs/>
          <w:color w:val="auto"/>
          <w:sz w:val="24"/>
          <w:szCs w:val="24"/>
          <w:highlight w:val="none"/>
        </w:rPr>
      </w:pPr>
    </w:p>
    <w:p>
      <w:pPr>
        <w:snapToGrid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（八）废标</w:t>
      </w:r>
    </w:p>
    <w:p>
      <w:pPr>
        <w:spacing w:line="360" w:lineRule="auto"/>
        <w:ind w:firstLine="549"/>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35、在招标采购中，出现下列情形之一的，本项目废标：</w:t>
      </w:r>
    </w:p>
    <w:p>
      <w:pPr>
        <w:spacing w:line="360" w:lineRule="auto"/>
        <w:ind w:firstLine="523" w:firstLineChars="218"/>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35.1合格供应商不足规定家数的；</w:t>
      </w:r>
    </w:p>
    <w:p>
      <w:pPr>
        <w:spacing w:line="360" w:lineRule="auto"/>
        <w:ind w:firstLine="523" w:firstLineChars="218"/>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35.2出现影响采购公正的违法、违规行为的；</w:t>
      </w:r>
    </w:p>
    <w:p>
      <w:pPr>
        <w:spacing w:line="360" w:lineRule="auto"/>
        <w:ind w:firstLine="523" w:firstLineChars="218"/>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35.3采购需求出现重大问题，导致评标委员会认为无法继续评审的；</w:t>
      </w:r>
    </w:p>
    <w:p>
      <w:pPr>
        <w:spacing w:line="360" w:lineRule="auto"/>
        <w:ind w:firstLine="523" w:firstLineChars="218"/>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35.4因重大变故，采购任务取消的。</w:t>
      </w:r>
    </w:p>
    <w:p>
      <w:pPr>
        <w:spacing w:line="360" w:lineRule="auto"/>
        <w:ind w:firstLine="523" w:firstLineChars="218"/>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35.5法律法规规定的其他应该废标的情形。</w:t>
      </w:r>
    </w:p>
    <w:p>
      <w:pPr>
        <w:pStyle w:val="33"/>
        <w:rPr>
          <w:rFonts w:hint="eastAsia"/>
          <w:color w:val="auto"/>
          <w:highlight w:val="none"/>
        </w:rPr>
      </w:pPr>
    </w:p>
    <w:p>
      <w:pPr>
        <w:pStyle w:val="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九</w:t>
      </w:r>
      <w:r>
        <w:rPr>
          <w:rFonts w:hint="eastAsia" w:ascii="宋体" w:hAnsi="宋体" w:eastAsia="宋体" w:cs="宋体"/>
          <w:color w:val="auto"/>
          <w:sz w:val="24"/>
          <w:szCs w:val="24"/>
          <w:highlight w:val="none"/>
        </w:rPr>
        <w:t>）评标办法</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着坚持“公开、公平、公正”的原则，为维护招投标双方的合法权益，增加评标工作透明度，保证评标、定标的科学性、公正性和可操作性，根据《中华人民共和国政府采购法》、《中华人民共和国政府采购法实施条例》、《政府采购非招标采购方式管理办法》等法律法规的精神，并结合本项目实际制定本办法。</w:t>
      </w:r>
    </w:p>
    <w:p>
      <w:pPr>
        <w:pStyle w:val="37"/>
        <w:wordWrap w:val="0"/>
        <w:adjustRightInd/>
        <w:spacing w:line="360" w:lineRule="auto"/>
        <w:ind w:firstLine="480" w:firstLineChars="200"/>
        <w:jc w:val="both"/>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最低评标价法，以价格为主要因素确定中标候选供应商的评标方法。</w:t>
      </w:r>
      <w:r>
        <w:rPr>
          <w:rFonts w:hint="eastAsia" w:ascii="宋体" w:hAnsi="宋体" w:eastAsia="宋体" w:cs="宋体"/>
          <w:b w:val="0"/>
          <w:bCs w:val="0"/>
          <w:color w:val="auto"/>
          <w:sz w:val="24"/>
          <w:szCs w:val="24"/>
          <w:highlight w:val="none"/>
        </w:rPr>
        <w:t>如最后报价相同，则由在相关部门的监督下现场抽签决定排序。</w:t>
      </w:r>
    </w:p>
    <w:p>
      <w:pPr>
        <w:numPr>
          <w:ilvl w:val="0"/>
          <w:numId w:val="4"/>
        </w:numPr>
        <w:adjustRightInd w:val="0"/>
        <w:snapToGrid w:val="0"/>
        <w:spacing w:line="360" w:lineRule="auto"/>
        <w:ind w:right="-10" w:firstLine="48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评标程序</w:t>
      </w:r>
    </w:p>
    <w:p>
      <w:pPr>
        <w:adjustRightInd w:val="0"/>
        <w:snapToGrid w:val="0"/>
        <w:spacing w:line="360" w:lineRule="auto"/>
        <w:ind w:right="-1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评委会应认真研究询价文件及采购需求，应了解和熟悉招标项目的范围、性质、特征主要技术服务要求及标准、评审标准等相关内容：</w:t>
      </w:r>
    </w:p>
    <w:p>
      <w:pPr>
        <w:pStyle w:val="37"/>
        <w:wordWrap w:val="0"/>
        <w:adjustRightInd/>
        <w:spacing w:line="360" w:lineRule="auto"/>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36.1</w:t>
      </w:r>
      <w:r>
        <w:rPr>
          <w:rFonts w:hint="eastAsia"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评标委员会首先根据已发布的询价文件核对询价文件数据评审项，与询价文件内容不符的，按询价文件内容对询价文件数据评审项进行修改。</w:t>
      </w:r>
    </w:p>
    <w:p>
      <w:pPr>
        <w:pStyle w:val="37"/>
        <w:wordWrap w:val="0"/>
        <w:adjustRightInd/>
        <w:spacing w:line="360"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36.2</w:t>
      </w:r>
      <w:r>
        <w:rPr>
          <w:rFonts w:hint="eastAsia"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评标委员会成员对响应文件有效性进行评审。</w:t>
      </w:r>
    </w:p>
    <w:p>
      <w:pPr>
        <w:pStyle w:val="37"/>
        <w:wordWrap w:val="0"/>
        <w:adjustRightInd/>
        <w:spacing w:line="360"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36.3 </w:t>
      </w:r>
      <w:r>
        <w:rPr>
          <w:rFonts w:hint="eastAsia" w:ascii="宋体" w:hAnsi="宋体" w:eastAsia="宋体" w:cs="宋体"/>
          <w:color w:val="auto"/>
          <w:sz w:val="24"/>
          <w:szCs w:val="24"/>
          <w:highlight w:val="none"/>
        </w:rPr>
        <w:t>先进行有效性评审，评标委员会根据响应文件，推荐有排序的预中标候选人，并形成评标报告。</w:t>
      </w:r>
    </w:p>
    <w:p>
      <w:pPr>
        <w:pStyle w:val="37"/>
        <w:wordWrap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36.3.1评委会发现供应商的询价响应文件中对同类问题表述不一致、前后矛盾、有明显文字和计算错误的内容、有可能不符合询价文件规定等情况需要澄清时，评委会将以询标的方式告知并要求供应商以系统在线回复方式进行必要的澄清、说明或补正。对否定的竞争性询价响应文件，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pPr>
        <w:pStyle w:val="37"/>
        <w:wordWrap w:val="0"/>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询标函格式如下：</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6"/>
        <w:gridCol w:w="5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06" w:type="dxa"/>
            <w:vAlign w:val="center"/>
          </w:tcPr>
          <w:p>
            <w:pPr>
              <w:pStyle w:val="37"/>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5516" w:type="dxa"/>
            <w:vAlign w:val="center"/>
          </w:tcPr>
          <w:p>
            <w:pPr>
              <w:pStyle w:val="37"/>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3006" w:type="dxa"/>
            <w:vAlign w:val="center"/>
          </w:tcPr>
          <w:p>
            <w:pPr>
              <w:pStyle w:val="37"/>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项目（标段）编号</w:t>
            </w:r>
          </w:p>
        </w:tc>
        <w:tc>
          <w:tcPr>
            <w:tcW w:w="5516" w:type="dxa"/>
            <w:vAlign w:val="center"/>
          </w:tcPr>
          <w:p>
            <w:pPr>
              <w:pStyle w:val="37"/>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06" w:type="dxa"/>
            <w:vAlign w:val="center"/>
          </w:tcPr>
          <w:p>
            <w:pPr>
              <w:pStyle w:val="37"/>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评标委员会询标内容</w:t>
            </w:r>
          </w:p>
        </w:tc>
        <w:tc>
          <w:tcPr>
            <w:tcW w:w="5516" w:type="dxa"/>
            <w:vAlign w:val="center"/>
          </w:tcPr>
          <w:p>
            <w:pPr>
              <w:pStyle w:val="37"/>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3006" w:type="dxa"/>
            <w:vAlign w:val="center"/>
          </w:tcPr>
          <w:p>
            <w:pPr>
              <w:pStyle w:val="37"/>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投标供应商澄清说明</w:t>
            </w:r>
          </w:p>
        </w:tc>
        <w:tc>
          <w:tcPr>
            <w:tcW w:w="5516" w:type="dxa"/>
            <w:vAlign w:val="center"/>
          </w:tcPr>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投标人签章： </w:t>
            </w:r>
          </w:p>
          <w:p>
            <w:pPr>
              <w:pStyle w:val="37"/>
              <w:wordWrap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3006" w:type="dxa"/>
            <w:vAlign w:val="center"/>
          </w:tcPr>
          <w:p>
            <w:pPr>
              <w:pStyle w:val="37"/>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审查结论</w:t>
            </w:r>
          </w:p>
          <w:p>
            <w:pPr>
              <w:pStyle w:val="37"/>
              <w:wordWrap w:val="0"/>
              <w:jc w:val="center"/>
              <w:rPr>
                <w:rFonts w:hint="eastAsia" w:ascii="宋体" w:hAnsi="宋体" w:eastAsia="宋体" w:cs="宋体"/>
                <w:color w:val="auto"/>
                <w:sz w:val="24"/>
                <w:szCs w:val="24"/>
                <w:highlight w:val="none"/>
              </w:rPr>
            </w:pPr>
          </w:p>
        </w:tc>
        <w:tc>
          <w:tcPr>
            <w:tcW w:w="5516" w:type="dxa"/>
            <w:vAlign w:val="center"/>
          </w:tcPr>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sym w:font="Wingdings 2" w:char="00A3"/>
            </w:r>
            <w:r>
              <w:rPr>
                <w:rFonts w:hint="eastAsia" w:ascii="宋体" w:hAnsi="宋体" w:eastAsia="宋体" w:cs="宋体"/>
                <w:color w:val="auto"/>
                <w:kern w:val="0"/>
                <w:sz w:val="24"/>
                <w:szCs w:val="24"/>
                <w:highlight w:val="none"/>
              </w:rPr>
              <w:t>通过。         □不通过。</w:t>
            </w:r>
          </w:p>
          <w:p>
            <w:pPr>
              <w:pStyle w:val="37"/>
              <w:wordWrap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原因：</w:t>
            </w:r>
          </w:p>
        </w:tc>
      </w:tr>
    </w:tbl>
    <w:p>
      <w:pPr>
        <w:pStyle w:val="37"/>
        <w:wordWrap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36.3.2评审报告是评标委员会根据全体评标成员签字的原始评标记录和评标结果编写的报告，评标委员会全体成员、监督人员均须在评审报告上签字。评审报告应如实记录本次评标的主要过程，全面反映评标过程中的各种不同的意见，以及其他澄清、说明、补正事项。</w:t>
      </w:r>
    </w:p>
    <w:p>
      <w:pPr>
        <w:pStyle w:val="37"/>
        <w:wordWrap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36.3.3评标委员会在评标过程中发现的问题，应当区别情形及时作出处理。</w:t>
      </w:r>
    </w:p>
    <w:p>
      <w:pPr>
        <w:pStyle w:val="37"/>
        <w:wordWrap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36.3.4评标委员会认为供应商的报价明显低于其他通过符合性审查供应商的报价，有可能影响产品质量或者不能诚信履约的，</w:t>
      </w:r>
      <w:r>
        <w:rPr>
          <w:rFonts w:hint="eastAsia" w:ascii="宋体" w:hAnsi="宋体" w:eastAsia="宋体" w:cs="宋体"/>
          <w:bCs/>
          <w:color w:val="auto"/>
          <w:sz w:val="24"/>
          <w:szCs w:val="24"/>
          <w:highlight w:val="none"/>
        </w:rPr>
        <w:t>应当要求其在合理的时间内通过系统提供说明</w:t>
      </w:r>
      <w:r>
        <w:rPr>
          <w:rFonts w:hint="eastAsia" w:ascii="宋体" w:hAnsi="宋体" w:eastAsia="宋体" w:cs="宋体"/>
          <w:color w:val="auto"/>
          <w:sz w:val="24"/>
          <w:szCs w:val="24"/>
          <w:highlight w:val="none"/>
        </w:rPr>
        <w:t>，必要时提交相关证明材料；供应商不能证明其报价合理性的，评标委员会应当将其作为无效投标处理。</w:t>
      </w:r>
    </w:p>
    <w:p>
      <w:pPr>
        <w:pStyle w:val="37"/>
        <w:wordWrap w:val="0"/>
        <w:adjustRightInd/>
        <w:spacing w:line="360" w:lineRule="auto"/>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36.3.5如询价文件中要求提供原件进行审查的，各供应商应按询价文件要求将相关原件材料</w:t>
      </w:r>
      <w:r>
        <w:rPr>
          <w:rFonts w:hint="eastAsia" w:cs="宋体"/>
          <w:b/>
          <w:bCs/>
          <w:color w:val="auto"/>
          <w:sz w:val="24"/>
          <w:szCs w:val="24"/>
          <w:highlight w:val="none"/>
          <w:lang w:eastAsia="zh-CN"/>
        </w:rPr>
        <w:t>准备好备查。</w:t>
      </w:r>
    </w:p>
    <w:p>
      <w:pPr>
        <w:spacing w:line="360" w:lineRule="auto"/>
        <w:ind w:firstLine="549"/>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36.3.</w:t>
      </w:r>
      <w:r>
        <w:rPr>
          <w:rFonts w:hint="eastAsia" w:ascii="宋体" w:hAnsi="宋体" w:eastAsia="宋体" w:cs="宋体"/>
          <w:color w:val="auto"/>
          <w:kern w:val="0"/>
          <w:sz w:val="24"/>
          <w:szCs w:val="24"/>
          <w:highlight w:val="none"/>
        </w:rPr>
        <w:t>6</w:t>
      </w:r>
      <w:r>
        <w:rPr>
          <w:rFonts w:hint="eastAsia" w:ascii="宋体" w:hAnsi="宋体" w:eastAsia="宋体" w:cs="宋体"/>
          <w:color w:val="auto"/>
          <w:sz w:val="24"/>
          <w:szCs w:val="24"/>
          <w:highlight w:val="none"/>
        </w:rPr>
        <w:t>评标委员会</w:t>
      </w:r>
      <w:r>
        <w:rPr>
          <w:rFonts w:hint="eastAsia" w:ascii="宋体" w:hAnsi="宋体" w:eastAsia="宋体" w:cs="宋体"/>
          <w:color w:val="auto"/>
          <w:kern w:val="0"/>
          <w:sz w:val="24"/>
          <w:szCs w:val="24"/>
          <w:highlight w:val="none"/>
        </w:rPr>
        <w:t>评审询价响应文件依据为询价响应文件以及按询价文件要求递交的其它资料。</w:t>
      </w:r>
    </w:p>
    <w:p>
      <w:pPr>
        <w:pStyle w:val="37"/>
        <w:wordWrap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36.3.7评标委员会和评标工作人员应严格遵守国家的法律、法规和规章制度；严格按照本次询价文件进行评标；公正廉洁、不徇私情，不得损害国家利益；保护采购人、供应商的合法权益。</w:t>
      </w:r>
    </w:p>
    <w:p>
      <w:pPr>
        <w:pStyle w:val="37"/>
        <w:wordWrap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36.4评标委员会发现询价文件内容违反国家有关强制性规定的，应当停止评审并向采购人及集中采购代理机构说明情况。</w:t>
      </w:r>
    </w:p>
    <w:p>
      <w:pPr>
        <w:pStyle w:val="37"/>
        <w:wordWrap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36.5投标人存在以下不良信用记录情形之一,不得推荐为中标候选人:</w:t>
      </w:r>
    </w:p>
    <w:p>
      <w:pPr>
        <w:pStyle w:val="37"/>
        <w:wordWrap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(1)投标人被人民法院列入失信被执行人的；</w:t>
      </w:r>
    </w:p>
    <w:p>
      <w:pPr>
        <w:pStyle w:val="37"/>
        <w:wordWrap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(2)供应商或其法定代表人近三年内被人民检察院列入行贿犯罪档案的；</w:t>
      </w:r>
    </w:p>
    <w:p>
      <w:pPr>
        <w:pStyle w:val="37"/>
        <w:wordWrap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(3)投标人被工商行政管理部门列入企业经营异常名录的；</w:t>
      </w:r>
    </w:p>
    <w:p>
      <w:pPr>
        <w:pStyle w:val="37"/>
        <w:wordWrap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(4)投标人被税务部门列入重大税收违法案件当事人名单的；</w:t>
      </w:r>
    </w:p>
    <w:p>
      <w:pPr>
        <w:pStyle w:val="37"/>
        <w:wordWrap w:val="0"/>
        <w:spacing w:line="360" w:lineRule="auto"/>
        <w:ind w:firstLine="480" w:firstLineChars="200"/>
        <w:jc w:val="both"/>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(5)投标人被政府采购监管部门列入政府采购严重违法失信行为记录名单的。</w:t>
      </w:r>
    </w:p>
    <w:p>
      <w:pPr>
        <w:widowControl/>
        <w:shd w:val="clear" w:color="auto" w:fill="FFFFFF"/>
        <w:spacing w:line="360" w:lineRule="auto"/>
        <w:ind w:firstLine="480" w:firstLineChars="200"/>
        <w:rPr>
          <w:rFonts w:hint="eastAsia" w:ascii="宋体" w:hAnsi="宋体" w:cs="宋体"/>
          <w:kern w:val="0"/>
          <w:sz w:val="24"/>
          <w:highlight w:val="none"/>
          <w:lang w:val="zh-CN"/>
        </w:rPr>
      </w:pPr>
      <w:r>
        <w:rPr>
          <w:rFonts w:hint="eastAsia" w:ascii="宋体" w:hAnsi="宋体" w:cs="宋体"/>
          <w:kern w:val="0"/>
          <w:sz w:val="24"/>
          <w:highlight w:val="none"/>
          <w:lang w:val="zh-CN"/>
        </w:rPr>
        <w:t>（</w:t>
      </w:r>
      <w:r>
        <w:rPr>
          <w:rFonts w:hint="eastAsia" w:ascii="宋体" w:hAnsi="宋体" w:cs="宋体"/>
          <w:kern w:val="0"/>
          <w:sz w:val="24"/>
          <w:highlight w:val="none"/>
        </w:rPr>
        <w:t>6</w:t>
      </w:r>
      <w:r>
        <w:rPr>
          <w:rFonts w:hint="eastAsia" w:ascii="宋体" w:hAnsi="宋体" w:cs="宋体"/>
          <w:kern w:val="0"/>
          <w:sz w:val="24"/>
          <w:highlight w:val="none"/>
          <w:lang w:val="zh-CN"/>
        </w:rPr>
        <w:t>）被铜陵市公共资源交易监管部门记录的不良行为累计分值在 10 分（含）-15 分（不含），且最近一次不良行为记录公布日距开标日未超过 3 个月；</w:t>
      </w:r>
    </w:p>
    <w:p>
      <w:pPr>
        <w:widowControl/>
        <w:shd w:val="clear" w:color="auto" w:fill="FFFFFF"/>
        <w:spacing w:line="360" w:lineRule="auto"/>
        <w:ind w:firstLine="480" w:firstLineChars="200"/>
        <w:rPr>
          <w:rFonts w:hint="eastAsia" w:ascii="宋体" w:hAnsi="宋体" w:cs="宋体"/>
          <w:kern w:val="0"/>
          <w:sz w:val="24"/>
          <w:highlight w:val="none"/>
          <w:lang w:val="zh-CN"/>
        </w:rPr>
      </w:pPr>
      <w:r>
        <w:rPr>
          <w:rFonts w:hint="eastAsia" w:ascii="宋体" w:hAnsi="宋体" w:cs="宋体"/>
          <w:kern w:val="0"/>
          <w:sz w:val="24"/>
          <w:highlight w:val="none"/>
          <w:lang w:val="zh-CN"/>
        </w:rPr>
        <w:t>（</w:t>
      </w:r>
      <w:r>
        <w:rPr>
          <w:rFonts w:hint="eastAsia" w:ascii="宋体" w:hAnsi="宋体" w:cs="宋体"/>
          <w:kern w:val="0"/>
          <w:sz w:val="24"/>
          <w:highlight w:val="none"/>
        </w:rPr>
        <w:t>7</w:t>
      </w:r>
      <w:r>
        <w:rPr>
          <w:rFonts w:hint="eastAsia" w:ascii="宋体" w:hAnsi="宋体" w:cs="宋体"/>
          <w:kern w:val="0"/>
          <w:sz w:val="24"/>
          <w:highlight w:val="none"/>
          <w:lang w:val="zh-CN"/>
        </w:rPr>
        <w:t>）被铜陵市公共资源交易监管部门记不良行为记录累计分值在 15 分（含）-20 分（不含），且最近一次不良行为记录公布日距开标日未超过 6 个月；</w:t>
      </w:r>
    </w:p>
    <w:p>
      <w:pPr>
        <w:widowControl/>
        <w:shd w:val="clear" w:color="auto" w:fill="FFFFFF"/>
        <w:spacing w:line="360" w:lineRule="auto"/>
        <w:ind w:firstLine="480" w:firstLineChars="200"/>
        <w:rPr>
          <w:rFonts w:hint="eastAsia" w:ascii="宋体" w:hAnsi="宋体" w:cs="宋体"/>
          <w:kern w:val="0"/>
          <w:sz w:val="24"/>
          <w:highlight w:val="none"/>
          <w:lang w:val="zh-CN"/>
        </w:rPr>
      </w:pPr>
      <w:r>
        <w:rPr>
          <w:rFonts w:hint="eastAsia" w:ascii="宋体" w:hAnsi="宋体" w:cs="宋体"/>
          <w:kern w:val="0"/>
          <w:sz w:val="24"/>
          <w:highlight w:val="none"/>
          <w:lang w:val="zh-CN"/>
        </w:rPr>
        <w:t>（</w:t>
      </w:r>
      <w:r>
        <w:rPr>
          <w:rFonts w:hint="eastAsia" w:ascii="宋体" w:hAnsi="宋体" w:cs="宋体"/>
          <w:kern w:val="0"/>
          <w:sz w:val="24"/>
          <w:highlight w:val="none"/>
        </w:rPr>
        <w:t>8</w:t>
      </w:r>
      <w:r>
        <w:rPr>
          <w:rFonts w:hint="eastAsia" w:ascii="宋体" w:hAnsi="宋体" w:cs="宋体"/>
          <w:kern w:val="0"/>
          <w:sz w:val="24"/>
          <w:highlight w:val="none"/>
          <w:lang w:val="zh-CN"/>
        </w:rPr>
        <w:t>）被铜陵市公共资源交易监管部门记不良行为记录累计分值达 20</w:t>
      </w:r>
      <w:r>
        <w:rPr>
          <w:rFonts w:hint="eastAsia" w:ascii="宋体" w:hAnsi="宋体" w:cs="宋体"/>
          <w:kern w:val="0"/>
          <w:sz w:val="24"/>
          <w:highlight w:val="none"/>
        </w:rPr>
        <w:t xml:space="preserve"> </w:t>
      </w:r>
      <w:r>
        <w:rPr>
          <w:rFonts w:hint="eastAsia" w:ascii="宋体" w:hAnsi="宋体" w:cs="宋体"/>
          <w:kern w:val="0"/>
          <w:sz w:val="24"/>
          <w:highlight w:val="none"/>
          <w:lang w:val="zh-CN"/>
        </w:rPr>
        <w:t>分（含）以上，且最近一次不良行为记录公布日距开标日未超过 12 个月。</w:t>
      </w:r>
    </w:p>
    <w:p>
      <w:pPr>
        <w:pStyle w:val="37"/>
        <w:wordWrap w:val="0"/>
        <w:spacing w:line="360" w:lineRule="auto"/>
        <w:ind w:firstLine="480" w:firstLineChars="200"/>
        <w:rPr>
          <w:rFonts w:hint="eastAsia"/>
          <w:highlight w:val="none"/>
        </w:rPr>
      </w:pPr>
      <w:r>
        <w:rPr>
          <w:rFonts w:hint="eastAsia"/>
          <w:highlight w:val="none"/>
        </w:rPr>
        <w:t>以 上 情 形 第 （ 1 ）（ 3 ）（ 4 ）（ 5 ） 条 以 “ 信 用 中 国 ”（</w:t>
      </w:r>
      <w:r>
        <w:rPr>
          <w:rFonts w:hint="eastAsia"/>
          <w:highlight w:val="none"/>
        </w:rPr>
        <w:fldChar w:fldCharType="begin"/>
      </w:r>
      <w:r>
        <w:rPr>
          <w:rFonts w:hint="eastAsia"/>
          <w:highlight w:val="none"/>
        </w:rPr>
        <w:instrText xml:space="preserve"> HYPERLINK "http://www.creditchina.gov.cn/" \h </w:instrText>
      </w:r>
      <w:r>
        <w:rPr>
          <w:rFonts w:hint="eastAsia"/>
          <w:highlight w:val="none"/>
        </w:rPr>
        <w:fldChar w:fldCharType="separate"/>
      </w:r>
      <w:r>
        <w:rPr>
          <w:rFonts w:hint="eastAsia"/>
          <w:highlight w:val="none"/>
        </w:rPr>
        <w:t>http://www.creditchina.gov.cn</w:t>
      </w:r>
      <w:r>
        <w:rPr>
          <w:rFonts w:hint="eastAsia"/>
          <w:highlight w:val="none"/>
        </w:rPr>
        <w:fldChar w:fldCharType="end"/>
      </w:r>
      <w:r>
        <w:rPr>
          <w:rFonts w:hint="eastAsia"/>
          <w:highlight w:val="none"/>
        </w:rPr>
        <w:t>）或其他指定媒介[国家税务总局网站（</w:t>
      </w:r>
      <w:r>
        <w:rPr>
          <w:rFonts w:hint="eastAsia"/>
          <w:highlight w:val="none"/>
        </w:rPr>
        <w:fldChar w:fldCharType="begin"/>
      </w:r>
      <w:r>
        <w:rPr>
          <w:rFonts w:hint="eastAsia"/>
          <w:highlight w:val="none"/>
        </w:rPr>
        <w:instrText xml:space="preserve"> HYPERLINK "http://www.chinatax.gov.cn/" \h </w:instrText>
      </w:r>
      <w:r>
        <w:rPr>
          <w:rFonts w:hint="eastAsia"/>
          <w:highlight w:val="none"/>
        </w:rPr>
        <w:fldChar w:fldCharType="separate"/>
      </w:r>
      <w:r>
        <w:rPr>
          <w:rFonts w:hint="eastAsia"/>
          <w:highlight w:val="none"/>
        </w:rPr>
        <w:t>www.chinatax.gov.cn</w:t>
      </w:r>
      <w:r>
        <w:rPr>
          <w:rFonts w:hint="eastAsia"/>
          <w:highlight w:val="none"/>
        </w:rPr>
        <w:fldChar w:fldCharType="end"/>
      </w:r>
      <w:r>
        <w:rPr>
          <w:rFonts w:hint="eastAsia"/>
          <w:highlight w:val="none"/>
        </w:rPr>
        <w:t>）、中国政府采购网（</w:t>
      </w:r>
      <w:r>
        <w:rPr>
          <w:rFonts w:hint="eastAsia"/>
          <w:highlight w:val="none"/>
        </w:rPr>
        <w:fldChar w:fldCharType="begin"/>
      </w:r>
      <w:r>
        <w:rPr>
          <w:rFonts w:hint="eastAsia"/>
          <w:highlight w:val="none"/>
        </w:rPr>
        <w:instrText xml:space="preserve"> HYPERLINK "http://www.ccgp.gov.cn/" \h </w:instrText>
      </w:r>
      <w:r>
        <w:rPr>
          <w:rFonts w:hint="eastAsia"/>
          <w:highlight w:val="none"/>
        </w:rPr>
        <w:fldChar w:fldCharType="separate"/>
      </w:r>
      <w:r>
        <w:rPr>
          <w:rFonts w:hint="eastAsia"/>
          <w:highlight w:val="none"/>
        </w:rPr>
        <w:t>www.ccgp.gov.cn</w:t>
      </w:r>
      <w:r>
        <w:rPr>
          <w:rFonts w:hint="eastAsia"/>
          <w:highlight w:val="none"/>
        </w:rPr>
        <w:fldChar w:fldCharType="end"/>
      </w:r>
      <w:r>
        <w:rPr>
          <w:rFonts w:hint="eastAsia"/>
          <w:highlight w:val="none"/>
        </w:rPr>
        <w:t>）、最高人民法院网站（</w:t>
      </w:r>
      <w:r>
        <w:rPr>
          <w:rFonts w:hint="eastAsia"/>
          <w:highlight w:val="none"/>
        </w:rPr>
        <w:fldChar w:fldCharType="begin"/>
      </w:r>
      <w:r>
        <w:rPr>
          <w:rFonts w:hint="eastAsia"/>
          <w:highlight w:val="none"/>
        </w:rPr>
        <w:instrText xml:space="preserve"> HYPERLINK "http://www.court.gov.cn/" \h </w:instrText>
      </w:r>
      <w:r>
        <w:rPr>
          <w:rFonts w:hint="eastAsia"/>
          <w:highlight w:val="none"/>
        </w:rPr>
        <w:fldChar w:fldCharType="separate"/>
      </w:r>
      <w:r>
        <w:rPr>
          <w:rFonts w:hint="eastAsia"/>
          <w:highlight w:val="none"/>
        </w:rPr>
        <w:t>www.court.gov.cn</w:t>
      </w:r>
      <w:r>
        <w:rPr>
          <w:rFonts w:hint="eastAsia"/>
          <w:highlight w:val="none"/>
        </w:rPr>
        <w:fldChar w:fldCharType="end"/>
      </w:r>
      <w:r>
        <w:rPr>
          <w:rFonts w:hint="eastAsia"/>
          <w:highlight w:val="none"/>
        </w:rPr>
        <w:t>）、国家企业信用信息公示系统网站（</w:t>
      </w:r>
      <w:r>
        <w:rPr>
          <w:rFonts w:hint="eastAsia"/>
          <w:highlight w:val="none"/>
        </w:rPr>
        <w:fldChar w:fldCharType="begin"/>
      </w:r>
      <w:r>
        <w:rPr>
          <w:rFonts w:hint="eastAsia"/>
          <w:highlight w:val="none"/>
        </w:rPr>
        <w:instrText xml:space="preserve"> HYPERLINK "http://www.gsxt.gov.cn/" \h </w:instrText>
      </w:r>
      <w:r>
        <w:rPr>
          <w:rFonts w:hint="eastAsia"/>
          <w:highlight w:val="none"/>
        </w:rPr>
        <w:fldChar w:fldCharType="separate"/>
      </w:r>
      <w:r>
        <w:rPr>
          <w:rFonts w:hint="eastAsia"/>
          <w:highlight w:val="none"/>
        </w:rPr>
        <w:t>www.gsxt.gov.cn</w:t>
      </w:r>
      <w:r>
        <w:rPr>
          <w:rFonts w:hint="eastAsia"/>
          <w:highlight w:val="none"/>
        </w:rPr>
        <w:fldChar w:fldCharType="end"/>
      </w:r>
      <w:r>
        <w:rPr>
          <w:rFonts w:hint="eastAsia"/>
          <w:highlight w:val="none"/>
        </w:rPr>
        <w:t>）、中国裁判文书网（wenshu.court.gov.cn）。]发布的为准。由采购人代表或委托评标小组在推荐成交候选人前对拟推荐的成交候选人进行查询并将查询结果截图反馈至评标小组，由评标小组记录在评标报告中。如在上述网站查询结果均显示没有相关记录，视为没有上述不良信用记录。如评标过程中因网络、网站的问题无法查询时，在成交公告期间由采购人代表查询并直接采用。</w:t>
      </w:r>
    </w:p>
    <w:p>
      <w:pPr>
        <w:pStyle w:val="37"/>
        <w:wordWrap w:val="0"/>
        <w:spacing w:line="360" w:lineRule="auto"/>
        <w:ind w:firstLine="480" w:firstLineChars="200"/>
        <w:rPr>
          <w:rFonts w:hint="eastAsia"/>
          <w:highlight w:val="none"/>
        </w:rPr>
      </w:pPr>
      <w:r>
        <w:rPr>
          <w:rFonts w:hint="eastAsia"/>
          <w:highlight w:val="none"/>
        </w:rPr>
        <w:t>以上情形（6）、（7）、（8）由采购人代表或委托评标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pPr>
        <w:pStyle w:val="37"/>
        <w:wordWrap w:val="0"/>
        <w:spacing w:line="360" w:lineRule="auto"/>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以上情形由投标人按投标函格式填写相关承诺。</w:t>
      </w:r>
    </w:p>
    <w:p>
      <w:pPr>
        <w:pStyle w:val="37"/>
        <w:wordWrap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pStyle w:val="37"/>
        <w:wordWrap w:val="0"/>
        <w:adjustRightInd/>
        <w:spacing w:line="360" w:lineRule="auto"/>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37、有效性审查</w:t>
      </w:r>
    </w:p>
    <w:p>
      <w:pPr>
        <w:pStyle w:val="37"/>
        <w:wordWrap w:val="0"/>
        <w:adjustRightInd/>
        <w:spacing w:line="360" w:lineRule="auto"/>
        <w:ind w:firstLine="482" w:firstLineChars="200"/>
        <w:jc w:val="both"/>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开标后，采购人委托评标委员会对投标人进行资格审查。若有一项不通过，作无效标处理。</w:t>
      </w:r>
    </w:p>
    <w:p>
      <w:pPr>
        <w:pStyle w:val="33"/>
        <w:ind w:firstLine="420"/>
        <w:rPr>
          <w:rFonts w:hint="eastAsia" w:ascii="宋体" w:hAnsi="宋体" w:eastAsia="宋体" w:cs="宋体"/>
          <w:color w:val="auto"/>
          <w:sz w:val="22"/>
          <w:szCs w:val="22"/>
          <w:highlight w:val="none"/>
        </w:rPr>
      </w:pPr>
    </w:p>
    <w:tbl>
      <w:tblPr>
        <w:tblStyle w:val="18"/>
        <w:tblW w:w="94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0"/>
        <w:gridCol w:w="1182"/>
        <w:gridCol w:w="5286"/>
        <w:gridCol w:w="23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690" w:type="dxa"/>
            <w:tcBorders>
              <w:top w:val="single" w:color="auto" w:sz="6" w:space="0"/>
              <w:left w:val="single" w:color="auto" w:sz="6" w:space="0"/>
              <w:bottom w:val="single" w:color="auto" w:sz="6" w:space="0"/>
              <w:right w:val="single" w:color="auto" w:sz="6" w:space="0"/>
            </w:tcBorders>
            <w:vAlign w:val="center"/>
          </w:tcPr>
          <w:p>
            <w:pPr>
              <w:pStyle w:val="37"/>
              <w:wordWrap w:val="0"/>
              <w:adjustRightInd/>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182" w:type="dxa"/>
            <w:tcBorders>
              <w:top w:val="single" w:color="auto" w:sz="6" w:space="0"/>
              <w:left w:val="single" w:color="auto" w:sz="6" w:space="0"/>
              <w:bottom w:val="single" w:color="auto" w:sz="6" w:space="0"/>
              <w:right w:val="single" w:color="auto" w:sz="6" w:space="0"/>
            </w:tcBorders>
            <w:vAlign w:val="center"/>
          </w:tcPr>
          <w:p>
            <w:pPr>
              <w:pStyle w:val="37"/>
              <w:wordWrap w:val="0"/>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项目内容</w:t>
            </w:r>
          </w:p>
        </w:tc>
        <w:tc>
          <w:tcPr>
            <w:tcW w:w="5286" w:type="dxa"/>
            <w:tcBorders>
              <w:top w:val="single" w:color="auto" w:sz="6" w:space="0"/>
              <w:left w:val="single" w:color="auto" w:sz="6" w:space="0"/>
              <w:bottom w:val="single" w:color="auto" w:sz="6" w:space="0"/>
              <w:right w:val="single" w:color="auto" w:sz="6" w:space="0"/>
            </w:tcBorders>
            <w:vAlign w:val="center"/>
          </w:tcPr>
          <w:p>
            <w:pPr>
              <w:pStyle w:val="37"/>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合格条件</w:t>
            </w:r>
          </w:p>
        </w:tc>
        <w:tc>
          <w:tcPr>
            <w:tcW w:w="2319" w:type="dxa"/>
            <w:tcBorders>
              <w:top w:val="single" w:color="auto" w:sz="6" w:space="0"/>
              <w:left w:val="single" w:color="auto" w:sz="6" w:space="0"/>
              <w:bottom w:val="single" w:color="auto" w:sz="6" w:space="0"/>
              <w:right w:val="single" w:color="auto" w:sz="6" w:space="0"/>
            </w:tcBorders>
            <w:vAlign w:val="center"/>
          </w:tcPr>
          <w:p>
            <w:pPr>
              <w:pStyle w:val="37"/>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审核材料要求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8" w:hRule="atLeast"/>
          <w:jc w:val="center"/>
        </w:trPr>
        <w:tc>
          <w:tcPr>
            <w:tcW w:w="690" w:type="dxa"/>
            <w:tcBorders>
              <w:top w:val="single" w:color="auto" w:sz="6" w:space="0"/>
              <w:left w:val="single" w:color="auto" w:sz="6" w:space="0"/>
              <w:bottom w:val="single" w:color="auto" w:sz="6" w:space="0"/>
              <w:right w:val="single" w:color="auto" w:sz="6" w:space="0"/>
            </w:tcBorders>
            <w:vAlign w:val="center"/>
          </w:tcPr>
          <w:p>
            <w:pPr>
              <w:pStyle w:val="37"/>
              <w:adjustRightInd/>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82" w:type="dxa"/>
            <w:tcBorders>
              <w:top w:val="single" w:color="auto" w:sz="6" w:space="0"/>
              <w:left w:val="single" w:color="auto" w:sz="6" w:space="0"/>
              <w:bottom w:val="single" w:color="auto" w:sz="6" w:space="0"/>
              <w:right w:val="single" w:color="auto" w:sz="6" w:space="0"/>
            </w:tcBorders>
            <w:vAlign w:val="center"/>
          </w:tcPr>
          <w:p>
            <w:pPr>
              <w:pStyle w:val="37"/>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授权委</w:t>
            </w:r>
          </w:p>
          <w:p>
            <w:pPr>
              <w:pStyle w:val="37"/>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托书</w:t>
            </w:r>
          </w:p>
        </w:tc>
        <w:tc>
          <w:tcPr>
            <w:tcW w:w="5286" w:type="dxa"/>
            <w:tcBorders>
              <w:top w:val="single" w:color="auto" w:sz="6" w:space="0"/>
              <w:left w:val="single" w:color="auto" w:sz="6" w:space="0"/>
              <w:bottom w:val="single" w:color="auto" w:sz="6" w:space="0"/>
              <w:right w:val="single" w:color="auto" w:sz="6" w:space="0"/>
            </w:tcBorders>
            <w:vAlign w:val="center"/>
          </w:tcPr>
          <w:p>
            <w:pPr>
              <w:pStyle w:val="37"/>
              <w:wordWrap w:val="0"/>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供应商授权的委托代理人有合法、有效的委托书，委托书按相应要求签字或盖章。同时委托人符合</w:t>
            </w:r>
            <w:r>
              <w:rPr>
                <w:rFonts w:hint="eastAsia" w:ascii="宋体" w:hAnsi="宋体" w:eastAsia="宋体" w:cs="宋体"/>
                <w:color w:val="auto"/>
                <w:sz w:val="21"/>
                <w:szCs w:val="21"/>
                <w:highlight w:val="none"/>
                <w:lang w:val="en-US" w:eastAsia="zh-CN"/>
              </w:rPr>
              <w:t>询价</w:t>
            </w:r>
            <w:r>
              <w:rPr>
                <w:rFonts w:hint="eastAsia" w:ascii="宋体" w:hAnsi="宋体" w:eastAsia="宋体" w:cs="宋体"/>
                <w:color w:val="auto"/>
                <w:sz w:val="21"/>
                <w:szCs w:val="21"/>
                <w:highlight w:val="none"/>
              </w:rPr>
              <w:t>文件相关要求。</w:t>
            </w:r>
          </w:p>
        </w:tc>
        <w:tc>
          <w:tcPr>
            <w:tcW w:w="2319" w:type="dxa"/>
            <w:tcBorders>
              <w:top w:val="single" w:color="auto" w:sz="6" w:space="0"/>
              <w:left w:val="single" w:color="auto" w:sz="6" w:space="0"/>
              <w:bottom w:val="single" w:color="auto" w:sz="6" w:space="0"/>
              <w:right w:val="single" w:color="auto" w:sz="6" w:space="0"/>
            </w:tcBorders>
            <w:vAlign w:val="center"/>
          </w:tcPr>
          <w:p>
            <w:pPr>
              <w:pStyle w:val="37"/>
              <w:wordWrap w:val="0"/>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提供授权委托书装订入询价响应文件。（法定代表人参加投标的提供身份证明复印件或影印件，无需投标授权书）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jc w:val="center"/>
        </w:trPr>
        <w:tc>
          <w:tcPr>
            <w:tcW w:w="690" w:type="dxa"/>
            <w:vMerge w:val="restart"/>
            <w:tcBorders>
              <w:top w:val="single" w:color="auto" w:sz="4" w:space="0"/>
              <w:left w:val="single" w:color="auto" w:sz="6" w:space="0"/>
              <w:right w:val="single" w:color="auto" w:sz="6" w:space="0"/>
            </w:tcBorders>
            <w:vAlign w:val="center"/>
          </w:tcPr>
          <w:p>
            <w:pPr>
              <w:pStyle w:val="37"/>
              <w:wordWrap w:val="0"/>
              <w:adjustRightInd/>
              <w:jc w:val="center"/>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2</w:t>
            </w:r>
          </w:p>
        </w:tc>
        <w:tc>
          <w:tcPr>
            <w:tcW w:w="1182" w:type="dxa"/>
            <w:vMerge w:val="restart"/>
            <w:tcBorders>
              <w:top w:val="single" w:color="auto" w:sz="4" w:space="0"/>
              <w:left w:val="single" w:color="auto" w:sz="6" w:space="0"/>
              <w:right w:val="single" w:color="auto" w:sz="6" w:space="0"/>
            </w:tcBorders>
            <w:vAlign w:val="center"/>
          </w:tcPr>
          <w:p>
            <w:pPr>
              <w:pStyle w:val="37"/>
              <w:wordWrap w:val="0"/>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需要提供的投标资格证明资料</w:t>
            </w:r>
          </w:p>
        </w:tc>
        <w:tc>
          <w:tcPr>
            <w:tcW w:w="5286" w:type="dxa"/>
            <w:tcBorders>
              <w:top w:val="single" w:color="auto" w:sz="4" w:space="0"/>
              <w:left w:val="single" w:color="auto" w:sz="6" w:space="0"/>
              <w:bottom w:val="single" w:color="auto" w:sz="4" w:space="0"/>
              <w:right w:val="single" w:color="auto" w:sz="6" w:space="0"/>
            </w:tcBorders>
            <w:vAlign w:val="center"/>
          </w:tcPr>
          <w:p>
            <w:pPr>
              <w:pStyle w:val="37"/>
              <w:wordWrap w:val="0"/>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满足《中华人民共和国政府采购法》相关要求</w:t>
            </w:r>
          </w:p>
        </w:tc>
        <w:tc>
          <w:tcPr>
            <w:tcW w:w="2319" w:type="dxa"/>
            <w:tcBorders>
              <w:top w:val="single" w:color="auto" w:sz="4" w:space="0"/>
              <w:left w:val="single" w:color="auto" w:sz="6" w:space="0"/>
              <w:bottom w:val="single" w:color="auto" w:sz="4" w:space="0"/>
              <w:right w:val="single" w:color="auto" w:sz="6" w:space="0"/>
            </w:tcBorders>
            <w:vAlign w:val="center"/>
          </w:tcPr>
          <w:p>
            <w:pPr>
              <w:pStyle w:val="37"/>
              <w:wordWrap w:val="0"/>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按询价响应函格式填写相关承诺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jc w:val="center"/>
        </w:trPr>
        <w:tc>
          <w:tcPr>
            <w:tcW w:w="690" w:type="dxa"/>
            <w:vMerge w:val="continue"/>
            <w:tcBorders>
              <w:left w:val="single" w:color="auto" w:sz="6" w:space="0"/>
              <w:right w:val="single" w:color="auto" w:sz="6" w:space="0"/>
            </w:tcBorders>
            <w:vAlign w:val="center"/>
          </w:tcPr>
          <w:p>
            <w:pPr>
              <w:pStyle w:val="37"/>
              <w:wordWrap w:val="0"/>
              <w:adjustRightInd/>
              <w:jc w:val="center"/>
              <w:rPr>
                <w:rFonts w:hint="eastAsia" w:ascii="宋体" w:hAnsi="宋体" w:eastAsia="宋体" w:cs="宋体"/>
                <w:color w:val="auto"/>
                <w:sz w:val="21"/>
                <w:szCs w:val="21"/>
                <w:highlight w:val="none"/>
              </w:rPr>
            </w:pPr>
          </w:p>
        </w:tc>
        <w:tc>
          <w:tcPr>
            <w:tcW w:w="1182" w:type="dxa"/>
            <w:vMerge w:val="continue"/>
            <w:tcBorders>
              <w:left w:val="single" w:color="auto" w:sz="6" w:space="0"/>
              <w:right w:val="single" w:color="auto" w:sz="6" w:space="0"/>
            </w:tcBorders>
            <w:vAlign w:val="center"/>
          </w:tcPr>
          <w:p>
            <w:pPr>
              <w:pStyle w:val="37"/>
              <w:wordWrap w:val="0"/>
              <w:adjustRightInd/>
              <w:jc w:val="both"/>
              <w:rPr>
                <w:rFonts w:hint="eastAsia" w:ascii="宋体" w:hAnsi="宋体" w:eastAsia="宋体" w:cs="宋体"/>
                <w:color w:val="auto"/>
                <w:sz w:val="21"/>
                <w:szCs w:val="21"/>
                <w:highlight w:val="none"/>
              </w:rPr>
            </w:pPr>
          </w:p>
        </w:tc>
        <w:tc>
          <w:tcPr>
            <w:tcW w:w="5286" w:type="dxa"/>
            <w:tcBorders>
              <w:top w:val="single" w:color="auto" w:sz="4" w:space="0"/>
              <w:left w:val="single" w:color="auto" w:sz="6" w:space="0"/>
              <w:bottom w:val="single" w:color="auto" w:sz="4" w:space="0"/>
              <w:right w:val="single" w:color="auto" w:sz="6" w:space="0"/>
            </w:tcBorders>
            <w:vAlign w:val="center"/>
          </w:tcPr>
          <w:p>
            <w:pPr>
              <w:pStyle w:val="37"/>
              <w:wordWrap w:val="0"/>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至投标截止日，供应商</w:t>
            </w:r>
            <w:r>
              <w:rPr>
                <w:rFonts w:hint="eastAsia" w:cs="宋体"/>
                <w:color w:val="auto"/>
                <w:sz w:val="21"/>
                <w:szCs w:val="21"/>
                <w:highlight w:val="none"/>
                <w:lang w:val="en-US" w:eastAsia="zh-CN"/>
              </w:rPr>
              <w:t>及</w:t>
            </w:r>
            <w:r>
              <w:rPr>
                <w:rFonts w:hint="eastAsia" w:ascii="宋体" w:hAnsi="宋体" w:eastAsia="宋体" w:cs="宋体"/>
                <w:color w:val="auto"/>
                <w:sz w:val="21"/>
                <w:szCs w:val="21"/>
                <w:highlight w:val="none"/>
              </w:rPr>
              <w:t>法定代表人近三年内均未被人民检察院列入行贿犯罪档案</w:t>
            </w:r>
          </w:p>
        </w:tc>
        <w:tc>
          <w:tcPr>
            <w:tcW w:w="2319" w:type="dxa"/>
            <w:tcBorders>
              <w:top w:val="single" w:color="auto" w:sz="4" w:space="0"/>
              <w:left w:val="single" w:color="auto" w:sz="6" w:space="0"/>
              <w:bottom w:val="single" w:color="auto" w:sz="4" w:space="0"/>
              <w:right w:val="single" w:color="auto" w:sz="6" w:space="0"/>
            </w:tcBorders>
            <w:vAlign w:val="center"/>
          </w:tcPr>
          <w:p>
            <w:pPr>
              <w:pStyle w:val="37"/>
              <w:wordWrap w:val="0"/>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按询价响应函格式填写相关承诺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jc w:val="center"/>
        </w:trPr>
        <w:tc>
          <w:tcPr>
            <w:tcW w:w="690" w:type="dxa"/>
            <w:vMerge w:val="continue"/>
            <w:tcBorders>
              <w:left w:val="single" w:color="auto" w:sz="6" w:space="0"/>
              <w:right w:val="single" w:color="auto" w:sz="6" w:space="0"/>
            </w:tcBorders>
            <w:vAlign w:val="center"/>
          </w:tcPr>
          <w:p>
            <w:pPr>
              <w:pStyle w:val="37"/>
              <w:wordWrap w:val="0"/>
              <w:adjustRightInd/>
              <w:jc w:val="center"/>
              <w:rPr>
                <w:rFonts w:hint="eastAsia" w:ascii="宋体" w:hAnsi="宋体" w:eastAsia="宋体" w:cs="宋体"/>
                <w:color w:val="auto"/>
                <w:sz w:val="21"/>
                <w:szCs w:val="21"/>
                <w:highlight w:val="none"/>
              </w:rPr>
            </w:pPr>
          </w:p>
        </w:tc>
        <w:tc>
          <w:tcPr>
            <w:tcW w:w="1182" w:type="dxa"/>
            <w:vMerge w:val="continue"/>
            <w:tcBorders>
              <w:left w:val="single" w:color="auto" w:sz="6" w:space="0"/>
              <w:right w:val="single" w:color="auto" w:sz="6" w:space="0"/>
            </w:tcBorders>
            <w:vAlign w:val="center"/>
          </w:tcPr>
          <w:p>
            <w:pPr>
              <w:pStyle w:val="37"/>
              <w:wordWrap w:val="0"/>
              <w:adjustRightInd/>
              <w:jc w:val="both"/>
              <w:rPr>
                <w:rFonts w:hint="eastAsia" w:ascii="宋体" w:hAnsi="宋体" w:eastAsia="宋体" w:cs="宋体"/>
                <w:color w:val="auto"/>
                <w:sz w:val="21"/>
                <w:szCs w:val="21"/>
                <w:highlight w:val="none"/>
              </w:rPr>
            </w:pPr>
          </w:p>
        </w:tc>
        <w:tc>
          <w:tcPr>
            <w:tcW w:w="5286" w:type="dxa"/>
            <w:tcBorders>
              <w:top w:val="single" w:color="auto" w:sz="4" w:space="0"/>
              <w:left w:val="single" w:color="auto" w:sz="6" w:space="0"/>
              <w:bottom w:val="single" w:color="auto" w:sz="4" w:space="0"/>
              <w:right w:val="single" w:color="auto" w:sz="6" w:space="0"/>
            </w:tcBorders>
            <w:vAlign w:val="center"/>
          </w:tcPr>
          <w:p>
            <w:pPr>
              <w:pStyle w:val="37"/>
              <w:wordWrap w:val="0"/>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2319" w:type="dxa"/>
            <w:tcBorders>
              <w:top w:val="single" w:color="auto" w:sz="4" w:space="0"/>
              <w:left w:val="single" w:color="auto" w:sz="6" w:space="0"/>
              <w:bottom w:val="single" w:color="auto" w:sz="4" w:space="0"/>
              <w:right w:val="single" w:color="auto" w:sz="6" w:space="0"/>
            </w:tcBorders>
            <w:vAlign w:val="center"/>
          </w:tcPr>
          <w:p>
            <w:pPr>
              <w:pStyle w:val="37"/>
              <w:wordWrap w:val="0"/>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按询价响应函格式填写相关承诺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jc w:val="center"/>
        </w:trPr>
        <w:tc>
          <w:tcPr>
            <w:tcW w:w="690" w:type="dxa"/>
            <w:vMerge w:val="continue"/>
            <w:tcBorders>
              <w:left w:val="single" w:color="auto" w:sz="6" w:space="0"/>
              <w:bottom w:val="single" w:color="auto" w:sz="4" w:space="0"/>
              <w:right w:val="single" w:color="auto" w:sz="6" w:space="0"/>
            </w:tcBorders>
            <w:vAlign w:val="center"/>
          </w:tcPr>
          <w:p>
            <w:pPr>
              <w:pStyle w:val="37"/>
              <w:wordWrap w:val="0"/>
              <w:adjustRightInd/>
              <w:jc w:val="center"/>
              <w:rPr>
                <w:rFonts w:hint="eastAsia" w:ascii="宋体" w:hAnsi="宋体" w:eastAsia="宋体" w:cs="宋体"/>
                <w:color w:val="auto"/>
                <w:sz w:val="21"/>
                <w:szCs w:val="21"/>
                <w:highlight w:val="none"/>
              </w:rPr>
            </w:pPr>
          </w:p>
        </w:tc>
        <w:tc>
          <w:tcPr>
            <w:tcW w:w="1182" w:type="dxa"/>
            <w:vMerge w:val="continue"/>
            <w:tcBorders>
              <w:left w:val="single" w:color="auto" w:sz="6" w:space="0"/>
              <w:bottom w:val="single" w:color="auto" w:sz="4" w:space="0"/>
              <w:right w:val="single" w:color="auto" w:sz="6" w:space="0"/>
            </w:tcBorders>
            <w:vAlign w:val="center"/>
          </w:tcPr>
          <w:p>
            <w:pPr>
              <w:pStyle w:val="37"/>
              <w:wordWrap w:val="0"/>
              <w:adjustRightInd/>
              <w:jc w:val="both"/>
              <w:rPr>
                <w:rFonts w:hint="eastAsia" w:ascii="宋体" w:hAnsi="宋体" w:eastAsia="宋体" w:cs="宋体"/>
                <w:color w:val="auto"/>
                <w:sz w:val="21"/>
                <w:szCs w:val="21"/>
                <w:highlight w:val="none"/>
              </w:rPr>
            </w:pPr>
          </w:p>
        </w:tc>
        <w:tc>
          <w:tcPr>
            <w:tcW w:w="5286" w:type="dxa"/>
            <w:tcBorders>
              <w:top w:val="single" w:color="auto" w:sz="4" w:space="0"/>
              <w:left w:val="single" w:color="auto" w:sz="6" w:space="0"/>
              <w:bottom w:val="single" w:color="auto" w:sz="4" w:space="0"/>
              <w:right w:val="single" w:color="auto" w:sz="6" w:space="0"/>
            </w:tcBorders>
            <w:vAlign w:val="center"/>
          </w:tcPr>
          <w:p>
            <w:pPr>
              <w:pStyle w:val="72"/>
              <w:spacing w:before="132"/>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至投标截止日，未被铜陵市公共资源交易监管部门记录的不良行为累计分值在 10 分（含）-15 分（不含），且最近一次不良行为记录公布日距开标日未超过 3 个月；</w:t>
            </w:r>
          </w:p>
          <w:p>
            <w:pPr>
              <w:pStyle w:val="72"/>
              <w:spacing w:before="132"/>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至投标截止日，未被铜陵市公共资源交易监管部门记不良行为记录累计分值在 15 分（含）-20 分（不含），且最近一次不良行为记录公布日距开标日未超过 6 个月；</w:t>
            </w:r>
          </w:p>
          <w:p>
            <w:pPr>
              <w:pStyle w:val="37"/>
              <w:wordWrap w:val="0"/>
              <w:adjustRightInd/>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至投标截止日，未被铜陵市公共资源交易监管部门记不良行为记录累计分值达 20 分（含）以上，且最近一次不良行为记录公布日距开标日未超过 12 个月。</w:t>
            </w:r>
          </w:p>
        </w:tc>
        <w:tc>
          <w:tcPr>
            <w:tcW w:w="2319" w:type="dxa"/>
            <w:tcBorders>
              <w:top w:val="single" w:color="auto" w:sz="4" w:space="0"/>
              <w:left w:val="single" w:color="auto" w:sz="6" w:space="0"/>
              <w:bottom w:val="single" w:color="auto" w:sz="4" w:space="0"/>
              <w:right w:val="single" w:color="auto" w:sz="6" w:space="0"/>
            </w:tcBorders>
            <w:vAlign w:val="center"/>
          </w:tcPr>
          <w:p>
            <w:pPr>
              <w:pStyle w:val="37"/>
              <w:wordWrap w:val="0"/>
              <w:adjustRightInd/>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按询价响应函格式填写相关承诺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690" w:type="dxa"/>
            <w:tcBorders>
              <w:top w:val="single" w:color="auto" w:sz="4" w:space="0"/>
              <w:left w:val="single" w:color="auto" w:sz="6" w:space="0"/>
              <w:bottom w:val="single" w:color="auto" w:sz="4" w:space="0"/>
              <w:right w:val="single" w:color="auto" w:sz="6" w:space="0"/>
            </w:tcBorders>
            <w:vAlign w:val="center"/>
          </w:tcPr>
          <w:p>
            <w:pPr>
              <w:pStyle w:val="37"/>
              <w:wordWrap w:val="0"/>
              <w:adjustRightInd/>
              <w:jc w:val="center"/>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3</w:t>
            </w:r>
          </w:p>
        </w:tc>
        <w:tc>
          <w:tcPr>
            <w:tcW w:w="1182" w:type="dxa"/>
            <w:tcBorders>
              <w:top w:val="single" w:color="auto" w:sz="4" w:space="0"/>
              <w:left w:val="single" w:color="auto" w:sz="6" w:space="0"/>
              <w:bottom w:val="single" w:color="auto" w:sz="4" w:space="0"/>
              <w:right w:val="single" w:color="auto" w:sz="6" w:space="0"/>
            </w:tcBorders>
            <w:vAlign w:val="center"/>
          </w:tcPr>
          <w:p>
            <w:pPr>
              <w:pStyle w:val="37"/>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标书规范性</w:t>
            </w:r>
          </w:p>
        </w:tc>
        <w:tc>
          <w:tcPr>
            <w:tcW w:w="5286" w:type="dxa"/>
            <w:tcBorders>
              <w:top w:val="single" w:color="auto" w:sz="4" w:space="0"/>
              <w:left w:val="single" w:color="auto" w:sz="6" w:space="0"/>
              <w:bottom w:val="single" w:color="auto" w:sz="4" w:space="0"/>
              <w:right w:val="single" w:color="auto" w:sz="6" w:space="0"/>
            </w:tcBorders>
            <w:vAlign w:val="center"/>
          </w:tcPr>
          <w:p>
            <w:pPr>
              <w:pStyle w:val="37"/>
              <w:wordWrap w:val="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1、在询价文件规定的投标时间截止前有效提交询价响应文件的。</w:t>
            </w:r>
          </w:p>
          <w:p>
            <w:pPr>
              <w:pStyle w:val="37"/>
              <w:wordWrap w:val="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2、询价响应文件符合询价文件标记、递交等的相应要求。</w:t>
            </w:r>
          </w:p>
          <w:p>
            <w:pPr>
              <w:pStyle w:val="37"/>
              <w:wordWrap w:val="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3、应当随成交公告一并向社会公布。</w:t>
            </w:r>
          </w:p>
        </w:tc>
        <w:tc>
          <w:tcPr>
            <w:tcW w:w="2319" w:type="dxa"/>
            <w:tcBorders>
              <w:top w:val="single" w:color="auto" w:sz="4" w:space="0"/>
              <w:left w:val="single" w:color="auto" w:sz="6" w:space="0"/>
              <w:bottom w:val="single" w:color="auto" w:sz="4" w:space="0"/>
              <w:right w:val="single" w:color="auto" w:sz="6" w:space="0"/>
            </w:tcBorders>
            <w:vAlign w:val="center"/>
          </w:tcPr>
          <w:p>
            <w:pPr>
              <w:pStyle w:val="37"/>
              <w:wordWrap w:val="0"/>
              <w:adjustRightInd/>
              <w:ind w:firstLine="420" w:firstLineChars="200"/>
              <w:jc w:val="both"/>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jc w:val="center"/>
        </w:trPr>
        <w:tc>
          <w:tcPr>
            <w:tcW w:w="690" w:type="dxa"/>
            <w:tcBorders>
              <w:top w:val="single" w:color="auto" w:sz="4" w:space="0"/>
              <w:left w:val="single" w:color="auto" w:sz="6" w:space="0"/>
              <w:bottom w:val="single" w:color="auto" w:sz="4" w:space="0"/>
              <w:right w:val="single" w:color="auto" w:sz="6" w:space="0"/>
            </w:tcBorders>
            <w:vAlign w:val="center"/>
          </w:tcPr>
          <w:p>
            <w:pPr>
              <w:pStyle w:val="37"/>
              <w:wordWrap w:val="0"/>
              <w:adjustRightInd/>
              <w:jc w:val="center"/>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4</w:t>
            </w:r>
          </w:p>
        </w:tc>
        <w:tc>
          <w:tcPr>
            <w:tcW w:w="1182" w:type="dxa"/>
            <w:tcBorders>
              <w:top w:val="single" w:color="auto" w:sz="4" w:space="0"/>
              <w:left w:val="single" w:color="auto" w:sz="6" w:space="0"/>
              <w:bottom w:val="single" w:color="auto" w:sz="4" w:space="0"/>
              <w:right w:val="single" w:color="auto" w:sz="6" w:space="0"/>
            </w:tcBorders>
            <w:vAlign w:val="center"/>
          </w:tcPr>
          <w:p>
            <w:pPr>
              <w:pStyle w:val="37"/>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标书盖章</w:t>
            </w:r>
          </w:p>
        </w:tc>
        <w:tc>
          <w:tcPr>
            <w:tcW w:w="5286" w:type="dxa"/>
            <w:tcBorders>
              <w:top w:val="single" w:color="auto" w:sz="4" w:space="0"/>
              <w:left w:val="single" w:color="auto" w:sz="6" w:space="0"/>
              <w:bottom w:val="single" w:color="auto" w:sz="4" w:space="0"/>
              <w:right w:val="single" w:color="auto" w:sz="6" w:space="0"/>
            </w:tcBorders>
            <w:vAlign w:val="center"/>
          </w:tcPr>
          <w:p>
            <w:pPr>
              <w:pStyle w:val="37"/>
              <w:wordWrap w:val="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响应文件盖章符合询价文件的要求。</w:t>
            </w:r>
          </w:p>
        </w:tc>
        <w:tc>
          <w:tcPr>
            <w:tcW w:w="2319" w:type="dxa"/>
            <w:tcBorders>
              <w:top w:val="single" w:color="auto" w:sz="4" w:space="0"/>
              <w:left w:val="single" w:color="auto" w:sz="6" w:space="0"/>
              <w:bottom w:val="single" w:color="auto" w:sz="4" w:space="0"/>
              <w:right w:val="single" w:color="auto" w:sz="6" w:space="0"/>
            </w:tcBorders>
            <w:vAlign w:val="center"/>
          </w:tcPr>
          <w:p>
            <w:pPr>
              <w:pStyle w:val="37"/>
              <w:wordWrap w:val="0"/>
              <w:adjustRightInd/>
              <w:ind w:firstLine="420" w:firstLineChars="200"/>
              <w:jc w:val="both"/>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jc w:val="center"/>
        </w:trPr>
        <w:tc>
          <w:tcPr>
            <w:tcW w:w="690" w:type="dxa"/>
            <w:tcBorders>
              <w:top w:val="single" w:color="auto" w:sz="4" w:space="0"/>
              <w:left w:val="single" w:color="auto" w:sz="6" w:space="0"/>
              <w:bottom w:val="single" w:color="auto" w:sz="4" w:space="0"/>
              <w:right w:val="single" w:color="auto" w:sz="6" w:space="0"/>
            </w:tcBorders>
            <w:vAlign w:val="center"/>
          </w:tcPr>
          <w:p>
            <w:pPr>
              <w:pStyle w:val="37"/>
              <w:wordWrap w:val="0"/>
              <w:adjustRightInd/>
              <w:jc w:val="center"/>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5</w:t>
            </w:r>
          </w:p>
        </w:tc>
        <w:tc>
          <w:tcPr>
            <w:tcW w:w="1182" w:type="dxa"/>
            <w:tcBorders>
              <w:top w:val="single" w:color="auto" w:sz="4" w:space="0"/>
              <w:left w:val="single" w:color="auto" w:sz="6" w:space="0"/>
              <w:bottom w:val="single" w:color="auto" w:sz="4" w:space="0"/>
              <w:right w:val="single" w:color="auto" w:sz="6" w:space="0"/>
            </w:tcBorders>
            <w:vAlign w:val="center"/>
          </w:tcPr>
          <w:p>
            <w:pPr>
              <w:pStyle w:val="37"/>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标书响应情况</w:t>
            </w:r>
          </w:p>
        </w:tc>
        <w:tc>
          <w:tcPr>
            <w:tcW w:w="5286" w:type="dxa"/>
            <w:tcBorders>
              <w:top w:val="single" w:color="auto" w:sz="4" w:space="0"/>
              <w:left w:val="single" w:color="auto" w:sz="6" w:space="0"/>
              <w:bottom w:val="single" w:color="auto" w:sz="4" w:space="0"/>
              <w:right w:val="single" w:color="auto" w:sz="6" w:space="0"/>
            </w:tcBorders>
            <w:vAlign w:val="center"/>
          </w:tcPr>
          <w:p>
            <w:pPr>
              <w:pStyle w:val="37"/>
              <w:wordWrap w:val="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质量标准要求、交货期响应、质保期响应、供货安装、售后服务体系与维保等内容满足询价文件的实质性要求。</w:t>
            </w:r>
          </w:p>
        </w:tc>
        <w:tc>
          <w:tcPr>
            <w:tcW w:w="2319" w:type="dxa"/>
            <w:tcBorders>
              <w:top w:val="single" w:color="auto" w:sz="4" w:space="0"/>
              <w:left w:val="single" w:color="auto" w:sz="6" w:space="0"/>
              <w:bottom w:val="single" w:color="auto" w:sz="4" w:space="0"/>
              <w:right w:val="single" w:color="auto" w:sz="6" w:space="0"/>
            </w:tcBorders>
            <w:vAlign w:val="center"/>
          </w:tcPr>
          <w:p>
            <w:pPr>
              <w:pStyle w:val="37"/>
              <w:wordWrap w:val="0"/>
              <w:adjustRightInd/>
              <w:ind w:firstLine="420" w:firstLineChars="200"/>
              <w:jc w:val="both"/>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jc w:val="center"/>
        </w:trPr>
        <w:tc>
          <w:tcPr>
            <w:tcW w:w="690" w:type="dxa"/>
            <w:tcBorders>
              <w:top w:val="single" w:color="auto" w:sz="4" w:space="0"/>
              <w:left w:val="single" w:color="auto" w:sz="6" w:space="0"/>
              <w:bottom w:val="single" w:color="auto" w:sz="4" w:space="0"/>
              <w:right w:val="single" w:color="auto" w:sz="6" w:space="0"/>
            </w:tcBorders>
            <w:vAlign w:val="center"/>
          </w:tcPr>
          <w:p>
            <w:pPr>
              <w:pStyle w:val="37"/>
              <w:wordWrap w:val="0"/>
              <w:adjustRightInd/>
              <w:jc w:val="center"/>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6</w:t>
            </w:r>
          </w:p>
        </w:tc>
        <w:tc>
          <w:tcPr>
            <w:tcW w:w="1182" w:type="dxa"/>
            <w:tcBorders>
              <w:top w:val="single" w:color="auto" w:sz="4" w:space="0"/>
              <w:left w:val="single" w:color="auto" w:sz="6" w:space="0"/>
              <w:bottom w:val="single" w:color="auto" w:sz="4" w:space="0"/>
              <w:right w:val="single" w:color="auto" w:sz="6" w:space="0"/>
            </w:tcBorders>
            <w:vAlign w:val="center"/>
          </w:tcPr>
          <w:p>
            <w:pPr>
              <w:pStyle w:val="37"/>
              <w:adjustRightInd/>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5286" w:type="dxa"/>
            <w:tcBorders>
              <w:top w:val="single" w:color="auto" w:sz="4" w:space="0"/>
              <w:left w:val="single" w:color="auto" w:sz="6" w:space="0"/>
              <w:bottom w:val="single" w:color="auto" w:sz="4" w:space="0"/>
              <w:right w:val="single" w:color="auto" w:sz="6" w:space="0"/>
            </w:tcBorders>
            <w:vAlign w:val="center"/>
          </w:tcPr>
          <w:p>
            <w:pPr>
              <w:pStyle w:val="37"/>
              <w:wordWrap w:val="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1、无论询价文件是否列明，投标人所提供的货物、产品、配件均须符合国家产品质量、安全、卫生、环保、生产经营许可等现行法律法规的规定，否则投标无效。</w:t>
            </w:r>
          </w:p>
          <w:p>
            <w:pPr>
              <w:pStyle w:val="37"/>
              <w:wordWrap w:val="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2、须满足询价文件第13.2、16.</w:t>
            </w:r>
            <w:r>
              <w:rPr>
                <w:rFonts w:hint="eastAsia" w:cs="宋体"/>
                <w:color w:val="auto"/>
                <w:sz w:val="21"/>
                <w:szCs w:val="21"/>
                <w:highlight w:val="none"/>
                <w:lang w:val="en-US" w:eastAsia="zh-CN"/>
              </w:rPr>
              <w:t>2</w:t>
            </w:r>
            <w:r>
              <w:rPr>
                <w:rFonts w:hint="eastAsia" w:ascii="宋体" w:hAnsi="宋体" w:eastAsia="宋体" w:cs="宋体"/>
                <w:color w:val="auto"/>
                <w:sz w:val="21"/>
                <w:szCs w:val="21"/>
                <w:highlight w:val="none"/>
              </w:rPr>
              <w:t>、17.3、27.3条以及其它询价公告、询价文件列明的必须满足的要求的。</w:t>
            </w:r>
          </w:p>
          <w:p>
            <w:pPr>
              <w:pStyle w:val="37"/>
              <w:wordWrap w:val="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3、须符合法律、行政法规规定的其他条件。</w:t>
            </w:r>
          </w:p>
        </w:tc>
        <w:tc>
          <w:tcPr>
            <w:tcW w:w="2319" w:type="dxa"/>
            <w:tcBorders>
              <w:top w:val="single" w:color="auto" w:sz="4" w:space="0"/>
              <w:left w:val="single" w:color="auto" w:sz="6" w:space="0"/>
              <w:bottom w:val="single" w:color="auto" w:sz="4" w:space="0"/>
              <w:right w:val="single" w:color="auto" w:sz="6" w:space="0"/>
            </w:tcBorders>
            <w:vAlign w:val="center"/>
          </w:tcPr>
          <w:p>
            <w:pPr>
              <w:pStyle w:val="37"/>
              <w:wordWrap w:val="0"/>
              <w:adjustRightInd/>
              <w:ind w:firstLine="420" w:firstLineChars="200"/>
              <w:jc w:val="both"/>
              <w:rPr>
                <w:rFonts w:hint="eastAsia" w:ascii="宋体" w:hAnsi="宋体" w:eastAsia="宋体" w:cs="宋体"/>
                <w:color w:val="auto"/>
                <w:sz w:val="21"/>
                <w:szCs w:val="21"/>
                <w:highlight w:val="none"/>
              </w:rPr>
            </w:pPr>
          </w:p>
        </w:tc>
      </w:tr>
    </w:tbl>
    <w:p>
      <w:pPr>
        <w:pStyle w:val="17"/>
        <w:shd w:val="clear" w:color="auto" w:fill="FFFFFF"/>
        <w:spacing w:beforeAutospacing="0" w:afterAutospacing="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w:t>
      </w:r>
      <w:r>
        <w:rPr>
          <w:rFonts w:hint="eastAsia" w:ascii="宋体" w:hAnsi="宋体" w:eastAsia="宋体" w:cs="宋体"/>
          <w:color w:val="auto"/>
          <w:sz w:val="24"/>
          <w:szCs w:val="24"/>
          <w:highlight w:val="none"/>
          <w:lang w:val="en-US" w:eastAsia="zh-CN"/>
        </w:rPr>
        <w:t>以上各项中有一项不符合即为不合格。</w:t>
      </w:r>
    </w:p>
    <w:p>
      <w:pPr>
        <w:pStyle w:val="37"/>
        <w:numPr>
          <w:ilvl w:val="0"/>
          <w:numId w:val="0"/>
        </w:numPr>
        <w:wordWrap w:val="0"/>
        <w:adjustRightInd/>
        <w:spacing w:line="36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38、报价部分评审</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38.1供应商资格审查和符合性审查合格的，</w:t>
      </w:r>
      <w:r>
        <w:rPr>
          <w:rFonts w:hint="eastAsia" w:cs="宋体"/>
          <w:color w:val="auto"/>
          <w:sz w:val="24"/>
          <w:szCs w:val="24"/>
          <w:highlight w:val="none"/>
          <w:lang w:eastAsia="zh-CN"/>
        </w:rPr>
        <w:t>评审</w:t>
      </w:r>
      <w:r>
        <w:rPr>
          <w:rFonts w:hint="eastAsia" w:ascii="宋体" w:hAnsi="宋体" w:eastAsia="宋体" w:cs="宋体"/>
          <w:color w:val="auto"/>
          <w:sz w:val="24"/>
          <w:szCs w:val="24"/>
          <w:highlight w:val="none"/>
        </w:rPr>
        <w:t>报价部分</w:t>
      </w:r>
      <w:r>
        <w:rPr>
          <w:rFonts w:hint="eastAsia" w:cs="宋体"/>
          <w:color w:val="auto"/>
          <w:sz w:val="24"/>
          <w:szCs w:val="24"/>
          <w:highlight w:val="none"/>
          <w:lang w:eastAsia="zh-CN"/>
        </w:rPr>
        <w:t>。</w:t>
      </w:r>
    </w:p>
    <w:p>
      <w:pPr>
        <w:pStyle w:val="17"/>
        <w:shd w:val="clear" w:color="auto" w:fill="FFFFFF"/>
        <w:spacing w:beforeAutospacing="0" w:afterAutospacing="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38.2评审委员会将对进入报价部分评审的各供应商的报价部分有效性进行审查，经评审有效后，评审委员会将对报价部分进行校核，看其是否有计算或表达上的错误，修正错误的原则如下：</w:t>
      </w:r>
    </w:p>
    <w:p>
      <w:pPr>
        <w:pStyle w:val="17"/>
        <w:shd w:val="clear" w:color="auto" w:fill="FFFFFF"/>
        <w:spacing w:beforeAutospacing="0" w:afterAutospacing="0"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38.2.1响应文件中开标一览表（报价表）内容与响应文件中相应内容不一致的，以开标一览表（报价表）为准；</w:t>
      </w:r>
    </w:p>
    <w:p>
      <w:pPr>
        <w:pStyle w:val="17"/>
        <w:shd w:val="clear" w:color="auto" w:fill="FFFFFF"/>
        <w:spacing w:beforeAutospacing="0" w:afterAutospacing="0"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38.2.2大写金额和小写金额不一致的，以大写金额为准；</w:t>
      </w:r>
    </w:p>
    <w:p>
      <w:pPr>
        <w:pStyle w:val="17"/>
        <w:shd w:val="clear" w:color="auto" w:fill="FFFFFF"/>
        <w:spacing w:beforeAutospacing="0" w:afterAutospacing="0" w:line="360" w:lineRule="auto"/>
        <w:ind w:firstLine="240" w:firstLineChars="100"/>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38.2.3单价金额小数点或者百分比有明显错位的，以开标一览表的总价为准，并修改单价；</w:t>
      </w:r>
    </w:p>
    <w:p>
      <w:pPr>
        <w:pStyle w:val="17"/>
        <w:shd w:val="clear" w:color="auto" w:fill="FFFFFF"/>
        <w:spacing w:beforeAutospacing="0" w:afterAutospacing="0"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38.2.4总价金额与按单价汇总金额不一致的，以单价金额计算结果为准。</w:t>
      </w:r>
    </w:p>
    <w:p>
      <w:pPr>
        <w:pStyle w:val="17"/>
        <w:shd w:val="clear" w:color="auto" w:fill="FFFFFF"/>
        <w:spacing w:beforeAutospacing="0" w:afterAutospacing="0"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时出现两种以上不一致的，按照前款规定的顺序修正。修正后的报价经供应商确认后产生约束力，供应商的确认应当采用书面形式，并加盖公章，或者由法定代表人或其授权的代表签字。供应商的澄清、说明或者补正不得超出响应文件的范围或者改变响应文件的实质性内容。供应商不确认的，其投标无效。</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38.3</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报价无效的几种情形</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38.3.1 投标报价高于预算控制；</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38.3.2 经评标委员会认定低于成本的；</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38.3.3 经评标委员会认定报价出现异常导致不能保证政府采购资金的使用效益的。</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38.3.4</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按规定的原则进行修正后，供应商不确认的。</w:t>
      </w:r>
    </w:p>
    <w:p>
      <w:pPr>
        <w:pStyle w:val="37"/>
        <w:wordWrap w:val="0"/>
        <w:adjustRightInd/>
        <w:spacing w:line="360" w:lineRule="auto"/>
        <w:ind w:firstLine="480" w:firstLineChars="200"/>
        <w:jc w:val="both"/>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38.3.5</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不符合法律法规及询价文件中其它合格性评审要求。</w:t>
      </w:r>
      <w:bookmarkStart w:id="31" w:name="_Toc385492630"/>
    </w:p>
    <w:p>
      <w:pPr>
        <w:pStyle w:val="47"/>
        <w:snapToGrid w:val="0"/>
        <w:jc w:val="both"/>
        <w:rPr>
          <w:rFonts w:hint="eastAsia" w:ascii="宋体" w:hAnsi="宋体" w:eastAsia="宋体" w:cs="宋体"/>
          <w:b/>
          <w:bCs/>
          <w:color w:val="auto"/>
          <w:sz w:val="24"/>
          <w:szCs w:val="24"/>
          <w:highlight w:val="none"/>
        </w:rPr>
      </w:pPr>
    </w:p>
    <w:p>
      <w:pPr>
        <w:pStyle w:val="47"/>
        <w:snapToGrid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十</w:t>
      </w:r>
      <w:r>
        <w:rPr>
          <w:rFonts w:hint="eastAsia" w:ascii="宋体" w:hAnsi="宋体" w:eastAsia="宋体" w:cs="宋体"/>
          <w:b/>
          <w:bCs/>
          <w:color w:val="auto"/>
          <w:sz w:val="24"/>
          <w:szCs w:val="24"/>
          <w:highlight w:val="none"/>
        </w:rPr>
        <w:t>）合同的签订、履行及验收</w:t>
      </w:r>
      <w:bookmarkEnd w:id="31"/>
    </w:p>
    <w:p>
      <w:pPr>
        <w:pStyle w:val="47"/>
        <w:snapToGrid w:val="0"/>
        <w:rPr>
          <w:rFonts w:hint="eastAsia" w:ascii="宋体" w:hAnsi="宋体" w:eastAsia="宋体" w:cs="宋体"/>
          <w:b/>
          <w:bCs/>
          <w:color w:val="auto"/>
          <w:sz w:val="24"/>
          <w:szCs w:val="24"/>
          <w:highlight w:val="none"/>
        </w:rPr>
      </w:pPr>
    </w:p>
    <w:p>
      <w:pPr>
        <w:pStyle w:val="37"/>
        <w:wordWrap w:val="0"/>
        <w:adjustRightInd/>
        <w:spacing w:line="360" w:lineRule="auto"/>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39、合同授予标准：</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本项目合同将授予</w:t>
      </w:r>
      <w:r>
        <w:rPr>
          <w:rFonts w:hint="eastAsia" w:ascii="宋体" w:hAnsi="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w:t>
      </w:r>
    </w:p>
    <w:p>
      <w:pPr>
        <w:pStyle w:val="37"/>
        <w:wordWrap w:val="0"/>
        <w:adjustRightInd/>
        <w:spacing w:line="360" w:lineRule="auto"/>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40、采购人拒绝投标的权力</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采购人不承诺将合同授予报价最低的供应商。采购人在发出中标通知书前，有权依据评标委员会的评标报告拒绝不合格的投标。</w:t>
      </w:r>
    </w:p>
    <w:p>
      <w:pPr>
        <w:pStyle w:val="37"/>
        <w:wordWrap w:val="0"/>
        <w:adjustRightInd/>
        <w:spacing w:line="360"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41、合同协议书的签订</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w:t>
      </w:r>
      <w:r>
        <w:rPr>
          <w:rFonts w:hint="eastAsia" w:ascii="宋体" w:hAnsi="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应在中标通知书发出之日起</w:t>
      </w:r>
      <w:r>
        <w:rPr>
          <w:rFonts w:hint="eastAsia" w:cs="宋体"/>
          <w:color w:val="auto"/>
          <w:sz w:val="24"/>
          <w:szCs w:val="24"/>
          <w:highlight w:val="none"/>
          <w:lang w:val="en-US" w:eastAsia="zh-CN"/>
        </w:rPr>
        <w:t>7个工作</w:t>
      </w:r>
      <w:r>
        <w:rPr>
          <w:rFonts w:hint="eastAsia" w:ascii="宋体" w:hAnsi="宋体" w:eastAsia="宋体" w:cs="宋体"/>
          <w:color w:val="auto"/>
          <w:sz w:val="24"/>
          <w:szCs w:val="24"/>
          <w:highlight w:val="none"/>
        </w:rPr>
        <w:t>日内（具体时间、地点见中标通知书）与采购人签订合同。采购人应按照询价文件和</w:t>
      </w:r>
      <w:r>
        <w:rPr>
          <w:rFonts w:hint="eastAsia" w:cs="宋体"/>
          <w:color w:val="auto"/>
          <w:sz w:val="24"/>
          <w:szCs w:val="24"/>
          <w:highlight w:val="none"/>
          <w:lang w:val="en-US" w:eastAsia="zh-CN"/>
        </w:rPr>
        <w:t>成交供应商</w:t>
      </w:r>
      <w:r>
        <w:rPr>
          <w:rFonts w:hint="eastAsia" w:ascii="宋体" w:hAnsi="宋体" w:eastAsia="宋体" w:cs="宋体"/>
          <w:color w:val="auto"/>
          <w:sz w:val="24"/>
          <w:szCs w:val="24"/>
          <w:highlight w:val="none"/>
        </w:rPr>
        <w:t>的询价响应文件与</w:t>
      </w:r>
      <w:r>
        <w:rPr>
          <w:rFonts w:hint="eastAsia" w:cs="宋体"/>
          <w:color w:val="auto"/>
          <w:sz w:val="24"/>
          <w:szCs w:val="24"/>
          <w:highlight w:val="none"/>
          <w:lang w:val="en-US" w:eastAsia="zh-CN"/>
        </w:rPr>
        <w:t>成交供应商</w:t>
      </w:r>
      <w:r>
        <w:rPr>
          <w:rFonts w:hint="eastAsia" w:ascii="宋体" w:hAnsi="宋体" w:eastAsia="宋体" w:cs="宋体"/>
          <w:color w:val="auto"/>
          <w:sz w:val="24"/>
          <w:szCs w:val="24"/>
          <w:highlight w:val="none"/>
        </w:rPr>
        <w:t>签订采购合同，采购人不得向</w:t>
      </w:r>
      <w:r>
        <w:rPr>
          <w:rFonts w:hint="eastAsia" w:cs="宋体"/>
          <w:color w:val="auto"/>
          <w:sz w:val="24"/>
          <w:szCs w:val="24"/>
          <w:highlight w:val="none"/>
          <w:lang w:val="en-US" w:eastAsia="zh-CN"/>
        </w:rPr>
        <w:t>成交供应商</w:t>
      </w:r>
      <w:r>
        <w:rPr>
          <w:rFonts w:hint="eastAsia" w:ascii="宋体" w:hAnsi="宋体" w:eastAsia="宋体" w:cs="宋体"/>
          <w:color w:val="auto"/>
          <w:sz w:val="24"/>
          <w:szCs w:val="24"/>
          <w:highlight w:val="none"/>
        </w:rPr>
        <w:t>提出任何不合理的要求，作为签订合同的条件，不得与</w:t>
      </w:r>
      <w:r>
        <w:rPr>
          <w:rFonts w:hint="eastAsia" w:cs="宋体"/>
          <w:color w:val="auto"/>
          <w:sz w:val="24"/>
          <w:szCs w:val="24"/>
          <w:highlight w:val="none"/>
          <w:lang w:val="en-US" w:eastAsia="zh-CN"/>
        </w:rPr>
        <w:t>成交供应商</w:t>
      </w:r>
      <w:r>
        <w:rPr>
          <w:rFonts w:hint="eastAsia" w:ascii="宋体" w:hAnsi="宋体" w:eastAsia="宋体" w:cs="宋体"/>
          <w:color w:val="auto"/>
          <w:sz w:val="24"/>
          <w:szCs w:val="24"/>
          <w:highlight w:val="none"/>
        </w:rPr>
        <w:t>私下订立背离合同实质性内容的任何协议，所签订的合同不得对询价文件和</w:t>
      </w:r>
      <w:r>
        <w:rPr>
          <w:rFonts w:hint="eastAsia" w:cs="宋体"/>
          <w:color w:val="auto"/>
          <w:sz w:val="24"/>
          <w:szCs w:val="24"/>
          <w:highlight w:val="none"/>
          <w:lang w:val="en-US" w:eastAsia="zh-CN"/>
        </w:rPr>
        <w:t>成交供应商</w:t>
      </w:r>
      <w:r>
        <w:rPr>
          <w:rFonts w:hint="eastAsia" w:ascii="宋体" w:hAnsi="宋体" w:eastAsia="宋体" w:cs="宋体"/>
          <w:color w:val="auto"/>
          <w:sz w:val="24"/>
          <w:szCs w:val="24"/>
          <w:highlight w:val="none"/>
        </w:rPr>
        <w:t>询价响应文件作实质性修改。</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41.2</w:t>
      </w:r>
      <w:r>
        <w:rPr>
          <w:rFonts w:hint="eastAsia" w:cs="宋体"/>
          <w:color w:val="auto"/>
          <w:sz w:val="24"/>
          <w:szCs w:val="24"/>
          <w:highlight w:val="none"/>
          <w:lang w:val="en-US" w:eastAsia="zh-CN"/>
        </w:rPr>
        <w:t>成交供应商</w:t>
      </w:r>
      <w:r>
        <w:rPr>
          <w:rFonts w:hint="eastAsia" w:ascii="宋体" w:hAnsi="宋体" w:eastAsia="宋体" w:cs="宋体"/>
          <w:color w:val="auto"/>
          <w:sz w:val="24"/>
          <w:szCs w:val="24"/>
          <w:highlight w:val="none"/>
        </w:rPr>
        <w:t>如不按本询价文件规定与采购人订立合同，则采购人将废除授标，有投标担保的将不予退还，给采购人造成的损失超过投标担保数额的，还应当对超过部分予以赔偿，同时依法承担相应法律责任。</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41.3</w:t>
      </w:r>
      <w:r>
        <w:rPr>
          <w:rFonts w:hint="eastAsia" w:ascii="宋体" w:hAnsi="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应当按照合同约定履行义务，完成中标项目，不得将中标项目转让（转包）给他人。</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41.4 采购双方必须严格按照询价文件、询价响应文件及有关承诺签订采购合同，不得擅自变更。合同的标的、价款、质量、履行期限等主要条款应当与询价文件和</w:t>
      </w:r>
      <w:r>
        <w:rPr>
          <w:rFonts w:hint="eastAsia" w:cs="宋体"/>
          <w:color w:val="auto"/>
          <w:sz w:val="24"/>
          <w:szCs w:val="24"/>
          <w:highlight w:val="none"/>
          <w:lang w:val="en-US" w:eastAsia="zh-CN"/>
        </w:rPr>
        <w:t>成交供应商</w:t>
      </w:r>
      <w:r>
        <w:rPr>
          <w:rFonts w:hint="eastAsia" w:ascii="宋体" w:hAnsi="宋体" w:eastAsia="宋体" w:cs="宋体"/>
          <w:color w:val="auto"/>
          <w:sz w:val="24"/>
          <w:szCs w:val="24"/>
          <w:highlight w:val="none"/>
        </w:rPr>
        <w:t>的询价响应文件的内容一致，采购人和</w:t>
      </w:r>
      <w:r>
        <w:rPr>
          <w:rFonts w:hint="eastAsia" w:cs="宋体"/>
          <w:color w:val="auto"/>
          <w:sz w:val="24"/>
          <w:szCs w:val="24"/>
          <w:highlight w:val="none"/>
          <w:lang w:val="en-US" w:eastAsia="zh-CN"/>
        </w:rPr>
        <w:t>成交供应商</w:t>
      </w:r>
      <w:r>
        <w:rPr>
          <w:rFonts w:hint="eastAsia" w:ascii="宋体" w:hAnsi="宋体" w:eastAsia="宋体" w:cs="宋体"/>
          <w:color w:val="auto"/>
          <w:sz w:val="24"/>
          <w:szCs w:val="24"/>
          <w:highlight w:val="none"/>
        </w:rPr>
        <w:t>不得再行订立背离合同实质性内容的其他协议。对任何因双方擅自变更合同引起的问题代理机构概不负责，合同风险由双方自行承担。</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41.5采购人保留以书面形式要求合同的卖方对其所投货物的装运方式、交货地点及服务细则等作适当调整的权利。</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卖方提供和交付的货物技术规格、工程施工应与询价文件规定的技术要求以及所附的技术规格响应表相一致。</w:t>
      </w:r>
    </w:p>
    <w:p>
      <w:pPr>
        <w:pStyle w:val="37"/>
        <w:wordWrap w:val="0"/>
        <w:adjustRightInd/>
        <w:spacing w:line="360" w:lineRule="auto"/>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42、履行合同</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42.1</w:t>
      </w:r>
      <w:r>
        <w:rPr>
          <w:rFonts w:hint="eastAsia" w:ascii="宋体" w:hAnsi="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与采购人签订合同后，合同双方应严格执行合同条款，履行合同规定的义务，保证合同的顺利完成。</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42.2在合同履行过程中，如发生合同纠纷，合同双方应按照《</w:t>
      </w:r>
      <w:r>
        <w:rPr>
          <w:rFonts w:hint="eastAsia" w:cs="宋体"/>
          <w:color w:val="auto"/>
          <w:sz w:val="24"/>
          <w:szCs w:val="24"/>
          <w:highlight w:val="none"/>
          <w:lang w:val="en-US" w:eastAsia="zh-CN"/>
        </w:rPr>
        <w:t>中华人民共和国民法典</w:t>
      </w:r>
      <w:r>
        <w:rPr>
          <w:rFonts w:hint="eastAsia" w:ascii="宋体" w:hAnsi="宋体" w:eastAsia="宋体" w:cs="宋体"/>
          <w:color w:val="auto"/>
          <w:sz w:val="24"/>
          <w:szCs w:val="24"/>
          <w:highlight w:val="none"/>
        </w:rPr>
        <w:t>》的有关规定进行处理。</w:t>
      </w:r>
    </w:p>
    <w:p>
      <w:pPr>
        <w:spacing w:line="360" w:lineRule="auto"/>
        <w:ind w:firstLine="549"/>
        <w:rPr>
          <w:rFonts w:hint="eastAsia" w:ascii="宋体" w:hAnsi="宋体" w:eastAsia="宋体" w:cs="宋体"/>
          <w:b/>
          <w:bCs/>
          <w:color w:val="auto"/>
          <w:kern w:val="0"/>
          <w:sz w:val="24"/>
          <w:szCs w:val="24"/>
          <w:highlight w:val="none"/>
        </w:rPr>
      </w:pPr>
      <w:bookmarkStart w:id="32" w:name="项目清单"/>
      <w:r>
        <w:rPr>
          <w:rFonts w:hint="eastAsia" w:ascii="宋体" w:hAnsi="宋体" w:eastAsia="宋体" w:cs="宋体"/>
          <w:b/>
          <w:bCs/>
          <w:color w:val="auto"/>
          <w:kern w:val="0"/>
          <w:sz w:val="24"/>
          <w:szCs w:val="24"/>
          <w:highlight w:val="none"/>
        </w:rPr>
        <w:t>43、验收</w:t>
      </w:r>
    </w:p>
    <w:p>
      <w:pPr>
        <w:spacing w:line="360" w:lineRule="auto"/>
        <w:ind w:firstLine="54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1采购人验收时，应成立三人以上验收小组，明确责任，严格依照询价文件、中标通知书、政府采购合同及相关验收规范进行核对、验收，形成验收结论，并出具书面验收报告。</w:t>
      </w:r>
    </w:p>
    <w:p>
      <w:pPr>
        <w:spacing w:line="360" w:lineRule="auto"/>
        <w:ind w:firstLine="54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43.2涉及安全、消防、环保等其他需要由质检或行业主管部门进行验收的项目，必须邀请相关部门参与验收。</w:t>
      </w:r>
    </w:p>
    <w:p>
      <w:pPr>
        <w:spacing w:line="360" w:lineRule="auto"/>
        <w:ind w:firstLine="54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43.3检测、验收费用均由合同乙方（</w:t>
      </w:r>
      <w:r>
        <w:rPr>
          <w:rFonts w:hint="eastAsia" w:cs="宋体"/>
          <w:color w:val="auto"/>
          <w:sz w:val="24"/>
          <w:szCs w:val="24"/>
          <w:highlight w:val="none"/>
          <w:lang w:val="en-US" w:eastAsia="zh-CN"/>
        </w:rPr>
        <w:t>成交供应商</w:t>
      </w:r>
      <w:r>
        <w:rPr>
          <w:rFonts w:hint="eastAsia" w:ascii="宋体" w:hAnsi="宋体" w:eastAsia="宋体" w:cs="宋体"/>
          <w:color w:val="auto"/>
          <w:kern w:val="0"/>
          <w:sz w:val="24"/>
          <w:szCs w:val="24"/>
          <w:highlight w:val="none"/>
        </w:rPr>
        <w:t>）承担，采购文件中另有约定的除外。</w:t>
      </w:r>
    </w:p>
    <w:p>
      <w:pPr>
        <w:spacing w:line="360" w:lineRule="auto"/>
        <w:ind w:firstLine="54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43.4在验收中，如果发现产品不符合合同约定的，应当场拒收，已接受的应妥为保管，同时在规定时间内向乙方书面提出异议。具体说明产品不符合规定的内容并附相关材料，同时提出不符合规定产品的处理意见。乙方在接到甲方异议后，应在规定时间内负责处理，否则，即视为默认甲方提出的异议和处理意见。如甲方验收合格并足额付款的，视同甲方认可乙方所交产品质量符合甲方要求</w:t>
      </w:r>
      <w:r>
        <w:rPr>
          <w:rFonts w:hint="eastAsia" w:ascii="宋体" w:hAnsi="宋体" w:cs="宋体"/>
          <w:color w:val="auto"/>
          <w:kern w:val="0"/>
          <w:sz w:val="24"/>
          <w:szCs w:val="24"/>
          <w:highlight w:val="none"/>
          <w:lang w:eastAsia="zh-CN"/>
        </w:rPr>
        <w:t>。</w:t>
      </w:r>
    </w:p>
    <w:p>
      <w:pPr>
        <w:spacing w:line="360" w:lineRule="auto"/>
        <w:ind w:firstLine="549"/>
        <w:rPr>
          <w:rFonts w:hint="eastAsia" w:ascii="宋体" w:hAnsi="宋体" w:eastAsia="宋体" w:cs="宋体"/>
          <w:b/>
          <w:bCs/>
          <w:color w:val="auto"/>
          <w:sz w:val="24"/>
          <w:szCs w:val="24"/>
          <w:highlight w:val="none"/>
        </w:rPr>
      </w:pPr>
      <w:r>
        <w:rPr>
          <w:rFonts w:hint="eastAsia" w:ascii="宋体" w:hAnsi="宋体" w:eastAsia="宋体" w:cs="宋体"/>
          <w:color w:val="auto"/>
          <w:kern w:val="0"/>
          <w:sz w:val="24"/>
          <w:szCs w:val="24"/>
          <w:highlight w:val="none"/>
        </w:rPr>
        <w:t>43.5甲方因使用、保管、保养不善等造成产品质量下降的，不得提出异议。</w:t>
      </w:r>
      <w:bookmarkEnd w:id="32"/>
    </w:p>
    <w:p>
      <w:pPr>
        <w:pStyle w:val="47"/>
        <w:snapToGrid w:val="0"/>
        <w:spacing w:line="360" w:lineRule="auto"/>
        <w:rPr>
          <w:rFonts w:hint="eastAsia" w:ascii="宋体" w:hAnsi="宋体" w:eastAsia="宋体" w:cs="宋体"/>
          <w:b/>
          <w:bCs/>
          <w:color w:val="auto"/>
          <w:sz w:val="24"/>
          <w:szCs w:val="24"/>
          <w:highlight w:val="none"/>
        </w:rPr>
      </w:pPr>
    </w:p>
    <w:p>
      <w:pPr>
        <w:pStyle w:val="47"/>
        <w:snapToGrid w:val="0"/>
        <w:spacing w:line="360" w:lineRule="auto"/>
        <w:rPr>
          <w:rFonts w:hint="eastAsia" w:ascii="宋体" w:hAnsi="宋体" w:eastAsia="宋体" w:cs="宋体"/>
          <w:b/>
          <w:bCs/>
          <w:color w:val="auto"/>
          <w:sz w:val="24"/>
          <w:szCs w:val="24"/>
          <w:highlight w:val="none"/>
        </w:rPr>
      </w:pPr>
    </w:p>
    <w:p>
      <w:pPr>
        <w:pStyle w:val="47"/>
        <w:snapToGrid w:val="0"/>
        <w:spacing w:line="360" w:lineRule="auto"/>
        <w:rPr>
          <w:rFonts w:hint="eastAsia" w:ascii="宋体" w:hAnsi="宋体" w:eastAsia="宋体" w:cs="宋体"/>
          <w:b/>
          <w:bCs/>
          <w:color w:val="auto"/>
          <w:sz w:val="24"/>
          <w:szCs w:val="24"/>
          <w:highlight w:val="none"/>
        </w:rPr>
      </w:pPr>
    </w:p>
    <w:p>
      <w:pPr>
        <w:pStyle w:val="47"/>
        <w:snapToGrid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）质疑和投诉</w:t>
      </w:r>
    </w:p>
    <w:p>
      <w:pPr>
        <w:pStyle w:val="37"/>
        <w:wordWrap w:val="0"/>
        <w:adjustRightInd/>
        <w:spacing w:line="360" w:lineRule="auto"/>
        <w:ind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供应商应在法定质疑期内一次性提出针对同一采购程序环节的质疑。提出质疑的供应商应当是参与所质疑项目采购活动的供应商。</w:t>
      </w:r>
    </w:p>
    <w:p>
      <w:pPr>
        <w:pStyle w:val="37"/>
        <w:wordWrap w:val="0"/>
        <w:adjustRightInd/>
        <w:spacing w:line="360" w:lineRule="auto"/>
        <w:ind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pPr>
        <w:pStyle w:val="37"/>
        <w:wordWrap w:val="0"/>
        <w:adjustRightInd/>
        <w:spacing w:line="360" w:lineRule="auto"/>
        <w:ind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投标人如对本询价文件有任何疑问或澄清要求，应在知其权益受到损害之日起七个工作日内提出。否则视同投标人对文件理解和接受。</w:t>
      </w:r>
    </w:p>
    <w:p>
      <w:pPr>
        <w:pStyle w:val="37"/>
        <w:wordWrap w:val="0"/>
        <w:adjustRightInd/>
        <w:spacing w:line="360" w:lineRule="auto"/>
        <w:ind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投标人对成交公告有异议的，应在成交公告期限届满之日起七个工作日前提出。</w:t>
      </w:r>
    </w:p>
    <w:p>
      <w:pPr>
        <w:pStyle w:val="37"/>
        <w:wordWrap w:val="0"/>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关于询价文件中非通用条款部分方面及评标结果的质疑向采购人提出，采购人在七个工作日内作出答复。关于询价文件通用条款部分以及采购程序方面的质疑向</w:t>
      </w:r>
      <w:r>
        <w:rPr>
          <w:rFonts w:hint="eastAsia" w:cs="宋体"/>
          <w:b w:val="0"/>
          <w:bCs w:val="0"/>
          <w:color w:val="auto"/>
          <w:sz w:val="24"/>
          <w:szCs w:val="24"/>
          <w:highlight w:val="none"/>
          <w:lang w:eastAsia="zh-CN"/>
        </w:rPr>
        <w:t>采购人</w:t>
      </w:r>
      <w:r>
        <w:rPr>
          <w:rFonts w:hint="eastAsia" w:ascii="宋体" w:hAnsi="宋体" w:eastAsia="宋体" w:cs="宋体"/>
          <w:b w:val="0"/>
          <w:bCs w:val="0"/>
          <w:color w:val="auto"/>
          <w:sz w:val="24"/>
          <w:szCs w:val="24"/>
          <w:highlight w:val="none"/>
        </w:rPr>
        <w:t>提出，由</w:t>
      </w:r>
      <w:r>
        <w:rPr>
          <w:rFonts w:hint="eastAsia" w:cs="宋体"/>
          <w:b w:val="0"/>
          <w:bCs w:val="0"/>
          <w:color w:val="auto"/>
          <w:sz w:val="24"/>
          <w:szCs w:val="24"/>
          <w:highlight w:val="none"/>
          <w:lang w:eastAsia="zh-CN"/>
        </w:rPr>
        <w:t>采购人</w:t>
      </w:r>
      <w:r>
        <w:rPr>
          <w:rFonts w:hint="eastAsia" w:ascii="宋体" w:hAnsi="宋体" w:eastAsia="宋体" w:cs="宋体"/>
          <w:b w:val="0"/>
          <w:bCs w:val="0"/>
          <w:color w:val="auto"/>
          <w:sz w:val="24"/>
          <w:szCs w:val="24"/>
          <w:highlight w:val="none"/>
        </w:rPr>
        <w:t>作出答复。质疑投标人对答复内容不满意的或受理单位未在规定时间内作出答复的，可在答复期满后十五个工作日内向监督管理部门提出投诉。相关联系人及联系方式根据质疑提出阶段的不同分别见招标公告和成交公告。</w:t>
      </w:r>
    </w:p>
    <w:p>
      <w:pPr>
        <w:pStyle w:val="47"/>
        <w:snapToGrid w:val="0"/>
        <w:jc w:val="both"/>
        <w:rPr>
          <w:rFonts w:hint="eastAsia" w:ascii="宋体" w:hAnsi="宋体" w:eastAsia="宋体" w:cs="宋体"/>
          <w:b/>
          <w:bCs/>
          <w:color w:val="auto"/>
          <w:sz w:val="24"/>
          <w:szCs w:val="24"/>
          <w:highlight w:val="none"/>
        </w:rPr>
      </w:pPr>
      <w:bookmarkStart w:id="33" w:name="_Toc385492632"/>
    </w:p>
    <w:p>
      <w:pPr>
        <w:pStyle w:val="47"/>
        <w:snapToGrid w:val="0"/>
        <w:jc w:val="both"/>
        <w:rPr>
          <w:rFonts w:hint="eastAsia" w:ascii="宋体" w:hAnsi="宋体" w:eastAsia="宋体" w:cs="宋体"/>
          <w:b/>
          <w:bCs/>
          <w:color w:val="auto"/>
          <w:sz w:val="24"/>
          <w:szCs w:val="24"/>
          <w:highlight w:val="none"/>
        </w:rPr>
      </w:pPr>
    </w:p>
    <w:p>
      <w:pPr>
        <w:pStyle w:val="47"/>
        <w:snapToGrid w:val="0"/>
        <w:rPr>
          <w:rFonts w:hint="eastAsia" w:ascii="宋体" w:hAnsi="宋体" w:eastAsia="宋体" w:cs="宋体"/>
          <w:b/>
          <w:bCs/>
          <w:color w:val="auto"/>
          <w:sz w:val="24"/>
          <w:szCs w:val="24"/>
          <w:highlight w:val="none"/>
        </w:rPr>
      </w:pPr>
    </w:p>
    <w:p>
      <w:pPr>
        <w:pStyle w:val="47"/>
        <w:snapToGrid w:val="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第四章</w:t>
      </w:r>
      <w:r>
        <w:rPr>
          <w:rFonts w:hint="eastAsia" w:ascii="宋体" w:hAnsi="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项目需求</w:t>
      </w:r>
      <w:bookmarkEnd w:id="33"/>
    </w:p>
    <w:p>
      <w:pPr>
        <w:pStyle w:val="37"/>
        <w:adjustRightInd/>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如本章内容与其他章节有冲突，以本章内容为准。</w:t>
      </w:r>
    </w:p>
    <w:p>
      <w:pPr>
        <w:pStyle w:val="37"/>
        <w:numPr>
          <w:ilvl w:val="0"/>
          <w:numId w:val="0"/>
        </w:numPr>
        <w:adjustRightInd/>
        <w:spacing w:line="360" w:lineRule="auto"/>
        <w:ind w:firstLine="480" w:firstLineChars="200"/>
        <w:jc w:val="both"/>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如本章内容与国家法律法规相冲突的，以相关法律法规为准。</w:t>
      </w:r>
    </w:p>
    <w:p>
      <w:pPr>
        <w:pStyle w:val="37"/>
        <w:numPr>
          <w:ilvl w:val="0"/>
          <w:numId w:val="0"/>
        </w:numPr>
        <w:adjustRightInd/>
        <w:spacing w:line="360" w:lineRule="auto"/>
        <w:ind w:left="420" w:leftChars="0"/>
        <w:jc w:val="both"/>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rPr>
        <w:t>如本章内容与国家、地方强制标准相冲突的，以强制标准为准。</w:t>
      </w:r>
    </w:p>
    <w:p>
      <w:pPr>
        <w:keepNext w:val="0"/>
        <w:keepLines w:val="0"/>
        <w:pageBreakBefore w:val="0"/>
        <w:widowControl/>
        <w:kinsoku/>
        <w:wordWrap/>
        <w:overflowPunct/>
        <w:topLinePunct w:val="0"/>
        <w:autoSpaceDE/>
        <w:autoSpaceDN/>
        <w:bidi w:val="0"/>
        <w:spacing w:line="460" w:lineRule="exact"/>
        <w:textAlignment w:val="auto"/>
        <w:rPr>
          <w:rFonts w:ascii="宋体" w:hAnsi="宋体" w:cs="宋体"/>
          <w:kern w:val="0"/>
          <w:sz w:val="24"/>
        </w:rPr>
      </w:pPr>
      <w:r>
        <w:rPr>
          <w:rFonts w:hint="eastAsia" w:ascii="宋体" w:hAnsi="宋体"/>
          <w:color w:val="000000"/>
          <w:sz w:val="24"/>
        </w:rPr>
        <w:t>1.</w:t>
      </w:r>
      <w:r>
        <w:rPr>
          <w:rFonts w:hint="eastAsia" w:ascii="宋体" w:hAnsi="宋体"/>
          <w:color w:val="000000"/>
          <w:sz w:val="24"/>
          <w:lang w:eastAsia="zh-CN"/>
        </w:rPr>
        <w:t>采购</w:t>
      </w:r>
      <w:r>
        <w:rPr>
          <w:rFonts w:hint="eastAsia" w:ascii="宋体" w:hAnsi="宋体"/>
          <w:color w:val="000000"/>
          <w:sz w:val="24"/>
        </w:rPr>
        <w:t>产品类型及具体产品名称、规格型号、计划数量（暂定量）等如下</w:t>
      </w:r>
      <w:r>
        <w:rPr>
          <w:rFonts w:hint="eastAsia" w:ascii="宋体" w:hAnsi="宋体" w:cs="宋体"/>
          <w:kern w:val="0"/>
          <w:sz w:val="24"/>
        </w:rPr>
        <w:t xml:space="preserve">： </w:t>
      </w:r>
    </w:p>
    <w:tbl>
      <w:tblPr>
        <w:tblStyle w:val="18"/>
        <w:tblW w:w="8999"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6"/>
        <w:gridCol w:w="2554"/>
        <w:gridCol w:w="1277"/>
        <w:gridCol w:w="1204"/>
        <w:gridCol w:w="2317"/>
        <w:gridCol w:w="1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000000"/>
                <w:sz w:val="24"/>
              </w:rPr>
            </w:pPr>
            <w:r>
              <w:rPr>
                <w:rFonts w:hint="eastAsia" w:ascii="宋体" w:hAnsi="宋体"/>
                <w:b/>
                <w:color w:val="000000"/>
                <w:sz w:val="24"/>
              </w:rPr>
              <w:t>序号</w:t>
            </w:r>
          </w:p>
        </w:tc>
        <w:tc>
          <w:tcPr>
            <w:tcW w:w="25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000000"/>
                <w:sz w:val="24"/>
              </w:rPr>
            </w:pPr>
            <w:r>
              <w:rPr>
                <w:rFonts w:hint="eastAsia" w:ascii="宋体" w:hAnsi="宋体"/>
                <w:b/>
                <w:color w:val="000000"/>
                <w:sz w:val="24"/>
              </w:rPr>
              <w:t>产品名称</w:t>
            </w:r>
          </w:p>
        </w:tc>
        <w:tc>
          <w:tcPr>
            <w:tcW w:w="127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000000"/>
                <w:sz w:val="24"/>
              </w:rPr>
            </w:pPr>
            <w:r>
              <w:rPr>
                <w:rFonts w:hint="eastAsia" w:ascii="宋体" w:hAnsi="宋体"/>
                <w:b/>
                <w:color w:val="000000"/>
                <w:sz w:val="24"/>
              </w:rPr>
              <w:t>规格型号</w:t>
            </w:r>
          </w:p>
        </w:tc>
        <w:tc>
          <w:tcPr>
            <w:tcW w:w="12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000000"/>
                <w:sz w:val="24"/>
              </w:rPr>
            </w:pPr>
            <w:r>
              <w:rPr>
                <w:rFonts w:hint="eastAsia" w:ascii="宋体" w:hAnsi="宋体"/>
                <w:b/>
                <w:color w:val="000000"/>
                <w:sz w:val="24"/>
              </w:rPr>
              <w:t>计量单位</w:t>
            </w:r>
          </w:p>
        </w:tc>
        <w:tc>
          <w:tcPr>
            <w:tcW w:w="23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000000"/>
                <w:sz w:val="24"/>
              </w:rPr>
            </w:pPr>
            <w:r>
              <w:rPr>
                <w:rFonts w:hint="eastAsia" w:ascii="宋体" w:hAnsi="宋体"/>
                <w:b/>
                <w:color w:val="000000"/>
                <w:sz w:val="24"/>
              </w:rPr>
              <w:t>推荐、建议品牌</w:t>
            </w:r>
          </w:p>
        </w:tc>
        <w:tc>
          <w:tcPr>
            <w:tcW w:w="10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4"/>
              </w:rPr>
            </w:pPr>
            <w:r>
              <w:rPr>
                <w:rFonts w:hint="eastAsia" w:ascii="宋体" w:hAnsi="宋体"/>
                <w:b/>
                <w:color w:val="000000"/>
                <w:sz w:val="24"/>
              </w:rPr>
              <w:t>计划数量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w:t>
            </w:r>
          </w:p>
        </w:tc>
        <w:tc>
          <w:tcPr>
            <w:tcW w:w="255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LED灯管</w:t>
            </w: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T8  16w</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 w:val="24"/>
              </w:rPr>
            </w:pPr>
            <w:r>
              <w:rPr>
                <w:rFonts w:hint="eastAsia" w:ascii="宋体" w:hAnsi="宋体"/>
                <w:color w:val="000000"/>
                <w:sz w:val="24"/>
              </w:rPr>
              <w:t>飞利浦、欧普、国星</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2</w:t>
            </w:r>
          </w:p>
        </w:tc>
        <w:tc>
          <w:tcPr>
            <w:tcW w:w="255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LED灯盘</w:t>
            </w: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12W</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 w:val="24"/>
              </w:rPr>
            </w:pPr>
            <w:r>
              <w:rPr>
                <w:rFonts w:hint="eastAsia" w:ascii="宋体" w:hAnsi="宋体"/>
                <w:color w:val="000000"/>
                <w:sz w:val="24"/>
              </w:rPr>
              <w:t>飞利浦、欧普、金陵</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3</w:t>
            </w:r>
          </w:p>
        </w:tc>
        <w:tc>
          <w:tcPr>
            <w:tcW w:w="255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LED灯管</w:t>
            </w: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T5  16w</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 w:val="24"/>
              </w:rPr>
            </w:pPr>
            <w:r>
              <w:rPr>
                <w:rFonts w:hint="eastAsia" w:ascii="宋体" w:hAnsi="宋体"/>
                <w:color w:val="000000"/>
                <w:sz w:val="24"/>
              </w:rPr>
              <w:t>飞利浦、欧普、国星</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4</w:t>
            </w:r>
          </w:p>
        </w:tc>
        <w:tc>
          <w:tcPr>
            <w:tcW w:w="2554"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color w:val="000000"/>
                <w:sz w:val="24"/>
              </w:rPr>
            </w:pPr>
            <w:r>
              <w:rPr>
                <w:rFonts w:hint="eastAsia" w:ascii="宋体" w:hAnsi="宋体"/>
                <w:color w:val="000000"/>
                <w:sz w:val="24"/>
              </w:rPr>
              <w:t>LED一体支架（含光源）</w:t>
            </w: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T5  16w</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套</w:t>
            </w:r>
          </w:p>
        </w:tc>
        <w:tc>
          <w:tcPr>
            <w:tcW w:w="2317" w:type="dxa"/>
            <w:tcBorders>
              <w:top w:val="single" w:color="auto" w:sz="4" w:space="0"/>
              <w:left w:val="single" w:color="auto" w:sz="4" w:space="0"/>
              <w:bottom w:val="single" w:color="auto" w:sz="4" w:space="0"/>
              <w:right w:val="single" w:color="auto" w:sz="4" w:space="0"/>
            </w:tcBorders>
          </w:tcPr>
          <w:p>
            <w:r>
              <w:rPr>
                <w:rFonts w:hint="eastAsia" w:ascii="宋体" w:hAnsi="宋体"/>
                <w:color w:val="000000"/>
                <w:sz w:val="24"/>
              </w:rPr>
              <w:t>飞利浦、欧普、国星</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5</w:t>
            </w:r>
          </w:p>
        </w:tc>
        <w:tc>
          <w:tcPr>
            <w:tcW w:w="255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格栅灯管</w:t>
            </w: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7W</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套</w:t>
            </w:r>
          </w:p>
        </w:tc>
        <w:tc>
          <w:tcPr>
            <w:tcW w:w="2317" w:type="dxa"/>
            <w:tcBorders>
              <w:top w:val="single" w:color="auto" w:sz="4" w:space="0"/>
              <w:left w:val="single" w:color="auto" w:sz="4" w:space="0"/>
              <w:bottom w:val="single" w:color="auto" w:sz="4" w:space="0"/>
              <w:right w:val="single" w:color="auto" w:sz="4" w:space="0"/>
            </w:tcBorders>
          </w:tcPr>
          <w:p>
            <w:r>
              <w:rPr>
                <w:rFonts w:hint="eastAsia" w:ascii="宋体" w:hAnsi="宋体"/>
                <w:color w:val="000000"/>
                <w:sz w:val="24"/>
              </w:rPr>
              <w:t>飞利浦、欧普、国星</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7</w:t>
            </w:r>
          </w:p>
        </w:tc>
        <w:tc>
          <w:tcPr>
            <w:tcW w:w="2554" w:type="dxa"/>
            <w:vMerge w:val="restart"/>
            <w:tcBorders>
              <w:top w:val="single" w:color="auto" w:sz="4" w:space="0"/>
              <w:left w:val="single" w:color="auto" w:sz="4" w:space="0"/>
              <w:bottom w:val="single" w:color="auto" w:sz="4" w:space="0"/>
              <w:right w:val="single" w:color="auto" w:sz="4" w:space="0"/>
            </w:tcBorders>
            <w:vAlign w:val="center"/>
          </w:tcPr>
          <w:p>
            <w:pPr>
              <w:widowControl/>
              <w:ind w:firstLine="840" w:firstLineChars="350"/>
              <w:jc w:val="left"/>
              <w:rPr>
                <w:rFonts w:ascii="宋体" w:hAnsi="宋体"/>
                <w:color w:val="000000"/>
                <w:sz w:val="24"/>
              </w:rPr>
            </w:pPr>
            <w:r>
              <w:rPr>
                <w:rFonts w:hint="eastAsia" w:ascii="宋体" w:hAnsi="宋体"/>
                <w:color w:val="000000"/>
                <w:sz w:val="24"/>
              </w:rPr>
              <w:t>LED节能灯</w:t>
            </w: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5W</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tcPr>
          <w:p>
            <w:r>
              <w:rPr>
                <w:rFonts w:hint="eastAsia" w:ascii="宋体" w:hAnsi="宋体"/>
                <w:color w:val="000000"/>
                <w:sz w:val="24"/>
              </w:rPr>
              <w:t>飞利浦、欧普、国星</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8</w:t>
            </w:r>
          </w:p>
        </w:tc>
        <w:tc>
          <w:tcPr>
            <w:tcW w:w="255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000000"/>
                <w:sz w:val="24"/>
              </w:rPr>
            </w:pP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7W</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tcPr>
          <w:p>
            <w:r>
              <w:rPr>
                <w:rFonts w:hint="eastAsia" w:ascii="宋体" w:hAnsi="宋体"/>
                <w:color w:val="000000"/>
                <w:sz w:val="24"/>
              </w:rPr>
              <w:t>飞利浦、欧普、国星</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9</w:t>
            </w:r>
          </w:p>
        </w:tc>
        <w:tc>
          <w:tcPr>
            <w:tcW w:w="255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000000"/>
                <w:sz w:val="24"/>
              </w:rPr>
            </w:pP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12W</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tcPr>
          <w:p>
            <w:r>
              <w:rPr>
                <w:rFonts w:hint="eastAsia" w:ascii="宋体" w:hAnsi="宋体"/>
                <w:color w:val="000000"/>
                <w:sz w:val="24"/>
              </w:rPr>
              <w:t>飞利浦、欧普、国星</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10</w:t>
            </w:r>
          </w:p>
        </w:tc>
        <w:tc>
          <w:tcPr>
            <w:tcW w:w="255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防水灯头</w:t>
            </w: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E27</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tcPr>
          <w:p>
            <w:pPr>
              <w:rPr>
                <w:rFonts w:ascii="宋体" w:hAnsi="宋体"/>
                <w:color w:val="000000"/>
                <w:sz w:val="24"/>
              </w:rPr>
            </w:pPr>
            <w:r>
              <w:rPr>
                <w:rFonts w:hint="eastAsia" w:ascii="宋体" w:hAnsi="宋体"/>
                <w:color w:val="000000"/>
                <w:sz w:val="24"/>
              </w:rPr>
              <w:t>飞利浦、欧普、国星</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11</w:t>
            </w:r>
          </w:p>
        </w:tc>
        <w:tc>
          <w:tcPr>
            <w:tcW w:w="255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LED 灯带</w:t>
            </w: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 xml:space="preserve">14W </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根</w:t>
            </w:r>
          </w:p>
        </w:tc>
        <w:tc>
          <w:tcPr>
            <w:tcW w:w="2317" w:type="dxa"/>
            <w:tcBorders>
              <w:top w:val="single" w:color="auto" w:sz="4" w:space="0"/>
              <w:left w:val="single" w:color="auto" w:sz="4" w:space="0"/>
              <w:bottom w:val="single" w:color="auto" w:sz="4" w:space="0"/>
              <w:right w:val="single" w:color="auto" w:sz="4" w:space="0"/>
            </w:tcBorders>
          </w:tcPr>
          <w:p>
            <w:pPr>
              <w:rPr>
                <w:rFonts w:ascii="宋体" w:hAnsi="宋体"/>
                <w:color w:val="000000"/>
                <w:sz w:val="24"/>
              </w:rPr>
            </w:pPr>
            <w:r>
              <w:rPr>
                <w:rFonts w:hint="eastAsia" w:ascii="宋体" w:hAnsi="宋体"/>
                <w:color w:val="000000"/>
                <w:sz w:val="24"/>
              </w:rPr>
              <w:t>飞利浦、欧普、公牛</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12</w:t>
            </w:r>
          </w:p>
        </w:tc>
        <w:tc>
          <w:tcPr>
            <w:tcW w:w="2554" w:type="dxa"/>
            <w:vMerge w:val="restart"/>
            <w:tcBorders>
              <w:top w:val="single" w:color="auto" w:sz="4" w:space="0"/>
              <w:left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小型断路器</w:t>
            </w: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 xml:space="preserve">1P 16A 20A </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tcPr>
          <w:p>
            <w:pPr>
              <w:rPr>
                <w:rFonts w:ascii="宋体" w:hAnsi="宋体"/>
                <w:color w:val="000000"/>
                <w:sz w:val="24"/>
              </w:rPr>
            </w:pPr>
            <w:r>
              <w:rPr>
                <w:rFonts w:hint="eastAsia" w:ascii="宋体" w:hAnsi="宋体"/>
                <w:color w:val="000000"/>
                <w:sz w:val="24"/>
              </w:rPr>
              <w:t>公牛、正泰、鸿雁</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13</w:t>
            </w:r>
          </w:p>
        </w:tc>
        <w:tc>
          <w:tcPr>
            <w:tcW w:w="2554" w:type="dxa"/>
            <w:vMerge w:val="continue"/>
            <w:tcBorders>
              <w:left w:val="single" w:color="auto" w:sz="4" w:space="0"/>
              <w:right w:val="single" w:color="auto" w:sz="4" w:space="0"/>
            </w:tcBorders>
            <w:vAlign w:val="center"/>
          </w:tcPr>
          <w:p>
            <w:pPr>
              <w:spacing w:line="320" w:lineRule="exact"/>
              <w:jc w:val="center"/>
              <w:rPr>
                <w:rFonts w:ascii="宋体" w:hAnsi="宋体"/>
                <w:color w:val="000000"/>
                <w:sz w:val="24"/>
              </w:rPr>
            </w:pP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 xml:space="preserve">2P 16A 20A </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tcPr>
          <w:p>
            <w:pPr>
              <w:rPr>
                <w:rFonts w:ascii="宋体" w:hAnsi="宋体"/>
                <w:color w:val="000000"/>
                <w:sz w:val="24"/>
              </w:rPr>
            </w:pPr>
            <w:r>
              <w:rPr>
                <w:rFonts w:hint="eastAsia" w:ascii="宋体" w:hAnsi="宋体"/>
                <w:color w:val="000000"/>
                <w:sz w:val="24"/>
              </w:rPr>
              <w:t>公牛、正泰、鸿雁</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14</w:t>
            </w:r>
          </w:p>
        </w:tc>
        <w:tc>
          <w:tcPr>
            <w:tcW w:w="2554" w:type="dxa"/>
            <w:vMerge w:val="continue"/>
            <w:tcBorders>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 xml:space="preserve">3P 16A 20A </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tcPr>
          <w:p>
            <w:pPr>
              <w:rPr>
                <w:rFonts w:ascii="宋体" w:hAnsi="宋体"/>
                <w:color w:val="000000"/>
                <w:sz w:val="24"/>
              </w:rPr>
            </w:pPr>
            <w:r>
              <w:rPr>
                <w:rFonts w:hint="eastAsia" w:ascii="宋体" w:hAnsi="宋体"/>
                <w:color w:val="000000"/>
                <w:sz w:val="24"/>
              </w:rPr>
              <w:t>公牛、正泰、鸿雁</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15</w:t>
            </w:r>
          </w:p>
        </w:tc>
        <w:tc>
          <w:tcPr>
            <w:tcW w:w="2554" w:type="dxa"/>
            <w:vMerge w:val="restart"/>
            <w:tcBorders>
              <w:top w:val="single" w:color="auto" w:sz="4" w:space="0"/>
              <w:left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插座面板86型</w:t>
            </w: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三孔</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tcPr>
          <w:p>
            <w:pPr>
              <w:rPr>
                <w:rFonts w:ascii="宋体" w:hAnsi="宋体"/>
                <w:color w:val="000000"/>
                <w:sz w:val="24"/>
              </w:rPr>
            </w:pPr>
            <w:r>
              <w:rPr>
                <w:rFonts w:hint="eastAsia" w:ascii="宋体" w:hAnsi="宋体"/>
                <w:color w:val="000000"/>
                <w:sz w:val="24"/>
              </w:rPr>
              <w:t>公牛、正泰、鸿雁</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16</w:t>
            </w:r>
          </w:p>
        </w:tc>
        <w:tc>
          <w:tcPr>
            <w:tcW w:w="2554" w:type="dxa"/>
            <w:vMerge w:val="continue"/>
            <w:tcBorders>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五孔</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tcPr>
          <w:p>
            <w:pPr>
              <w:rPr>
                <w:rFonts w:ascii="宋体" w:hAnsi="宋体"/>
                <w:color w:val="000000"/>
                <w:sz w:val="24"/>
              </w:rPr>
            </w:pPr>
            <w:r>
              <w:rPr>
                <w:rFonts w:hint="eastAsia" w:ascii="宋体" w:hAnsi="宋体"/>
                <w:color w:val="000000"/>
                <w:sz w:val="24"/>
              </w:rPr>
              <w:t>公牛、正泰、鸿雁</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17</w:t>
            </w:r>
          </w:p>
        </w:tc>
        <w:tc>
          <w:tcPr>
            <w:tcW w:w="2554" w:type="dxa"/>
            <w:tcBorders>
              <w:top w:val="single" w:color="auto" w:sz="4" w:space="0"/>
              <w:left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LED光源模组感应灯</w:t>
            </w: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ascii="宋体" w:hAnsi="宋体"/>
                <w:color w:val="000000"/>
                <w:sz w:val="24"/>
              </w:rPr>
              <w:t>12W</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tcPr>
          <w:p>
            <w:pPr>
              <w:rPr>
                <w:rFonts w:ascii="宋体" w:hAnsi="宋体"/>
                <w:color w:val="000000"/>
                <w:sz w:val="24"/>
              </w:rPr>
            </w:pP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18</w:t>
            </w:r>
          </w:p>
        </w:tc>
        <w:tc>
          <w:tcPr>
            <w:tcW w:w="2554" w:type="dxa"/>
            <w:tcBorders>
              <w:top w:val="single" w:color="auto" w:sz="4" w:space="0"/>
              <w:left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LED高杆路灯灯头</w:t>
            </w: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(绿+白)30W</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tcPr>
          <w:p>
            <w:pPr>
              <w:rPr>
                <w:rFonts w:ascii="宋体" w:hAnsi="宋体"/>
                <w:color w:val="000000"/>
                <w:sz w:val="24"/>
              </w:rPr>
            </w:pP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19</w:t>
            </w:r>
          </w:p>
        </w:tc>
        <w:tc>
          <w:tcPr>
            <w:tcW w:w="2554" w:type="dxa"/>
            <w:vMerge w:val="restart"/>
            <w:tcBorders>
              <w:top w:val="single" w:color="auto" w:sz="4" w:space="0"/>
              <w:left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开关面板86型</w:t>
            </w: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单开</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tcPr>
          <w:p>
            <w:pPr>
              <w:rPr>
                <w:rFonts w:ascii="宋体" w:hAnsi="宋体"/>
                <w:color w:val="000000"/>
                <w:sz w:val="24"/>
              </w:rPr>
            </w:pPr>
            <w:r>
              <w:rPr>
                <w:rFonts w:hint="eastAsia" w:ascii="宋体" w:hAnsi="宋体"/>
                <w:color w:val="000000"/>
                <w:sz w:val="24"/>
              </w:rPr>
              <w:t>公牛、正泰、鸿雁</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20</w:t>
            </w:r>
          </w:p>
        </w:tc>
        <w:tc>
          <w:tcPr>
            <w:tcW w:w="2554" w:type="dxa"/>
            <w:vMerge w:val="continue"/>
            <w:tcBorders>
              <w:left w:val="single" w:color="auto" w:sz="4" w:space="0"/>
              <w:right w:val="single" w:color="auto" w:sz="4" w:space="0"/>
            </w:tcBorders>
            <w:vAlign w:val="center"/>
          </w:tcPr>
          <w:p>
            <w:pPr>
              <w:spacing w:line="320" w:lineRule="exact"/>
              <w:jc w:val="center"/>
              <w:rPr>
                <w:rFonts w:ascii="宋体" w:hAnsi="宋体"/>
                <w:color w:val="000000"/>
                <w:sz w:val="24"/>
              </w:rPr>
            </w:pP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双开</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tcPr>
          <w:p>
            <w:pPr>
              <w:rPr>
                <w:rFonts w:ascii="宋体" w:hAnsi="宋体"/>
                <w:color w:val="000000"/>
                <w:sz w:val="24"/>
              </w:rPr>
            </w:pPr>
            <w:r>
              <w:rPr>
                <w:rFonts w:hint="eastAsia" w:ascii="宋体" w:hAnsi="宋体"/>
                <w:color w:val="000000"/>
                <w:sz w:val="24"/>
              </w:rPr>
              <w:t>公牛、正泰、鸿雁</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21</w:t>
            </w:r>
          </w:p>
        </w:tc>
        <w:tc>
          <w:tcPr>
            <w:tcW w:w="2554" w:type="dxa"/>
            <w:vMerge w:val="continue"/>
            <w:tcBorders>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p>
        </w:tc>
        <w:tc>
          <w:tcPr>
            <w:tcW w:w="127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三开</w:t>
            </w:r>
          </w:p>
        </w:tc>
        <w:tc>
          <w:tcPr>
            <w:tcW w:w="120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个</w:t>
            </w:r>
          </w:p>
        </w:tc>
        <w:tc>
          <w:tcPr>
            <w:tcW w:w="2317" w:type="dxa"/>
            <w:tcBorders>
              <w:top w:val="single" w:color="auto" w:sz="4" w:space="0"/>
              <w:left w:val="single" w:color="auto" w:sz="4" w:space="0"/>
              <w:bottom w:val="single" w:color="auto" w:sz="4" w:space="0"/>
              <w:right w:val="single" w:color="auto" w:sz="4" w:space="0"/>
            </w:tcBorders>
          </w:tcPr>
          <w:p>
            <w:pPr>
              <w:rPr>
                <w:rFonts w:ascii="宋体" w:hAnsi="宋体"/>
                <w:color w:val="000000"/>
                <w:sz w:val="24"/>
              </w:rPr>
            </w:pPr>
            <w:r>
              <w:rPr>
                <w:rFonts w:hint="eastAsia" w:ascii="宋体" w:hAnsi="宋体"/>
                <w:color w:val="000000"/>
                <w:sz w:val="24"/>
              </w:rPr>
              <w:t>公牛、正泰、鸿雁</w:t>
            </w: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24"/>
              </w:rPr>
            </w:pPr>
            <w:r>
              <w:rPr>
                <w:rFonts w:hint="eastAsia" w:ascii="宋体" w:hAnsi="宋体"/>
                <w:color w:val="000000"/>
                <w:sz w:val="24"/>
              </w:rPr>
              <w:t>50</w:t>
            </w:r>
          </w:p>
        </w:tc>
      </w:tr>
    </w:tbl>
    <w:p>
      <w:pPr>
        <w:keepNext w:val="0"/>
        <w:keepLines w:val="0"/>
        <w:pageBreakBefore w:val="0"/>
        <w:widowControl/>
        <w:shd w:val="clear" w:color="auto" w:fill="FFFFFF"/>
        <w:kinsoku/>
        <w:wordWrap/>
        <w:overflowPunct/>
        <w:topLinePunct w:val="0"/>
        <w:autoSpaceDE/>
        <w:autoSpaceDN/>
        <w:bidi w:val="0"/>
        <w:spacing w:line="460" w:lineRule="exact"/>
        <w:ind w:firstLine="468" w:firstLineChars="195"/>
        <w:jc w:val="left"/>
        <w:textAlignment w:val="auto"/>
        <w:rPr>
          <w:rFonts w:ascii="宋体" w:hAnsi="宋体"/>
          <w:sz w:val="24"/>
        </w:rPr>
      </w:pPr>
      <w:r>
        <w:rPr>
          <w:rFonts w:hint="eastAsia" w:ascii="宋体" w:hAnsi="宋体" w:cs="宋体"/>
          <w:kern w:val="0"/>
          <w:sz w:val="24"/>
        </w:rPr>
        <w:t>2.供货期</w:t>
      </w:r>
      <w:r>
        <w:rPr>
          <w:rFonts w:hint="eastAsia" w:ascii="宋体" w:hAnsi="宋体" w:cs="宋体"/>
          <w:kern w:val="0"/>
          <w:sz w:val="24"/>
          <w:lang w:eastAsia="zh-CN"/>
        </w:rPr>
        <w:t>服务</w:t>
      </w:r>
      <w:r>
        <w:rPr>
          <w:rFonts w:hint="eastAsia" w:ascii="宋体" w:hAnsi="宋体" w:cs="宋体"/>
          <w:kern w:val="0"/>
          <w:sz w:val="24"/>
        </w:rPr>
        <w:t>限：</w:t>
      </w:r>
      <w:r>
        <w:rPr>
          <w:rFonts w:hint="eastAsia" w:ascii="宋体" w:hAnsi="宋体" w:cs="宋体"/>
          <w:kern w:val="0"/>
          <w:sz w:val="24"/>
          <w:lang w:eastAsia="zh-CN"/>
        </w:rPr>
        <w:t>2023</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u w:val="single"/>
          <w:lang w:val="en-US" w:eastAsia="zh-CN"/>
        </w:rPr>
        <w:t>9</w:t>
      </w:r>
      <w:r>
        <w:rPr>
          <w:rFonts w:hint="eastAsia" w:ascii="宋体" w:hAnsi="宋体" w:cs="宋体"/>
          <w:kern w:val="0"/>
          <w:sz w:val="24"/>
          <w:u w:val="single"/>
        </w:rPr>
        <w:t xml:space="preserve"> </w:t>
      </w:r>
      <w:r>
        <w:rPr>
          <w:rFonts w:hint="eastAsia" w:ascii="宋体" w:hAnsi="宋体" w:cs="宋体"/>
          <w:kern w:val="0"/>
          <w:sz w:val="24"/>
        </w:rPr>
        <w:t>月--202</w:t>
      </w:r>
      <w:r>
        <w:rPr>
          <w:rFonts w:hint="eastAsia" w:ascii="宋体" w:hAnsi="宋体" w:cs="宋体"/>
          <w:kern w:val="0"/>
          <w:sz w:val="24"/>
          <w:lang w:val="en-US" w:eastAsia="zh-CN"/>
        </w:rPr>
        <w:t>4</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u w:val="single"/>
          <w:lang w:val="en-US" w:eastAsia="zh-CN"/>
        </w:rPr>
        <w:t>8</w:t>
      </w:r>
      <w:r>
        <w:rPr>
          <w:rFonts w:hint="eastAsia" w:ascii="宋体" w:hAnsi="宋体" w:cs="宋体"/>
          <w:kern w:val="0"/>
          <w:sz w:val="24"/>
          <w:u w:val="single"/>
        </w:rPr>
        <w:t xml:space="preserve"> </w:t>
      </w:r>
      <w:r>
        <w:rPr>
          <w:rFonts w:hint="eastAsia" w:ascii="宋体" w:hAnsi="宋体" w:cs="宋体"/>
          <w:kern w:val="0"/>
          <w:sz w:val="24"/>
        </w:rPr>
        <w:t>月期间</w:t>
      </w:r>
      <w:r>
        <w:rPr>
          <w:rFonts w:hint="eastAsia" w:ascii="宋体" w:hAnsi="宋体" w:cs="宋体"/>
          <w:kern w:val="0"/>
          <w:sz w:val="24"/>
          <w:lang w:eastAsia="zh-CN"/>
        </w:rPr>
        <w:t>；</w:t>
      </w:r>
    </w:p>
    <w:p>
      <w:pPr>
        <w:keepNext w:val="0"/>
        <w:keepLines w:val="0"/>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hint="eastAsia" w:ascii="宋体" w:hAnsi="宋体" w:cs="宋体"/>
          <w:bCs/>
          <w:kern w:val="0"/>
          <w:sz w:val="24"/>
        </w:rPr>
      </w:pPr>
      <w:r>
        <w:rPr>
          <w:rFonts w:hint="eastAsia" w:ascii="宋体" w:hAnsi="宋体" w:cs="宋体"/>
          <w:bCs/>
          <w:kern w:val="0"/>
          <w:sz w:val="24"/>
        </w:rPr>
        <w:t>3.供货要求：以上</w:t>
      </w:r>
      <w:r>
        <w:rPr>
          <w:rFonts w:hint="eastAsia" w:ascii="宋体" w:hAnsi="宋体" w:cs="宋体"/>
          <w:bCs/>
          <w:kern w:val="0"/>
          <w:sz w:val="24"/>
          <w:lang w:eastAsia="zh-CN"/>
        </w:rPr>
        <w:t>采购内容为维修材料，</w:t>
      </w:r>
      <w:r>
        <w:rPr>
          <w:rFonts w:hint="eastAsia" w:ascii="宋体" w:hAnsi="宋体" w:cs="宋体"/>
          <w:bCs/>
          <w:kern w:val="0"/>
          <w:sz w:val="24"/>
        </w:rPr>
        <w:t>数量为暂定量，在合同供货期内，</w:t>
      </w:r>
      <w:r>
        <w:rPr>
          <w:rFonts w:hint="eastAsia" w:ascii="宋体" w:hAnsi="宋体" w:cs="宋体"/>
          <w:bCs/>
          <w:kern w:val="0"/>
          <w:sz w:val="24"/>
          <w:lang w:val="en-US" w:eastAsia="zh-CN"/>
        </w:rPr>
        <w:t>成交供应商</w:t>
      </w:r>
      <w:r>
        <w:rPr>
          <w:rFonts w:hint="eastAsia" w:ascii="宋体" w:hAnsi="宋体" w:cs="宋体"/>
          <w:bCs/>
          <w:kern w:val="0"/>
          <w:sz w:val="24"/>
        </w:rPr>
        <w:t>应根据</w:t>
      </w:r>
      <w:r>
        <w:rPr>
          <w:rFonts w:hint="eastAsia" w:ascii="宋体" w:hAnsi="宋体" w:cs="宋体"/>
          <w:bCs/>
          <w:kern w:val="0"/>
          <w:sz w:val="24"/>
          <w:lang w:eastAsia="zh-CN"/>
        </w:rPr>
        <w:t>采购人实际维修需求</w:t>
      </w:r>
      <w:r>
        <w:rPr>
          <w:rFonts w:hint="eastAsia" w:ascii="宋体" w:hAnsi="宋体" w:cs="宋体"/>
          <w:bCs/>
          <w:kern w:val="0"/>
          <w:sz w:val="24"/>
        </w:rPr>
        <w:t>按时、</w:t>
      </w:r>
      <w:r>
        <w:rPr>
          <w:rFonts w:hint="eastAsia" w:ascii="宋体" w:hAnsi="宋体" w:cs="宋体"/>
          <w:bCs/>
          <w:kern w:val="0"/>
          <w:sz w:val="24"/>
          <w:lang w:eastAsia="zh-CN"/>
        </w:rPr>
        <w:t>分批</w:t>
      </w:r>
      <w:r>
        <w:rPr>
          <w:rFonts w:hint="eastAsia" w:ascii="宋体" w:hAnsi="宋体" w:cs="宋体"/>
          <w:bCs/>
          <w:kern w:val="0"/>
          <w:sz w:val="24"/>
        </w:rPr>
        <w:t>供应，据实结算。</w:t>
      </w:r>
    </w:p>
    <w:p>
      <w:pPr>
        <w:keepNext w:val="0"/>
        <w:keepLines w:val="0"/>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hint="eastAsia" w:ascii="宋体" w:hAnsi="宋体" w:cs="宋体"/>
          <w:bCs/>
          <w:kern w:val="0"/>
          <w:sz w:val="24"/>
        </w:rPr>
      </w:pPr>
      <w:r>
        <w:rPr>
          <w:rFonts w:hint="eastAsia" w:ascii="宋体" w:hAnsi="宋体" w:cs="宋体"/>
          <w:bCs/>
          <w:kern w:val="0"/>
          <w:sz w:val="24"/>
          <w:lang w:val="en-US" w:eastAsia="zh-CN"/>
        </w:rPr>
        <w:t>4.</w:t>
      </w:r>
      <w:r>
        <w:rPr>
          <w:rFonts w:hint="eastAsia" w:ascii="宋体" w:hAnsi="宋体" w:cs="宋体"/>
          <w:bCs/>
          <w:kern w:val="0"/>
          <w:sz w:val="24"/>
        </w:rPr>
        <w:t>产品质量及服务要求</w:t>
      </w:r>
    </w:p>
    <w:p>
      <w:pPr>
        <w:keepNext w:val="0"/>
        <w:keepLines w:val="0"/>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hint="eastAsia" w:ascii="宋体" w:hAnsi="宋体" w:cs="宋体"/>
          <w:bCs/>
          <w:kern w:val="0"/>
          <w:sz w:val="24"/>
        </w:rPr>
      </w:pPr>
      <w:r>
        <w:rPr>
          <w:rFonts w:hint="eastAsia" w:ascii="宋体" w:hAnsi="宋体" w:cs="宋体"/>
          <w:bCs/>
          <w:kern w:val="0"/>
          <w:sz w:val="24"/>
        </w:rPr>
        <w:t>（1）投标产品生产厂家必须通过ISO9001质量管理体系认证，提供的全部产品均必须符合国家强制性产品（3C）认证实施规则的要求，各项质量、安全和技术指标必须达到或超过国家相关最新标准的要求。</w:t>
      </w:r>
    </w:p>
    <w:p>
      <w:pPr>
        <w:keepNext w:val="0"/>
        <w:keepLines w:val="0"/>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hint="eastAsia" w:ascii="宋体" w:hAnsi="宋体" w:cs="宋体"/>
          <w:bCs/>
          <w:kern w:val="0"/>
          <w:sz w:val="24"/>
        </w:rPr>
      </w:pPr>
      <w:r>
        <w:rPr>
          <w:rFonts w:hint="eastAsia" w:ascii="宋体" w:hAnsi="宋体" w:cs="宋体"/>
          <w:bCs/>
          <w:kern w:val="0"/>
          <w:sz w:val="24"/>
        </w:rPr>
        <w:t>（2）产品质量必须满足IEC规范标准和国家有关最新标准要求,并随货提供与所供产品相应的各种规格、型号产品质量验证证书和检验合格报告、产品质量合格证书、质量保证书及国家强制性产品认证证书等全部质量证明资料。</w:t>
      </w:r>
    </w:p>
    <w:p>
      <w:pPr>
        <w:keepNext w:val="0"/>
        <w:keepLines w:val="0"/>
        <w:pageBreakBefore w:val="0"/>
        <w:kinsoku/>
        <w:wordWrap/>
        <w:overflowPunct/>
        <w:topLinePunct w:val="0"/>
        <w:autoSpaceDE/>
        <w:autoSpaceDN/>
        <w:bidi w:val="0"/>
        <w:spacing w:line="460" w:lineRule="exact"/>
        <w:ind w:firstLine="480" w:firstLineChars="200"/>
        <w:textAlignment w:val="auto"/>
        <w:rPr>
          <w:rFonts w:ascii="宋体" w:hAnsi="宋体" w:cs="宋体"/>
          <w:kern w:val="0"/>
          <w:sz w:val="24"/>
        </w:rPr>
      </w:pPr>
      <w:r>
        <w:rPr>
          <w:rFonts w:hint="eastAsia" w:ascii="宋体" w:hAnsi="宋体" w:cs="宋体"/>
          <w:kern w:val="0"/>
          <w:sz w:val="24"/>
        </w:rPr>
        <w:t>（3）必须随货提供所供物资所包含的全部产品相对应的产品质量验证证书、国家强制性产品（3C）认证证书、产品检验合格报告、质量合格证书、质量保证书等产品质量证明资料和设备装箱清单、产品安装和使用说明书、备品备件及专用安装工具等。</w:t>
      </w:r>
    </w:p>
    <w:p>
      <w:pPr>
        <w:keepNext w:val="0"/>
        <w:keepLines w:val="0"/>
        <w:pageBreakBefore w:val="0"/>
        <w:kinsoku/>
        <w:wordWrap/>
        <w:overflowPunct/>
        <w:topLinePunct w:val="0"/>
        <w:autoSpaceDE/>
        <w:autoSpaceDN/>
        <w:bidi w:val="0"/>
        <w:spacing w:line="460" w:lineRule="exact"/>
        <w:ind w:firstLine="480" w:firstLineChars="200"/>
        <w:textAlignment w:val="auto"/>
        <w:rPr>
          <w:rFonts w:ascii="宋体" w:hAnsi="宋体" w:cs="宋体"/>
          <w:kern w:val="0"/>
          <w:sz w:val="24"/>
        </w:rPr>
      </w:pPr>
      <w:r>
        <w:rPr>
          <w:rFonts w:hint="eastAsia" w:ascii="宋体" w:hAnsi="宋体" w:cs="宋体"/>
          <w:kern w:val="0"/>
          <w:sz w:val="24"/>
        </w:rPr>
        <w:t>（4）以满足采购</w:t>
      </w:r>
      <w:r>
        <w:rPr>
          <w:rFonts w:hint="eastAsia" w:ascii="宋体" w:hAnsi="宋体" w:cs="宋体"/>
          <w:kern w:val="0"/>
          <w:sz w:val="24"/>
          <w:lang w:eastAsia="zh-CN"/>
        </w:rPr>
        <w:t>人</w:t>
      </w:r>
      <w:r>
        <w:rPr>
          <w:rFonts w:hint="eastAsia" w:ascii="宋体" w:hAnsi="宋体" w:cs="宋体"/>
          <w:kern w:val="0"/>
          <w:sz w:val="24"/>
        </w:rPr>
        <w:t>日常维修需要为基准，随时响应采购</w:t>
      </w:r>
      <w:r>
        <w:rPr>
          <w:rFonts w:hint="eastAsia" w:ascii="宋体" w:hAnsi="宋体" w:cs="宋体"/>
          <w:kern w:val="0"/>
          <w:sz w:val="24"/>
          <w:lang w:eastAsia="zh-CN"/>
        </w:rPr>
        <w:t>人</w:t>
      </w:r>
      <w:r>
        <w:rPr>
          <w:rFonts w:hint="eastAsia" w:ascii="宋体" w:hAnsi="宋体" w:cs="宋体"/>
          <w:kern w:val="0"/>
          <w:sz w:val="24"/>
        </w:rPr>
        <w:t>采购计划，以满足采购方及时维修的需要。常年有供货需求的供应商应每月（至少每学期）进行一次质量回访。</w:t>
      </w:r>
    </w:p>
    <w:p>
      <w:pPr>
        <w:keepNext w:val="0"/>
        <w:keepLines w:val="0"/>
        <w:pageBreakBefore w:val="0"/>
        <w:kinsoku/>
        <w:wordWrap/>
        <w:overflowPunct/>
        <w:topLinePunct w:val="0"/>
        <w:autoSpaceDE/>
        <w:autoSpaceDN/>
        <w:bidi w:val="0"/>
        <w:spacing w:line="460" w:lineRule="exact"/>
        <w:ind w:firstLine="480" w:firstLineChars="200"/>
        <w:textAlignment w:val="auto"/>
        <w:rPr>
          <w:rFonts w:hint="eastAsia" w:ascii="宋体" w:hAnsi="宋体" w:cs="宋体"/>
          <w:kern w:val="0"/>
          <w:sz w:val="24"/>
        </w:rPr>
      </w:pPr>
      <w:r>
        <w:rPr>
          <w:rFonts w:hint="eastAsia" w:ascii="宋体" w:hAnsi="宋体" w:cs="宋体"/>
          <w:kern w:val="0"/>
          <w:sz w:val="24"/>
        </w:rPr>
        <w:t>（5）供货不能确保日常维修需要，采购人有权延期付款并由供货商承担相应误期责任及费用，必要时，采购人有权终止合同，另选其他供货商。</w:t>
      </w:r>
    </w:p>
    <w:p>
      <w:pPr>
        <w:keepNext w:val="0"/>
        <w:keepLines w:val="0"/>
        <w:pageBreakBefore w:val="0"/>
        <w:kinsoku/>
        <w:wordWrap/>
        <w:overflowPunct/>
        <w:topLinePunct w:val="0"/>
        <w:autoSpaceDE/>
        <w:autoSpaceDN/>
        <w:bidi w:val="0"/>
        <w:spacing w:line="460" w:lineRule="exact"/>
        <w:ind w:firstLine="240" w:firstLineChars="100"/>
        <w:textAlignment w:val="auto"/>
        <w:rPr>
          <w:rFonts w:hint="eastAsia"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eastAsia="zh-CN"/>
        </w:rPr>
        <w:t>（</w:t>
      </w:r>
      <w:r>
        <w:rPr>
          <w:rFonts w:hint="eastAsia" w:ascii="宋体" w:hAnsi="宋体" w:cs="宋体"/>
          <w:kern w:val="0"/>
          <w:sz w:val="24"/>
          <w:lang w:val="en-US" w:eastAsia="zh-CN"/>
        </w:rPr>
        <w:t>6</w:t>
      </w:r>
      <w:r>
        <w:rPr>
          <w:rFonts w:hint="eastAsia" w:ascii="宋体" w:hAnsi="宋体" w:cs="宋体"/>
          <w:kern w:val="0"/>
          <w:sz w:val="24"/>
          <w:lang w:eastAsia="zh-CN"/>
        </w:rPr>
        <w:t>）</w:t>
      </w:r>
      <w:r>
        <w:rPr>
          <w:rFonts w:hint="eastAsia" w:ascii="宋体" w:hAnsi="宋体" w:cs="宋体"/>
          <w:b/>
          <w:bCs/>
          <w:kern w:val="0"/>
          <w:sz w:val="24"/>
        </w:rPr>
        <w:t>其他：此推荐品牌仅作为说明，没有</w:t>
      </w:r>
      <w:r>
        <w:rPr>
          <w:rFonts w:hint="eastAsia" w:ascii="宋体" w:hAnsi="宋体" w:cs="宋体"/>
          <w:b/>
          <w:bCs/>
          <w:kern w:val="0"/>
          <w:sz w:val="24"/>
          <w:lang w:eastAsia="zh-CN"/>
        </w:rPr>
        <w:t>绝对</w:t>
      </w:r>
      <w:r>
        <w:rPr>
          <w:rFonts w:hint="eastAsia" w:ascii="宋体" w:hAnsi="宋体" w:cs="宋体"/>
          <w:b/>
          <w:bCs/>
          <w:kern w:val="0"/>
          <w:sz w:val="24"/>
        </w:rPr>
        <w:t>限制性，投标供应商可以选用替代标准，但这些替代标准要优于或相当于技术规格中要求的标准。如投标人投标未使用指定推荐品牌，请投标人出具能证明其所投产品性能指标不低于或优于推荐品牌证明材料</w:t>
      </w:r>
      <w:r>
        <w:rPr>
          <w:rFonts w:hint="eastAsia" w:ascii="宋体" w:hAnsi="宋体" w:cs="宋体"/>
          <w:b/>
          <w:bCs/>
          <w:kern w:val="0"/>
          <w:sz w:val="24"/>
          <w:lang w:eastAsia="zh-CN"/>
        </w:rPr>
        <w:t>，若未提供证明材料视同未实质性</w:t>
      </w:r>
      <w:r>
        <w:rPr>
          <w:rFonts w:hint="eastAsia" w:ascii="宋体" w:hAnsi="宋体" w:cs="宋体"/>
          <w:b/>
          <w:bCs/>
          <w:kern w:val="0"/>
          <w:sz w:val="24"/>
          <w:lang w:val="en-US" w:eastAsia="zh-CN"/>
        </w:rPr>
        <w:t>响</w:t>
      </w:r>
      <w:r>
        <w:rPr>
          <w:rFonts w:hint="eastAsia" w:ascii="宋体" w:hAnsi="宋体" w:cs="宋体"/>
          <w:b/>
          <w:bCs/>
          <w:kern w:val="0"/>
          <w:sz w:val="24"/>
          <w:lang w:eastAsia="zh-CN"/>
        </w:rPr>
        <w:t>应</w:t>
      </w:r>
      <w:r>
        <w:rPr>
          <w:rFonts w:hint="eastAsia" w:ascii="宋体" w:hAnsi="宋体" w:cs="宋体"/>
          <w:b/>
          <w:bCs/>
          <w:kern w:val="0"/>
          <w:sz w:val="24"/>
          <w:lang w:val="en-US" w:eastAsia="zh-CN"/>
        </w:rPr>
        <w:t>询价</w:t>
      </w:r>
      <w:r>
        <w:rPr>
          <w:rFonts w:hint="eastAsia" w:ascii="宋体" w:hAnsi="宋体" w:cs="宋体"/>
          <w:b/>
          <w:bCs/>
          <w:kern w:val="0"/>
          <w:sz w:val="24"/>
          <w:lang w:eastAsia="zh-CN"/>
        </w:rPr>
        <w:t>文件要求</w:t>
      </w:r>
      <w:r>
        <w:rPr>
          <w:rFonts w:hint="eastAsia" w:ascii="宋体" w:hAnsi="宋体" w:cs="宋体"/>
          <w:b/>
          <w:bCs/>
          <w:kern w:val="0"/>
          <w:sz w:val="24"/>
        </w:rPr>
        <w:t>。</w:t>
      </w:r>
    </w:p>
    <w:p>
      <w:pPr>
        <w:keepNext w:val="0"/>
        <w:keepLines w:val="0"/>
        <w:pageBreakBefore w:val="0"/>
        <w:kinsoku/>
        <w:wordWrap/>
        <w:overflowPunct/>
        <w:topLinePunct w:val="0"/>
        <w:autoSpaceDE/>
        <w:autoSpaceDN/>
        <w:bidi w:val="0"/>
        <w:spacing w:line="460" w:lineRule="exact"/>
        <w:ind w:firstLine="480" w:firstLineChars="200"/>
        <w:textAlignment w:val="auto"/>
        <w:rPr>
          <w:rFonts w:hint="eastAsia" w:ascii="宋体" w:hAnsi="宋体" w:cs="宋体"/>
          <w:kern w:val="0"/>
          <w:sz w:val="24"/>
        </w:rPr>
      </w:pPr>
    </w:p>
    <w:p>
      <w:pPr>
        <w:rPr>
          <w:rFonts w:hint="eastAsia"/>
        </w:rPr>
      </w:pPr>
    </w:p>
    <w:p>
      <w:pPr>
        <w:spacing w:line="360" w:lineRule="auto"/>
        <w:ind w:right="1120"/>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第五章   项目合同</w:t>
      </w:r>
    </w:p>
    <w:p>
      <w:pPr>
        <w:spacing w:line="360" w:lineRule="auto"/>
        <w:ind w:right="1120"/>
        <w:jc w:val="center"/>
        <w:rPr>
          <w:rFonts w:ascii="宋体" w:hAnsi="宋体" w:cs="宋体"/>
          <w:b/>
          <w:bCs/>
          <w:color w:val="auto"/>
          <w:sz w:val="32"/>
          <w:szCs w:val="32"/>
          <w:highlight w:val="none"/>
        </w:rPr>
      </w:pPr>
      <w:r>
        <w:rPr>
          <w:rFonts w:hint="eastAsia" w:ascii="宋体" w:hAnsi="宋体" w:cs="宋体"/>
          <w:b/>
          <w:bCs/>
          <w:color w:val="auto"/>
          <w:sz w:val="24"/>
          <w:szCs w:val="24"/>
          <w:highlight w:val="none"/>
        </w:rPr>
        <w:t>（以实际签订的合同为准）</w:t>
      </w:r>
    </w:p>
    <w:p>
      <w:pPr>
        <w:spacing w:line="360" w:lineRule="auto"/>
        <w:ind w:right="1120"/>
        <w:jc w:val="center"/>
        <w:rPr>
          <w:rFonts w:hint="eastAsia" w:ascii="宋体" w:hAnsi="宋体" w:cs="宋体"/>
          <w:b/>
          <w:bCs/>
          <w:color w:val="auto"/>
          <w:sz w:val="32"/>
          <w:szCs w:val="32"/>
          <w:highlight w:val="none"/>
        </w:rPr>
      </w:pPr>
    </w:p>
    <w:p>
      <w:pPr>
        <w:pStyle w:val="16"/>
        <w:rPr>
          <w:rFonts w:hint="eastAsia"/>
        </w:rPr>
      </w:pPr>
    </w:p>
    <w:p>
      <w:pPr>
        <w:spacing w:line="360" w:lineRule="auto"/>
        <w:ind w:right="1120"/>
        <w:jc w:val="center"/>
        <w:rPr>
          <w:rFonts w:hint="eastAsia" w:ascii="宋体" w:hAnsi="宋体" w:cs="宋体"/>
          <w:b/>
          <w:bCs/>
          <w:color w:val="auto"/>
          <w:sz w:val="32"/>
          <w:szCs w:val="32"/>
          <w:highlight w:val="none"/>
        </w:rPr>
      </w:pPr>
    </w:p>
    <w:p>
      <w:pPr>
        <w:spacing w:line="360" w:lineRule="auto"/>
        <w:ind w:right="1120"/>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第六章   询价响应书的格式</w:t>
      </w:r>
    </w:p>
    <w:p>
      <w:pPr>
        <w:spacing w:line="360" w:lineRule="auto"/>
        <w:ind w:right="1120"/>
        <w:rPr>
          <w:rFonts w:ascii="宋体" w:hAnsi="宋体" w:cs="宋体"/>
          <w:color w:val="auto"/>
          <w:sz w:val="32"/>
          <w:szCs w:val="32"/>
          <w:highlight w:val="none"/>
        </w:rPr>
      </w:pPr>
    </w:p>
    <w:p>
      <w:pPr>
        <w:spacing w:line="360" w:lineRule="auto"/>
        <w:ind w:right="1120"/>
        <w:rPr>
          <w:rFonts w:ascii="宋体" w:hAnsi="宋体" w:cs="宋体"/>
          <w:color w:val="auto"/>
          <w:sz w:val="32"/>
          <w:szCs w:val="32"/>
          <w:highlight w:val="none"/>
        </w:rPr>
      </w:pPr>
    </w:p>
    <w:p>
      <w:pPr>
        <w:spacing w:line="360" w:lineRule="auto"/>
        <w:ind w:right="1120"/>
        <w:rPr>
          <w:rFonts w:ascii="宋体" w:hAnsi="宋体" w:cs="宋体"/>
          <w:color w:val="auto"/>
          <w:sz w:val="32"/>
          <w:szCs w:val="32"/>
          <w:highlight w:val="none"/>
        </w:rPr>
      </w:pPr>
    </w:p>
    <w:p>
      <w:pPr>
        <w:spacing w:line="360" w:lineRule="auto"/>
        <w:ind w:right="1120"/>
        <w:rPr>
          <w:rFonts w:ascii="宋体" w:hAnsi="宋体" w:cs="宋体"/>
          <w:color w:val="auto"/>
          <w:sz w:val="32"/>
          <w:szCs w:val="32"/>
          <w:highlight w:val="none"/>
        </w:rPr>
      </w:pPr>
    </w:p>
    <w:p>
      <w:pPr>
        <w:pStyle w:val="39"/>
        <w:wordWrap w:val="0"/>
        <w:ind w:firstLine="0" w:firstLineChars="0"/>
        <w:jc w:val="center"/>
        <w:rPr>
          <w:rFonts w:ascii="宋体" w:hAnsi="宋体" w:cs="宋体"/>
          <w:color w:val="auto"/>
          <w:sz w:val="44"/>
          <w:szCs w:val="44"/>
          <w:highlight w:val="none"/>
        </w:rPr>
      </w:pPr>
      <w:r>
        <w:rPr>
          <w:rFonts w:hint="eastAsia" w:ascii="宋体" w:hAnsi="宋体" w:cs="宋体"/>
          <w:color w:val="auto"/>
          <w:sz w:val="44"/>
          <w:szCs w:val="44"/>
          <w:highlight w:val="none"/>
        </w:rPr>
        <w:t>询价响应书</w:t>
      </w:r>
    </w:p>
    <w:p>
      <w:pPr>
        <w:wordWrap w:val="0"/>
        <w:rPr>
          <w:rFonts w:ascii="宋体" w:hAnsi="宋体" w:cs="宋体"/>
          <w:color w:val="auto"/>
          <w:sz w:val="28"/>
          <w:szCs w:val="28"/>
          <w:highlight w:val="none"/>
        </w:rPr>
      </w:pPr>
    </w:p>
    <w:p>
      <w:pPr>
        <w:wordWrap w:val="0"/>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项目编号：</w:t>
      </w:r>
    </w:p>
    <w:p>
      <w:pPr>
        <w:wordWrap w:val="0"/>
        <w:ind w:firstLine="560" w:firstLineChars="200"/>
        <w:rPr>
          <w:rFonts w:ascii="宋体" w:hAnsi="宋体" w:cs="宋体"/>
          <w:color w:val="auto"/>
          <w:sz w:val="28"/>
          <w:szCs w:val="28"/>
          <w:highlight w:val="none"/>
          <w:u w:val="single"/>
        </w:rPr>
      </w:pPr>
      <w:r>
        <w:rPr>
          <w:rFonts w:hint="eastAsia" w:ascii="宋体" w:hAnsi="宋体" w:cs="宋体"/>
          <w:color w:val="auto"/>
          <w:sz w:val="28"/>
          <w:szCs w:val="28"/>
          <w:highlight w:val="none"/>
        </w:rPr>
        <w:t>项目名称：</w:t>
      </w:r>
    </w:p>
    <w:p>
      <w:pPr>
        <w:wordWrap w:val="0"/>
        <w:rPr>
          <w:rFonts w:ascii="宋体" w:hAnsi="宋体" w:cs="宋体"/>
          <w:color w:val="auto"/>
          <w:sz w:val="28"/>
          <w:szCs w:val="28"/>
          <w:highlight w:val="none"/>
        </w:rPr>
      </w:pPr>
    </w:p>
    <w:p>
      <w:pPr>
        <w:wordWrap w:val="0"/>
        <w:rPr>
          <w:rFonts w:ascii="宋体" w:hAnsi="宋体" w:cs="宋体"/>
          <w:color w:val="auto"/>
          <w:sz w:val="28"/>
          <w:szCs w:val="28"/>
          <w:highlight w:val="none"/>
        </w:rPr>
      </w:pPr>
    </w:p>
    <w:p>
      <w:pPr>
        <w:wordWrap w:val="0"/>
        <w:rPr>
          <w:rFonts w:ascii="宋体" w:hAnsi="宋体" w:cs="宋体"/>
          <w:color w:val="auto"/>
          <w:sz w:val="28"/>
          <w:szCs w:val="28"/>
          <w:highlight w:val="none"/>
        </w:rPr>
      </w:pPr>
    </w:p>
    <w:p>
      <w:pPr>
        <w:wordWrap w:val="0"/>
        <w:rPr>
          <w:rFonts w:ascii="宋体" w:hAnsi="宋体" w:cs="宋体"/>
          <w:color w:val="auto"/>
          <w:sz w:val="28"/>
          <w:szCs w:val="28"/>
          <w:highlight w:val="none"/>
        </w:rPr>
      </w:pPr>
    </w:p>
    <w:p>
      <w:pPr>
        <w:pStyle w:val="33"/>
        <w:rPr>
          <w:color w:val="auto"/>
          <w:highlight w:val="none"/>
        </w:rPr>
      </w:pPr>
    </w:p>
    <w:p>
      <w:pPr>
        <w:wordWrap w:val="0"/>
        <w:ind w:firstLine="1960" w:firstLineChars="700"/>
        <w:rPr>
          <w:rFonts w:ascii="宋体" w:hAnsi="宋体" w:cs="宋体"/>
          <w:color w:val="auto"/>
          <w:sz w:val="28"/>
          <w:szCs w:val="28"/>
          <w:highlight w:val="none"/>
        </w:rPr>
      </w:pPr>
      <w:r>
        <w:rPr>
          <w:rFonts w:hint="eastAsia" w:ascii="宋体" w:hAnsi="宋体" w:cs="宋体"/>
          <w:color w:val="auto"/>
          <w:sz w:val="28"/>
          <w:szCs w:val="28"/>
          <w:highlight w:val="none"/>
        </w:rPr>
        <w:t>供应商：</w:t>
      </w:r>
      <w:r>
        <w:rPr>
          <w:rFonts w:hint="eastAsia" w:ascii="宋体" w:hAnsi="宋体" w:cs="宋体"/>
          <w:color w:val="auto"/>
          <w:kern w:val="0"/>
          <w:sz w:val="28"/>
          <w:szCs w:val="28"/>
          <w:highlight w:val="none"/>
        </w:rPr>
        <w:t>（供应商公章）</w:t>
      </w:r>
    </w:p>
    <w:p>
      <w:pPr>
        <w:wordWrap w:val="0"/>
        <w:ind w:firstLine="1968" w:firstLineChars="700"/>
        <w:rPr>
          <w:rFonts w:ascii="宋体" w:hAnsi="宋体" w:cs="宋体"/>
          <w:b/>
          <w:bCs/>
          <w:color w:val="auto"/>
          <w:sz w:val="28"/>
          <w:szCs w:val="28"/>
          <w:highlight w:val="none"/>
          <w:u w:val="single"/>
        </w:rPr>
      </w:pPr>
    </w:p>
    <w:p>
      <w:pPr>
        <w:wordWrap w:val="0"/>
        <w:jc w:val="center"/>
        <w:rPr>
          <w:rFonts w:ascii="宋体" w:hAnsi="宋体" w:cs="宋体"/>
          <w:color w:val="auto"/>
          <w:sz w:val="28"/>
          <w:szCs w:val="28"/>
          <w:highlight w:val="none"/>
        </w:rPr>
      </w:pPr>
      <w:r>
        <w:rPr>
          <w:rFonts w:hint="eastAsia" w:ascii="宋体" w:hAnsi="宋体" w:cs="宋体"/>
          <w:color w:val="auto"/>
          <w:sz w:val="28"/>
          <w:szCs w:val="28"/>
          <w:highlight w:val="none"/>
        </w:rPr>
        <w:t>年  月  日</w:t>
      </w:r>
    </w:p>
    <w:p>
      <w:pPr>
        <w:wordWrap w:val="0"/>
        <w:rPr>
          <w:rFonts w:ascii="宋体" w:hAnsi="宋体" w:cs="宋体"/>
          <w:color w:val="auto"/>
          <w:sz w:val="28"/>
          <w:szCs w:val="28"/>
          <w:highlight w:val="none"/>
        </w:rPr>
      </w:pPr>
    </w:p>
    <w:p>
      <w:pPr>
        <w:wordWrap w:val="0"/>
        <w:rPr>
          <w:rFonts w:ascii="宋体" w:hAnsi="宋体" w:cs="宋体"/>
          <w:color w:val="auto"/>
          <w:sz w:val="28"/>
          <w:szCs w:val="28"/>
          <w:highlight w:val="none"/>
        </w:rPr>
      </w:pPr>
    </w:p>
    <w:p>
      <w:pPr>
        <w:wordWrap w:val="0"/>
        <w:rPr>
          <w:rFonts w:ascii="宋体" w:hAnsi="宋体" w:cs="宋体"/>
          <w:color w:val="auto"/>
          <w:sz w:val="28"/>
          <w:szCs w:val="28"/>
          <w:highlight w:val="none"/>
        </w:rPr>
      </w:pPr>
    </w:p>
    <w:p>
      <w:pPr>
        <w:pStyle w:val="39"/>
        <w:ind w:firstLine="0" w:firstLineChars="0"/>
        <w:jc w:val="center"/>
        <w:rPr>
          <w:rFonts w:hint="eastAsia" w:ascii="宋体" w:hAnsi="宋体" w:cs="宋体"/>
          <w:color w:val="auto"/>
          <w:highlight w:val="none"/>
        </w:rPr>
      </w:pPr>
    </w:p>
    <w:p>
      <w:pPr>
        <w:pStyle w:val="39"/>
        <w:ind w:firstLine="0" w:firstLineChars="0"/>
        <w:jc w:val="center"/>
        <w:rPr>
          <w:rFonts w:ascii="宋体" w:hAnsi="宋体" w:cs="宋体"/>
          <w:color w:val="auto"/>
          <w:highlight w:val="none"/>
        </w:rPr>
      </w:pPr>
      <w:r>
        <w:rPr>
          <w:rFonts w:hint="eastAsia" w:ascii="宋体" w:hAnsi="宋体" w:cs="宋体"/>
          <w:color w:val="auto"/>
          <w:highlight w:val="none"/>
        </w:rPr>
        <w:t>目　　录</w:t>
      </w:r>
    </w:p>
    <w:p>
      <w:pPr>
        <w:pStyle w:val="39"/>
        <w:wordWrap w:val="0"/>
        <w:spacing w:line="480" w:lineRule="auto"/>
        <w:ind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一、资格、技术商务部分</w:t>
      </w:r>
    </w:p>
    <w:p>
      <w:pPr>
        <w:pStyle w:val="39"/>
        <w:wordWrap w:val="0"/>
        <w:spacing w:line="480" w:lineRule="auto"/>
        <w:ind w:firstLine="0" w:firstLineChars="0"/>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1、资格审查资料</w:t>
      </w:r>
    </w:p>
    <w:p>
      <w:pPr>
        <w:pStyle w:val="39"/>
        <w:wordWrap w:val="0"/>
        <w:spacing w:line="480" w:lineRule="auto"/>
        <w:ind w:firstLine="0" w:firstLineChars="0"/>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2、询价响应授权书</w:t>
      </w:r>
    </w:p>
    <w:p>
      <w:pPr>
        <w:pStyle w:val="39"/>
        <w:wordWrap w:val="0"/>
        <w:spacing w:line="480" w:lineRule="auto"/>
        <w:ind w:firstLine="0" w:firstLineChars="0"/>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3、询价响应函</w:t>
      </w:r>
    </w:p>
    <w:p>
      <w:pPr>
        <w:pStyle w:val="39"/>
        <w:wordWrap w:val="0"/>
        <w:spacing w:line="480" w:lineRule="auto"/>
        <w:ind w:firstLine="0" w:firstLineChars="0"/>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4、项目实施方案</w:t>
      </w:r>
    </w:p>
    <w:p>
      <w:pPr>
        <w:pStyle w:val="39"/>
        <w:wordWrap w:val="0"/>
        <w:spacing w:line="480" w:lineRule="auto"/>
        <w:ind w:firstLine="0" w:firstLineChars="0"/>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5、技术规格响应表</w:t>
      </w:r>
    </w:p>
    <w:p>
      <w:pPr>
        <w:pStyle w:val="39"/>
        <w:wordWrap w:val="0"/>
        <w:spacing w:line="480" w:lineRule="auto"/>
        <w:ind w:firstLine="0" w:firstLineChars="0"/>
        <w:rPr>
          <w:rFonts w:ascii="宋体" w:hAnsi="宋体" w:cs="宋体"/>
          <w:b w:val="0"/>
          <w:bCs w:val="0"/>
          <w:strike/>
          <w:color w:val="auto"/>
          <w:sz w:val="24"/>
          <w:szCs w:val="24"/>
          <w:highlight w:val="none"/>
        </w:rPr>
      </w:pPr>
      <w:r>
        <w:rPr>
          <w:rFonts w:hint="eastAsia" w:ascii="宋体" w:hAnsi="宋体" w:cs="宋体"/>
          <w:b w:val="0"/>
          <w:bCs w:val="0"/>
          <w:color w:val="auto"/>
          <w:sz w:val="24"/>
          <w:szCs w:val="24"/>
          <w:highlight w:val="none"/>
        </w:rPr>
        <w:t>6、履行合同所必需的设备专业技术能力证明文件</w:t>
      </w:r>
    </w:p>
    <w:p>
      <w:pPr>
        <w:pStyle w:val="39"/>
        <w:wordWrap w:val="0"/>
        <w:spacing w:line="480" w:lineRule="auto"/>
        <w:ind w:firstLine="0" w:firstLineChars="0"/>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7、质保及售后服务</w:t>
      </w:r>
    </w:p>
    <w:p>
      <w:pPr>
        <w:pStyle w:val="39"/>
        <w:wordWrap w:val="0"/>
        <w:spacing w:line="480" w:lineRule="auto"/>
        <w:ind w:firstLine="0" w:firstLineChars="0"/>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8、其他证明材料</w:t>
      </w:r>
    </w:p>
    <w:p>
      <w:pPr>
        <w:pStyle w:val="39"/>
        <w:wordWrap w:val="0"/>
        <w:ind w:firstLine="0" w:firstLineChars="0"/>
        <w:rPr>
          <w:rFonts w:ascii="宋体" w:hAnsi="宋体" w:cs="宋体"/>
          <w:b w:val="0"/>
          <w:bCs w:val="0"/>
          <w:color w:val="auto"/>
          <w:highlight w:val="none"/>
        </w:rPr>
      </w:pPr>
    </w:p>
    <w:p>
      <w:pPr>
        <w:pStyle w:val="39"/>
        <w:wordWrap w:val="0"/>
        <w:ind w:firstLine="0" w:firstLineChars="0"/>
        <w:rPr>
          <w:rFonts w:ascii="宋体" w:hAnsi="宋体" w:cs="宋体"/>
          <w:b w:val="0"/>
          <w:bCs w:val="0"/>
          <w:color w:val="auto"/>
          <w:highlight w:val="none"/>
        </w:rPr>
      </w:pPr>
    </w:p>
    <w:p>
      <w:pPr>
        <w:pStyle w:val="39"/>
        <w:wordWrap w:val="0"/>
        <w:ind w:firstLine="0" w:firstLineChars="0"/>
        <w:rPr>
          <w:rFonts w:ascii="宋体" w:hAnsi="宋体" w:cs="宋体"/>
          <w:b w:val="0"/>
          <w:bCs w:val="0"/>
          <w:color w:val="auto"/>
          <w:highlight w:val="none"/>
        </w:rPr>
      </w:pPr>
    </w:p>
    <w:p>
      <w:pPr>
        <w:pStyle w:val="39"/>
        <w:wordWrap w:val="0"/>
        <w:ind w:firstLine="0" w:firstLineChars="0"/>
        <w:rPr>
          <w:rFonts w:ascii="宋体" w:hAnsi="宋体" w:cs="宋体"/>
          <w:b w:val="0"/>
          <w:bCs w:val="0"/>
          <w:color w:val="auto"/>
          <w:highlight w:val="none"/>
        </w:rPr>
      </w:pPr>
    </w:p>
    <w:p>
      <w:pPr>
        <w:pStyle w:val="39"/>
        <w:wordWrap w:val="0"/>
        <w:ind w:firstLine="0" w:firstLineChars="0"/>
        <w:rPr>
          <w:rFonts w:ascii="宋体" w:hAnsi="宋体" w:cs="宋体"/>
          <w:b w:val="0"/>
          <w:bCs w:val="0"/>
          <w:color w:val="auto"/>
          <w:highlight w:val="none"/>
        </w:rPr>
      </w:pPr>
    </w:p>
    <w:p>
      <w:pPr>
        <w:pStyle w:val="39"/>
        <w:wordWrap w:val="0"/>
        <w:ind w:firstLine="0" w:firstLineChars="0"/>
        <w:rPr>
          <w:rFonts w:ascii="宋体" w:hAnsi="宋体" w:cs="宋体"/>
          <w:b w:val="0"/>
          <w:bCs w:val="0"/>
          <w:color w:val="auto"/>
          <w:highlight w:val="none"/>
        </w:rPr>
      </w:pPr>
    </w:p>
    <w:p>
      <w:pPr>
        <w:pStyle w:val="39"/>
        <w:wordWrap w:val="0"/>
        <w:ind w:firstLine="0" w:firstLineChars="0"/>
        <w:rPr>
          <w:rFonts w:ascii="宋体" w:hAnsi="宋体" w:cs="宋体"/>
          <w:b w:val="0"/>
          <w:bCs w:val="0"/>
          <w:color w:val="auto"/>
          <w:highlight w:val="none"/>
        </w:rPr>
      </w:pPr>
    </w:p>
    <w:p>
      <w:pPr>
        <w:pStyle w:val="39"/>
        <w:wordWrap w:val="0"/>
        <w:ind w:firstLine="0" w:firstLineChars="0"/>
        <w:rPr>
          <w:rFonts w:ascii="宋体" w:hAnsi="宋体" w:cs="宋体"/>
          <w:b w:val="0"/>
          <w:bCs w:val="0"/>
          <w:color w:val="auto"/>
          <w:highlight w:val="none"/>
        </w:rPr>
      </w:pPr>
    </w:p>
    <w:p>
      <w:pPr>
        <w:pStyle w:val="39"/>
        <w:ind w:firstLine="0" w:firstLineChars="0"/>
        <w:rPr>
          <w:rFonts w:ascii="宋体" w:hAnsi="宋体" w:cs="宋体"/>
          <w:color w:val="auto"/>
          <w:highlight w:val="none"/>
        </w:rPr>
      </w:pPr>
    </w:p>
    <w:p>
      <w:pPr>
        <w:pStyle w:val="39"/>
        <w:ind w:firstLine="0" w:firstLineChars="0"/>
        <w:rPr>
          <w:rFonts w:ascii="宋体" w:hAnsi="宋体" w:cs="宋体"/>
          <w:color w:val="auto"/>
          <w:highlight w:val="none"/>
        </w:rPr>
      </w:pPr>
    </w:p>
    <w:p>
      <w:pPr>
        <w:pStyle w:val="39"/>
        <w:ind w:firstLine="0" w:firstLineChars="0"/>
        <w:rPr>
          <w:rFonts w:ascii="宋体" w:hAnsi="宋体" w:cs="宋体"/>
          <w:color w:val="auto"/>
          <w:highlight w:val="none"/>
        </w:rPr>
      </w:pPr>
    </w:p>
    <w:p>
      <w:pPr>
        <w:pStyle w:val="39"/>
        <w:ind w:firstLine="0" w:firstLineChars="0"/>
        <w:rPr>
          <w:rFonts w:ascii="宋体" w:hAnsi="宋体" w:cs="宋体"/>
          <w:color w:val="auto"/>
          <w:highlight w:val="none"/>
        </w:rPr>
      </w:pPr>
      <w:r>
        <w:rPr>
          <w:rFonts w:hint="eastAsia" w:ascii="宋体" w:hAnsi="宋体" w:cs="宋体"/>
          <w:color w:val="auto"/>
          <w:highlight w:val="none"/>
        </w:rPr>
        <w:t>一、资格、技术商务部分</w:t>
      </w:r>
    </w:p>
    <w:p>
      <w:pPr>
        <w:pStyle w:val="39"/>
        <w:spacing w:line="360" w:lineRule="auto"/>
        <w:ind w:firstLine="559" w:firstLineChars="199"/>
        <w:rPr>
          <w:rFonts w:ascii="宋体" w:hAnsi="宋体" w:cs="宋体"/>
          <w:color w:val="auto"/>
          <w:sz w:val="28"/>
          <w:szCs w:val="28"/>
          <w:highlight w:val="none"/>
        </w:rPr>
      </w:pPr>
      <w:r>
        <w:rPr>
          <w:rFonts w:hint="eastAsia" w:ascii="宋体" w:hAnsi="宋体" w:cs="宋体"/>
          <w:color w:val="auto"/>
          <w:sz w:val="28"/>
          <w:szCs w:val="28"/>
          <w:highlight w:val="none"/>
        </w:rPr>
        <w:t>1、询价响应授权书</w:t>
      </w:r>
    </w:p>
    <w:p>
      <w:pPr>
        <w:wordWrap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（采购单位名称）：</w:t>
      </w:r>
    </w:p>
    <w:p>
      <w:pPr>
        <w:pStyle w:val="39"/>
        <w:spacing w:line="360" w:lineRule="auto"/>
        <w:ind w:right="840" w:firstLine="470" w:firstLineChars="196"/>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本授权书声明：</w:t>
      </w:r>
      <w:r>
        <w:rPr>
          <w:rFonts w:hint="eastAsia" w:ascii="宋体" w:hAnsi="宋体" w:cs="宋体"/>
          <w:color w:val="auto"/>
          <w:sz w:val="24"/>
          <w:szCs w:val="24"/>
          <w:highlight w:val="none"/>
          <w:u w:val="single"/>
        </w:rPr>
        <w:t xml:space="preserve">           </w:t>
      </w:r>
      <w:r>
        <w:rPr>
          <w:rFonts w:hint="eastAsia" w:ascii="宋体" w:hAnsi="宋体" w:cs="宋体"/>
          <w:b w:val="0"/>
          <w:bCs w:val="0"/>
          <w:color w:val="auto"/>
          <w:sz w:val="24"/>
          <w:szCs w:val="24"/>
          <w:highlight w:val="none"/>
        </w:rPr>
        <w:t>（供应商名称）授权本单位</w:t>
      </w:r>
      <w:r>
        <w:rPr>
          <w:rFonts w:hint="eastAsia" w:ascii="宋体" w:hAnsi="宋体" w:cs="宋体"/>
          <w:color w:val="auto"/>
          <w:sz w:val="24"/>
          <w:szCs w:val="24"/>
          <w:highlight w:val="none"/>
          <w:u w:val="single"/>
        </w:rPr>
        <w:t xml:space="preserve">           </w:t>
      </w:r>
      <w:r>
        <w:rPr>
          <w:rFonts w:hint="eastAsia" w:ascii="宋体" w:hAnsi="宋体" w:cs="宋体"/>
          <w:b w:val="0"/>
          <w:bCs w:val="0"/>
          <w:color w:val="auto"/>
          <w:sz w:val="24"/>
          <w:szCs w:val="24"/>
          <w:highlight w:val="none"/>
        </w:rPr>
        <w:t>（供应商授权代表姓名、职务）代表本单位参加</w:t>
      </w:r>
      <w:r>
        <w:rPr>
          <w:rFonts w:hint="eastAsia" w:ascii="宋体" w:hAnsi="宋体" w:cs="宋体"/>
          <w:color w:val="auto"/>
          <w:sz w:val="24"/>
          <w:szCs w:val="24"/>
          <w:highlight w:val="none"/>
          <w:u w:val="single"/>
        </w:rPr>
        <w:t xml:space="preserve">           </w:t>
      </w:r>
      <w:r>
        <w:rPr>
          <w:rFonts w:hint="eastAsia" w:ascii="宋体" w:hAnsi="宋体" w:cs="宋体"/>
          <w:b w:val="0"/>
          <w:bCs w:val="0"/>
          <w:color w:val="auto"/>
          <w:sz w:val="24"/>
          <w:szCs w:val="24"/>
          <w:highlight w:val="none"/>
        </w:rPr>
        <w:t>（项目全称）项目投标活动,全权代表本公司处理投标过程的一切事宜，包括但不限于：投标、参与开标、询价、合同签署、合同执行等。供应商授权代表在投标过程中所签署的一切文件和处理与之有关的一切事务，本公司均予以认可并对此承担责任。供应商授权代表无转委托权。特此授权。</w:t>
      </w:r>
    </w:p>
    <w:p>
      <w:pPr>
        <w:pStyle w:val="39"/>
        <w:spacing w:line="360" w:lineRule="auto"/>
        <w:ind w:right="840" w:firstLine="470" w:firstLineChars="196"/>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本授权书自出具之日起生效。</w:t>
      </w:r>
    </w:p>
    <w:p>
      <w:pPr>
        <w:pStyle w:val="39"/>
        <w:spacing w:line="360" w:lineRule="auto"/>
        <w:ind w:right="840" w:firstLine="470" w:firstLineChars="196"/>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特此声明。</w:t>
      </w:r>
    </w:p>
    <w:p>
      <w:pPr>
        <w:pStyle w:val="39"/>
        <w:ind w:right="840" w:firstLine="551" w:firstLineChars="196"/>
        <w:rPr>
          <w:rFonts w:ascii="宋体" w:hAnsi="宋体" w:cs="宋体"/>
          <w:color w:val="auto"/>
          <w:highlight w:val="none"/>
        </w:rPr>
      </w:pPr>
    </w:p>
    <w:p>
      <w:pPr>
        <w:pStyle w:val="39"/>
        <w:ind w:right="840" w:firstLine="551" w:firstLineChars="196"/>
        <w:jc w:val="right"/>
        <w:rPr>
          <w:rFonts w:ascii="宋体" w:hAnsi="宋体" w:cs="宋体"/>
          <w:color w:val="auto"/>
          <w:highlight w:val="none"/>
        </w:rPr>
      </w:pPr>
      <w:r>
        <w:rPr>
          <w:rFonts w:hint="eastAsia" w:ascii="宋体" w:hAnsi="宋体" w:cs="宋体"/>
          <w:color w:val="auto"/>
          <w:highlight w:val="none"/>
        </w:rPr>
        <w:t>供应商公章：</w:t>
      </w:r>
    </w:p>
    <w:p>
      <w:pPr>
        <w:pStyle w:val="39"/>
        <w:ind w:firstLine="0" w:firstLineChars="0"/>
        <w:jc w:val="right"/>
        <w:rPr>
          <w:rFonts w:ascii="宋体" w:hAnsi="宋体" w:cs="宋体"/>
          <w:color w:val="auto"/>
          <w:highlight w:val="none"/>
        </w:rPr>
      </w:pPr>
      <w:r>
        <w:rPr>
          <w:rFonts w:hint="eastAsia" w:ascii="宋体" w:hAnsi="宋体" w:cs="宋体"/>
          <w:color w:val="auto"/>
          <w:highlight w:val="none"/>
        </w:rPr>
        <w:t>日期：________________</w:t>
      </w:r>
    </w:p>
    <w:p>
      <w:pPr>
        <w:pStyle w:val="39"/>
        <w:ind w:firstLine="0" w:firstLineChars="0"/>
        <w:jc w:val="right"/>
        <w:rPr>
          <w:rFonts w:ascii="宋体" w:hAnsi="宋体" w:cs="宋体"/>
          <w:color w:val="auto"/>
          <w:highlight w:val="none"/>
        </w:rPr>
      </w:pPr>
    </w:p>
    <w:p>
      <w:pPr>
        <w:pStyle w:val="39"/>
        <w:ind w:firstLine="0" w:firstLineChars="0"/>
        <w:jc w:val="right"/>
        <w:rPr>
          <w:rFonts w:ascii="宋体" w:hAnsi="宋体" w:cs="宋体"/>
          <w:color w:val="auto"/>
          <w:highlight w:val="none"/>
        </w:rPr>
      </w:pPr>
    </w:p>
    <w:p>
      <w:pPr>
        <w:pStyle w:val="39"/>
        <w:ind w:firstLine="0" w:firstLineChars="0"/>
        <w:jc w:val="right"/>
        <w:rPr>
          <w:rFonts w:ascii="宋体" w:hAnsi="宋体" w:cs="宋体"/>
          <w:color w:val="auto"/>
          <w:highlight w:val="none"/>
        </w:rPr>
      </w:pPr>
    </w:p>
    <w:p>
      <w:pPr>
        <w:pStyle w:val="39"/>
        <w:ind w:firstLine="0" w:firstLineChars="0"/>
        <w:jc w:val="right"/>
        <w:rPr>
          <w:rFonts w:ascii="宋体" w:hAnsi="宋体" w:cs="宋体"/>
          <w:color w:val="auto"/>
          <w:highlight w:val="none"/>
        </w:rPr>
      </w:pPr>
    </w:p>
    <w:p>
      <w:pPr>
        <w:pStyle w:val="39"/>
        <w:ind w:firstLine="0" w:firstLineChars="0"/>
        <w:jc w:val="right"/>
        <w:rPr>
          <w:rFonts w:ascii="宋体" w:hAnsi="宋体" w:cs="宋体"/>
          <w:color w:val="auto"/>
          <w:highlight w:val="none"/>
        </w:rPr>
      </w:pPr>
    </w:p>
    <w:p>
      <w:pPr>
        <w:pStyle w:val="39"/>
        <w:ind w:firstLine="0" w:firstLineChars="0"/>
        <w:jc w:val="right"/>
        <w:rPr>
          <w:rFonts w:ascii="宋体" w:hAnsi="宋体" w:cs="宋体"/>
          <w:color w:val="auto"/>
          <w:highlight w:val="none"/>
        </w:rPr>
      </w:pPr>
    </w:p>
    <w:p>
      <w:pPr>
        <w:pStyle w:val="39"/>
        <w:ind w:firstLine="0" w:firstLineChars="0"/>
        <w:jc w:val="right"/>
        <w:rPr>
          <w:rFonts w:ascii="宋体" w:hAnsi="宋体" w:cs="宋体"/>
          <w:color w:val="auto"/>
          <w:highlight w:val="none"/>
        </w:rPr>
      </w:pPr>
    </w:p>
    <w:p>
      <w:pPr>
        <w:pStyle w:val="39"/>
        <w:ind w:firstLine="0" w:firstLineChars="0"/>
        <w:jc w:val="right"/>
        <w:rPr>
          <w:rFonts w:ascii="宋体" w:hAnsi="宋体" w:cs="宋体"/>
          <w:color w:val="auto"/>
          <w:highlight w:val="none"/>
        </w:rPr>
      </w:pPr>
    </w:p>
    <w:p>
      <w:pPr>
        <w:pStyle w:val="39"/>
        <w:ind w:firstLine="0" w:firstLineChars="0"/>
        <w:jc w:val="right"/>
        <w:rPr>
          <w:rFonts w:ascii="宋体" w:hAnsi="宋体" w:cs="宋体"/>
          <w:color w:val="auto"/>
          <w:highlight w:val="none"/>
        </w:rPr>
      </w:pPr>
    </w:p>
    <w:p>
      <w:pPr>
        <w:pStyle w:val="39"/>
        <w:ind w:firstLine="0" w:firstLineChars="0"/>
        <w:jc w:val="both"/>
        <w:rPr>
          <w:rFonts w:ascii="宋体" w:hAnsi="宋体" w:cs="宋体"/>
          <w:color w:val="auto"/>
          <w:highlight w:val="none"/>
        </w:rPr>
      </w:pPr>
    </w:p>
    <w:p>
      <w:pPr>
        <w:pStyle w:val="39"/>
        <w:spacing w:line="360" w:lineRule="auto"/>
        <w:ind w:left="0" w:leftChars="0" w:firstLine="0" w:firstLineChars="0"/>
        <w:rPr>
          <w:rFonts w:ascii="宋体" w:hAnsi="宋体" w:cs="宋体"/>
          <w:color w:val="auto"/>
          <w:sz w:val="28"/>
          <w:szCs w:val="28"/>
          <w:highlight w:val="none"/>
        </w:rPr>
      </w:pPr>
      <w:r>
        <w:rPr>
          <w:rFonts w:hint="eastAsia" w:ascii="宋体" w:hAnsi="宋体" w:cs="宋体"/>
          <w:color w:val="auto"/>
          <w:sz w:val="28"/>
          <w:szCs w:val="28"/>
          <w:highlight w:val="none"/>
        </w:rPr>
        <w:t>2、询价响应函格式</w:t>
      </w:r>
    </w:p>
    <w:p>
      <w:pPr>
        <w:pStyle w:val="39"/>
        <w:spacing w:line="360" w:lineRule="auto"/>
        <w:ind w:firstLine="472" w:firstLineChars="196"/>
        <w:rPr>
          <w:rFonts w:ascii="宋体" w:hAnsi="宋体" w:cs="宋体"/>
          <w:color w:val="auto"/>
          <w:sz w:val="24"/>
          <w:szCs w:val="24"/>
          <w:highlight w:val="none"/>
        </w:rPr>
      </w:pPr>
    </w:p>
    <w:p>
      <w:pPr>
        <w:wordWrap w:val="0"/>
        <w:spacing w:line="360" w:lineRule="auto"/>
        <w:rPr>
          <w:rFonts w:ascii="宋体" w:hAnsi="宋体" w:cs="宋体"/>
          <w:b/>
          <w:color w:val="auto"/>
          <w:sz w:val="24"/>
          <w:szCs w:val="24"/>
          <w:highlight w:val="none"/>
        </w:rPr>
      </w:pPr>
      <w:bookmarkStart w:id="34" w:name="_Toc393705366"/>
      <w:bookmarkStart w:id="35" w:name="_Toc400805871"/>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（采购单位名称）：</w:t>
      </w:r>
    </w:p>
    <w:p>
      <w:pPr>
        <w:wordWrap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1、根据贵方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采购公告，我们决定参加贵方组织的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项目的招标采购活动。我方授权</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(姓名和职务),代表我方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（投标单位的名称）联系方式 (手机号码</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)全权处理本项目投标的有关事宜。</w:t>
      </w:r>
    </w:p>
    <w:p>
      <w:pPr>
        <w:wordWrap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2、我方完全满足《中华人民共和国政府采购法》</w:t>
      </w:r>
      <w:r>
        <w:rPr>
          <w:rFonts w:hint="eastAsia" w:ascii="宋体" w:hAnsi="宋体" w:cs="宋体"/>
          <w:color w:val="auto"/>
          <w:sz w:val="24"/>
          <w:szCs w:val="24"/>
          <w:highlight w:val="none"/>
          <w:lang w:val="en-US" w:eastAsia="zh-CN"/>
        </w:rPr>
        <w:t>相关</w:t>
      </w:r>
      <w:r>
        <w:rPr>
          <w:rFonts w:hint="eastAsia" w:ascii="宋体" w:hAnsi="宋体" w:cs="宋体"/>
          <w:color w:val="auto"/>
          <w:sz w:val="24"/>
          <w:szCs w:val="24"/>
          <w:highlight w:val="none"/>
        </w:rPr>
        <w:t>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pPr>
        <w:wordWrap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至投标截止日，我方、包括我方法定代表人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pPr>
        <w:wordWrap w:val="0"/>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4、至投标截止日，我方未被铜陵市公共资源交易监管部门记录的不良行为累计分值在 10 分（含）-15 分（不含），且最近一次不良行为记录公布日距开标日未超过 3 个月</w:t>
      </w:r>
      <w:r>
        <w:rPr>
          <w:rFonts w:hint="eastAsia" w:ascii="宋体" w:hAnsi="宋体" w:cs="宋体"/>
          <w:sz w:val="24"/>
          <w:highlight w:val="none"/>
          <w:lang w:eastAsia="zh-CN"/>
        </w:rPr>
        <w:t>。</w:t>
      </w:r>
    </w:p>
    <w:p>
      <w:pPr>
        <w:wordWrap w:val="0"/>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5、至投标截止日，我方未被铜陵市公共资源交易监管部门记不良行为记录累计分值在15分（含）-20分（不含），且最近一次不良行为记录公布日距开标日未超过6个月</w:t>
      </w:r>
      <w:r>
        <w:rPr>
          <w:rFonts w:hint="eastAsia" w:ascii="宋体" w:hAnsi="宋体" w:cs="宋体"/>
          <w:sz w:val="24"/>
          <w:highlight w:val="none"/>
          <w:lang w:eastAsia="zh-CN"/>
        </w:rPr>
        <w:t>。</w:t>
      </w:r>
    </w:p>
    <w:p>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sz w:val="24"/>
          <w:highlight w:val="none"/>
        </w:rPr>
        <w:t>6、至投标截止日，我方未被铜陵市公共资源交易监管部门记不良行为记录累计分值达20分（含）以上，且最近一次不良行为记录公布日距开标日未超过12个月。</w:t>
      </w:r>
    </w:p>
    <w:p>
      <w:pPr>
        <w:wordWrap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、我方愿意按照采购文件规定的各项要求，向采购人提供所需的货物与服务。</w:t>
      </w:r>
    </w:p>
    <w:p>
      <w:pPr>
        <w:wordWrap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、一旦我方中标，我方将严格履行合同规定的责任和义务。</w:t>
      </w:r>
    </w:p>
    <w:p>
      <w:pPr>
        <w:wordWrap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、我方同意按照采购文件的要求，向贵方递交投标保证金。并且承诺，在投标有效期内如果我方撤回投标书或中标后拒绝签订合同，我方将放弃要求贵方退还该投标保证金的权力。</w:t>
      </w:r>
    </w:p>
    <w:p>
      <w:pPr>
        <w:tabs>
          <w:tab w:val="left" w:pos="840"/>
        </w:tabs>
        <w:wordWrap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、我方愿意提供贵方可能另外要求的、与投标有关的文件资料，并保证我方已提供和将要提供的文件是真实的、准确的。</w:t>
      </w:r>
    </w:p>
    <w:p>
      <w:pPr>
        <w:tabs>
          <w:tab w:val="left" w:pos="0"/>
          <w:tab w:val="left" w:pos="840"/>
        </w:tabs>
        <w:wordWrap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11</w:t>
      </w:r>
      <w:r>
        <w:rPr>
          <w:rFonts w:hint="eastAsia" w:ascii="宋体" w:hAnsi="宋体" w:cs="宋体"/>
          <w:color w:val="auto"/>
          <w:sz w:val="24"/>
          <w:szCs w:val="24"/>
          <w:highlight w:val="none"/>
        </w:rPr>
        <w:t>、我方完全理解贵方不一定将合同授予最低报价（折扣）的投标人。</w:t>
      </w:r>
    </w:p>
    <w:p>
      <w:pPr>
        <w:pStyle w:val="39"/>
        <w:spacing w:line="360" w:lineRule="auto"/>
        <w:ind w:right="980" w:firstLine="0" w:firstLineChars="0"/>
        <w:rPr>
          <w:rFonts w:hint="eastAsia" w:ascii="宋体" w:hAnsi="宋体" w:cs="宋体"/>
          <w:color w:val="auto"/>
          <w:sz w:val="24"/>
          <w:szCs w:val="24"/>
          <w:highlight w:val="none"/>
        </w:rPr>
      </w:pPr>
      <w:r>
        <w:rPr>
          <w:rFonts w:hint="eastAsia" w:ascii="宋体" w:hAnsi="宋体" w:cs="宋体"/>
          <w:color w:val="auto"/>
          <w:highlight w:val="none"/>
        </w:rPr>
        <w:t xml:space="preserve">                                 </w:t>
      </w:r>
      <w:r>
        <w:rPr>
          <w:rFonts w:hint="eastAsia" w:ascii="宋体" w:hAnsi="宋体" w:cs="宋体"/>
          <w:color w:val="auto"/>
          <w:sz w:val="24"/>
          <w:szCs w:val="24"/>
          <w:highlight w:val="none"/>
        </w:rPr>
        <w:t xml:space="preserve">  </w:t>
      </w:r>
    </w:p>
    <w:p>
      <w:pPr>
        <w:pStyle w:val="39"/>
        <w:spacing w:line="360" w:lineRule="auto"/>
        <w:ind w:right="980" w:firstLine="0" w:firstLineChars="0"/>
        <w:rPr>
          <w:rFonts w:hint="eastAsia" w:ascii="宋体" w:hAnsi="宋体" w:cs="宋体"/>
          <w:color w:val="auto"/>
          <w:sz w:val="24"/>
          <w:szCs w:val="24"/>
          <w:highlight w:val="none"/>
        </w:rPr>
      </w:pPr>
    </w:p>
    <w:p>
      <w:pPr>
        <w:pStyle w:val="39"/>
        <w:spacing w:line="360" w:lineRule="auto"/>
        <w:ind w:right="980" w:firstLine="4819" w:firstLineChars="2000"/>
        <w:rPr>
          <w:rFonts w:ascii="宋体" w:hAnsi="宋体" w:cs="宋体"/>
          <w:color w:val="auto"/>
          <w:sz w:val="24"/>
          <w:szCs w:val="24"/>
          <w:highlight w:val="none"/>
        </w:rPr>
      </w:pPr>
      <w:r>
        <w:rPr>
          <w:rFonts w:hint="eastAsia" w:ascii="宋体" w:hAnsi="宋体" w:cs="宋体"/>
          <w:color w:val="auto"/>
          <w:sz w:val="24"/>
          <w:szCs w:val="24"/>
          <w:highlight w:val="none"/>
        </w:rPr>
        <w:t xml:space="preserve"> 投标人公章：</w:t>
      </w:r>
    </w:p>
    <w:p>
      <w:pPr>
        <w:pStyle w:val="39"/>
        <w:spacing w:line="360" w:lineRule="auto"/>
        <w:ind w:firstLine="0" w:firstLineChars="0"/>
        <w:jc w:val="right"/>
        <w:rPr>
          <w:rFonts w:hint="eastAsia" w:ascii="宋体" w:hAnsi="宋体" w:cs="宋体"/>
          <w:color w:val="auto"/>
          <w:sz w:val="24"/>
          <w:szCs w:val="24"/>
          <w:highlight w:val="none"/>
        </w:rPr>
      </w:pPr>
    </w:p>
    <w:p>
      <w:pPr>
        <w:pStyle w:val="39"/>
        <w:spacing w:line="360" w:lineRule="auto"/>
        <w:ind w:firstLine="0" w:firstLineChars="0"/>
        <w:jc w:val="right"/>
        <w:rPr>
          <w:rFonts w:ascii="宋体" w:hAnsi="宋体" w:cs="宋体"/>
          <w:color w:val="auto"/>
          <w:sz w:val="24"/>
          <w:szCs w:val="24"/>
          <w:highlight w:val="none"/>
        </w:rPr>
      </w:pPr>
      <w:r>
        <w:rPr>
          <w:rFonts w:hint="eastAsia" w:ascii="宋体" w:hAnsi="宋体" w:cs="宋体"/>
          <w:color w:val="auto"/>
          <w:sz w:val="24"/>
          <w:szCs w:val="24"/>
          <w:highlight w:val="none"/>
        </w:rPr>
        <w:t>日    期：________________</w:t>
      </w:r>
    </w:p>
    <w:p>
      <w:pPr>
        <w:pStyle w:val="39"/>
        <w:ind w:firstLine="590" w:firstLineChars="245"/>
        <w:rPr>
          <w:rFonts w:ascii="宋体" w:hAnsi="宋体" w:cs="宋体"/>
          <w:color w:val="auto"/>
          <w:sz w:val="24"/>
          <w:szCs w:val="24"/>
          <w:highlight w:val="none"/>
        </w:rPr>
      </w:pPr>
    </w:p>
    <w:p>
      <w:pPr>
        <w:pStyle w:val="39"/>
        <w:ind w:firstLine="590" w:firstLineChars="245"/>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p>
    <w:p>
      <w:pPr>
        <w:pStyle w:val="39"/>
        <w:ind w:left="0" w:leftChars="0" w:firstLine="0" w:firstLineChars="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、项目实施方案</w:t>
      </w:r>
      <w:bookmarkEnd w:id="34"/>
      <w:bookmarkEnd w:id="35"/>
    </w:p>
    <w:p>
      <w:pPr>
        <w:wordWrap w:val="0"/>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（一）供应商简介</w:t>
      </w:r>
    </w:p>
    <w:p>
      <w:pPr>
        <w:wordWrap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（不超过1000字）</w:t>
      </w:r>
    </w:p>
    <w:p>
      <w:pPr>
        <w:autoSpaceDN w:val="0"/>
        <w:spacing w:after="156"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（二）项目实施方案</w:t>
      </w:r>
    </w:p>
    <w:p>
      <w:pPr>
        <w:wordWrap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（详细说明）</w:t>
      </w:r>
    </w:p>
    <w:p>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4</w:t>
      </w:r>
      <w:r>
        <w:rPr>
          <w:rFonts w:hint="eastAsia" w:ascii="宋体" w:hAnsi="宋体" w:cs="宋体"/>
          <w:b/>
          <w:bCs/>
          <w:color w:val="auto"/>
          <w:sz w:val="24"/>
          <w:szCs w:val="24"/>
          <w:highlight w:val="none"/>
        </w:rPr>
        <w:t>、技术规格响应表</w:t>
      </w:r>
    </w:p>
    <w:tbl>
      <w:tblPr>
        <w:tblStyle w:val="18"/>
        <w:tblW w:w="99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6"/>
        <w:gridCol w:w="2227"/>
        <w:gridCol w:w="2082"/>
        <w:gridCol w:w="2744"/>
        <w:gridCol w:w="19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16" w:type="dxa"/>
            <w:vMerge w:val="restart"/>
            <w:tcBorders>
              <w:top w:val="single" w:color="auto" w:sz="12" w:space="0"/>
            </w:tcBorders>
            <w:vAlign w:val="center"/>
          </w:tcPr>
          <w:p>
            <w:pP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2227" w:type="dxa"/>
            <w:vMerge w:val="restart"/>
            <w:tcBorders>
              <w:top w:val="single" w:color="auto" w:sz="12" w:space="0"/>
            </w:tcBorders>
            <w:vAlign w:val="center"/>
          </w:tcPr>
          <w:p>
            <w:pPr>
              <w:rPr>
                <w:rFonts w:ascii="宋体" w:hAnsi="宋体" w:cs="宋体"/>
                <w:color w:val="auto"/>
                <w:sz w:val="24"/>
                <w:szCs w:val="24"/>
                <w:highlight w:val="none"/>
              </w:rPr>
            </w:pPr>
            <w:r>
              <w:rPr>
                <w:rFonts w:hint="eastAsia" w:ascii="宋体" w:hAnsi="宋体" w:cs="宋体"/>
                <w:color w:val="auto"/>
                <w:sz w:val="24"/>
                <w:szCs w:val="24"/>
                <w:highlight w:val="none"/>
              </w:rPr>
              <w:t>产品品牌与型号</w:t>
            </w:r>
          </w:p>
        </w:tc>
        <w:tc>
          <w:tcPr>
            <w:tcW w:w="2082" w:type="dxa"/>
            <w:tcBorders>
              <w:top w:val="single" w:color="auto" w:sz="12" w:space="0"/>
            </w:tcBorders>
            <w:vAlign w:val="top"/>
          </w:tcPr>
          <w:p>
            <w:pPr>
              <w:rPr>
                <w:rFonts w:ascii="宋体" w:hAnsi="宋体" w:cs="宋体"/>
                <w:color w:val="auto"/>
                <w:sz w:val="24"/>
                <w:szCs w:val="24"/>
                <w:highlight w:val="none"/>
              </w:rPr>
            </w:pPr>
            <w:r>
              <w:rPr>
                <w:rFonts w:hint="eastAsia" w:ascii="宋体" w:hAnsi="宋体" w:cs="宋体"/>
                <w:color w:val="auto"/>
                <w:sz w:val="24"/>
                <w:szCs w:val="24"/>
                <w:highlight w:val="none"/>
              </w:rPr>
              <w:t>询价文件要求</w:t>
            </w:r>
          </w:p>
        </w:tc>
        <w:tc>
          <w:tcPr>
            <w:tcW w:w="2744" w:type="dxa"/>
            <w:tcBorders>
              <w:top w:val="single" w:color="auto" w:sz="12" w:space="0"/>
            </w:tcBorders>
            <w:vAlign w:val="top"/>
          </w:tcPr>
          <w:p>
            <w:pPr>
              <w:rPr>
                <w:rFonts w:ascii="宋体" w:hAnsi="宋体" w:cs="宋体"/>
                <w:color w:val="auto"/>
                <w:sz w:val="24"/>
                <w:szCs w:val="24"/>
                <w:highlight w:val="none"/>
              </w:rPr>
            </w:pPr>
            <w:r>
              <w:rPr>
                <w:rFonts w:hint="eastAsia" w:ascii="宋体" w:hAnsi="宋体" w:cs="宋体"/>
                <w:color w:val="auto"/>
                <w:sz w:val="24"/>
                <w:szCs w:val="24"/>
                <w:highlight w:val="none"/>
              </w:rPr>
              <w:t>产品具体参数</w:t>
            </w:r>
          </w:p>
        </w:tc>
        <w:tc>
          <w:tcPr>
            <w:tcW w:w="1973" w:type="dxa"/>
            <w:vMerge w:val="restart"/>
            <w:tcBorders>
              <w:top w:val="single" w:color="auto" w:sz="12" w:space="0"/>
            </w:tcBorders>
            <w:vAlign w:val="center"/>
          </w:tcPr>
          <w:p>
            <w:pPr>
              <w:rPr>
                <w:rFonts w:ascii="宋体" w:hAnsi="宋体" w:cs="宋体"/>
                <w:color w:val="auto"/>
                <w:sz w:val="24"/>
                <w:szCs w:val="24"/>
                <w:highlight w:val="none"/>
              </w:rPr>
            </w:pPr>
            <w:r>
              <w:rPr>
                <w:rFonts w:hint="eastAsia" w:ascii="宋体" w:hAnsi="宋体" w:cs="宋体"/>
                <w:color w:val="auto"/>
                <w:sz w:val="24"/>
                <w:szCs w:val="24"/>
                <w:highlight w:val="none"/>
              </w:rPr>
              <w:t>偏离及其影响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916" w:type="dxa"/>
            <w:vMerge w:val="continue"/>
            <w:vAlign w:val="center"/>
          </w:tcPr>
          <w:p>
            <w:pPr>
              <w:widowControl/>
              <w:rPr>
                <w:rFonts w:ascii="宋体" w:hAnsi="宋体" w:cs="宋体"/>
                <w:color w:val="auto"/>
                <w:sz w:val="24"/>
                <w:szCs w:val="24"/>
                <w:highlight w:val="none"/>
              </w:rPr>
            </w:pPr>
          </w:p>
        </w:tc>
        <w:tc>
          <w:tcPr>
            <w:tcW w:w="2227" w:type="dxa"/>
            <w:vMerge w:val="continue"/>
            <w:vAlign w:val="center"/>
          </w:tcPr>
          <w:p>
            <w:pPr>
              <w:widowControl/>
              <w:rPr>
                <w:rFonts w:ascii="宋体" w:hAnsi="宋体" w:cs="宋体"/>
                <w:color w:val="auto"/>
                <w:sz w:val="24"/>
                <w:szCs w:val="24"/>
                <w:highlight w:val="none"/>
              </w:rPr>
            </w:pPr>
          </w:p>
        </w:tc>
        <w:tc>
          <w:tcPr>
            <w:tcW w:w="2082" w:type="dxa"/>
            <w:vAlign w:val="center"/>
          </w:tcPr>
          <w:p>
            <w:pPr>
              <w:rPr>
                <w:rFonts w:ascii="宋体" w:hAnsi="宋体" w:cs="宋体"/>
                <w:color w:val="auto"/>
                <w:spacing w:val="-6"/>
                <w:sz w:val="24"/>
                <w:szCs w:val="24"/>
                <w:highlight w:val="none"/>
              </w:rPr>
            </w:pPr>
            <w:r>
              <w:rPr>
                <w:rFonts w:hint="eastAsia" w:ascii="宋体" w:hAnsi="宋体" w:cs="宋体"/>
                <w:color w:val="auto"/>
                <w:sz w:val="24"/>
                <w:szCs w:val="24"/>
                <w:highlight w:val="none"/>
              </w:rPr>
              <w:t>技术参数</w:t>
            </w:r>
          </w:p>
        </w:tc>
        <w:tc>
          <w:tcPr>
            <w:tcW w:w="2744" w:type="dxa"/>
            <w:vAlign w:val="center"/>
          </w:tcPr>
          <w:p>
            <w:pPr>
              <w:rPr>
                <w:rFonts w:ascii="宋体" w:hAnsi="宋体" w:cs="宋体"/>
                <w:color w:val="auto"/>
                <w:sz w:val="24"/>
                <w:szCs w:val="24"/>
                <w:highlight w:val="none"/>
              </w:rPr>
            </w:pPr>
            <w:r>
              <w:rPr>
                <w:rFonts w:hint="eastAsia" w:ascii="宋体" w:hAnsi="宋体" w:cs="宋体"/>
                <w:color w:val="auto"/>
                <w:sz w:val="24"/>
                <w:szCs w:val="24"/>
                <w:highlight w:val="none"/>
              </w:rPr>
              <w:t>技术参数</w:t>
            </w:r>
          </w:p>
        </w:tc>
        <w:tc>
          <w:tcPr>
            <w:tcW w:w="1973" w:type="dxa"/>
            <w:vMerge w:val="continue"/>
            <w:vAlign w:val="center"/>
          </w:tcPr>
          <w:p>
            <w:pPr>
              <w:widowControl/>
              <w:rPr>
                <w:rFonts w:ascii="宋体" w:hAnsi="宋体" w:cs="宋体"/>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16" w:type="dxa"/>
            <w:vAlign w:val="center"/>
          </w:tcPr>
          <w:p>
            <w:pPr>
              <w:rPr>
                <w:rFonts w:ascii="宋体" w:hAnsi="宋体" w:cs="宋体"/>
                <w:color w:val="auto"/>
                <w:sz w:val="24"/>
                <w:szCs w:val="24"/>
                <w:highlight w:val="none"/>
              </w:rPr>
            </w:pPr>
          </w:p>
        </w:tc>
        <w:tc>
          <w:tcPr>
            <w:tcW w:w="2227" w:type="dxa"/>
            <w:vAlign w:val="center"/>
          </w:tcPr>
          <w:p>
            <w:pPr>
              <w:rPr>
                <w:rFonts w:ascii="宋体" w:hAnsi="宋体" w:cs="宋体"/>
                <w:color w:val="auto"/>
                <w:sz w:val="24"/>
                <w:szCs w:val="24"/>
                <w:highlight w:val="none"/>
              </w:rPr>
            </w:pPr>
          </w:p>
        </w:tc>
        <w:tc>
          <w:tcPr>
            <w:tcW w:w="2082" w:type="dxa"/>
            <w:vAlign w:val="center"/>
          </w:tcPr>
          <w:p>
            <w:pPr>
              <w:rPr>
                <w:rFonts w:ascii="宋体" w:hAnsi="宋体" w:cs="宋体"/>
                <w:color w:val="auto"/>
                <w:w w:val="80"/>
                <w:sz w:val="24"/>
                <w:szCs w:val="24"/>
                <w:highlight w:val="none"/>
              </w:rPr>
            </w:pPr>
          </w:p>
        </w:tc>
        <w:tc>
          <w:tcPr>
            <w:tcW w:w="2744" w:type="dxa"/>
            <w:vAlign w:val="top"/>
          </w:tcPr>
          <w:p>
            <w:pPr>
              <w:rPr>
                <w:rFonts w:ascii="宋体" w:hAnsi="宋体" w:cs="宋体"/>
                <w:color w:val="auto"/>
                <w:sz w:val="24"/>
                <w:szCs w:val="24"/>
                <w:highlight w:val="none"/>
              </w:rPr>
            </w:pPr>
          </w:p>
        </w:tc>
        <w:tc>
          <w:tcPr>
            <w:tcW w:w="1973" w:type="dxa"/>
            <w:vAlign w:val="center"/>
          </w:tcPr>
          <w:p>
            <w:pPr>
              <w:rPr>
                <w:rFonts w:ascii="宋体" w:hAnsi="宋体" w:cs="宋体"/>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916" w:type="dxa"/>
            <w:vAlign w:val="center"/>
          </w:tcPr>
          <w:p>
            <w:pPr>
              <w:rPr>
                <w:rFonts w:ascii="宋体" w:hAnsi="宋体" w:cs="宋体"/>
                <w:color w:val="auto"/>
                <w:sz w:val="24"/>
                <w:szCs w:val="24"/>
                <w:highlight w:val="none"/>
              </w:rPr>
            </w:pPr>
          </w:p>
        </w:tc>
        <w:tc>
          <w:tcPr>
            <w:tcW w:w="2227" w:type="dxa"/>
            <w:vAlign w:val="center"/>
          </w:tcPr>
          <w:p>
            <w:pPr>
              <w:rPr>
                <w:rFonts w:ascii="宋体" w:hAnsi="宋体" w:cs="宋体"/>
                <w:color w:val="auto"/>
                <w:sz w:val="24"/>
                <w:szCs w:val="24"/>
                <w:highlight w:val="none"/>
              </w:rPr>
            </w:pPr>
          </w:p>
        </w:tc>
        <w:tc>
          <w:tcPr>
            <w:tcW w:w="2082" w:type="dxa"/>
            <w:vAlign w:val="top"/>
          </w:tcPr>
          <w:p>
            <w:pPr>
              <w:rPr>
                <w:rFonts w:ascii="宋体" w:hAnsi="宋体" w:cs="宋体"/>
                <w:color w:val="auto"/>
                <w:w w:val="80"/>
                <w:sz w:val="24"/>
                <w:szCs w:val="24"/>
                <w:highlight w:val="none"/>
              </w:rPr>
            </w:pPr>
          </w:p>
        </w:tc>
        <w:tc>
          <w:tcPr>
            <w:tcW w:w="2744" w:type="dxa"/>
            <w:vAlign w:val="top"/>
          </w:tcPr>
          <w:p>
            <w:pPr>
              <w:rPr>
                <w:rFonts w:ascii="宋体" w:hAnsi="宋体" w:cs="宋体"/>
                <w:color w:val="auto"/>
                <w:sz w:val="24"/>
                <w:szCs w:val="24"/>
                <w:highlight w:val="none"/>
              </w:rPr>
            </w:pPr>
          </w:p>
        </w:tc>
        <w:tc>
          <w:tcPr>
            <w:tcW w:w="1973" w:type="dxa"/>
            <w:vAlign w:val="center"/>
          </w:tcPr>
          <w:p>
            <w:pPr>
              <w:rPr>
                <w:rFonts w:ascii="宋体" w:hAnsi="宋体" w:cs="宋体"/>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16" w:type="dxa"/>
            <w:vAlign w:val="center"/>
          </w:tcPr>
          <w:p>
            <w:pPr>
              <w:rPr>
                <w:rFonts w:ascii="宋体" w:hAnsi="宋体" w:cs="宋体"/>
                <w:color w:val="auto"/>
                <w:sz w:val="24"/>
                <w:szCs w:val="24"/>
                <w:highlight w:val="none"/>
              </w:rPr>
            </w:pPr>
          </w:p>
        </w:tc>
        <w:tc>
          <w:tcPr>
            <w:tcW w:w="2227" w:type="dxa"/>
            <w:vAlign w:val="center"/>
          </w:tcPr>
          <w:p>
            <w:pPr>
              <w:rPr>
                <w:rFonts w:ascii="宋体" w:hAnsi="宋体" w:cs="宋体"/>
                <w:color w:val="auto"/>
                <w:sz w:val="24"/>
                <w:szCs w:val="24"/>
                <w:highlight w:val="none"/>
              </w:rPr>
            </w:pPr>
          </w:p>
        </w:tc>
        <w:tc>
          <w:tcPr>
            <w:tcW w:w="2082" w:type="dxa"/>
            <w:vAlign w:val="center"/>
          </w:tcPr>
          <w:p>
            <w:pPr>
              <w:rPr>
                <w:rFonts w:ascii="宋体" w:hAnsi="宋体" w:cs="宋体"/>
                <w:color w:val="auto"/>
                <w:w w:val="80"/>
                <w:sz w:val="24"/>
                <w:szCs w:val="24"/>
                <w:highlight w:val="none"/>
              </w:rPr>
            </w:pPr>
          </w:p>
        </w:tc>
        <w:tc>
          <w:tcPr>
            <w:tcW w:w="2744" w:type="dxa"/>
            <w:vAlign w:val="top"/>
          </w:tcPr>
          <w:p>
            <w:pPr>
              <w:rPr>
                <w:rFonts w:ascii="宋体" w:hAnsi="宋体" w:cs="宋体"/>
                <w:color w:val="auto"/>
                <w:sz w:val="24"/>
                <w:szCs w:val="24"/>
                <w:highlight w:val="none"/>
              </w:rPr>
            </w:pPr>
          </w:p>
        </w:tc>
        <w:tc>
          <w:tcPr>
            <w:tcW w:w="1973" w:type="dxa"/>
            <w:vAlign w:val="center"/>
          </w:tcPr>
          <w:p>
            <w:pPr>
              <w:rPr>
                <w:rFonts w:ascii="宋体" w:hAnsi="宋体" w:cs="宋体"/>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916" w:type="dxa"/>
            <w:vAlign w:val="center"/>
          </w:tcPr>
          <w:p>
            <w:pPr>
              <w:rPr>
                <w:rFonts w:ascii="宋体" w:hAnsi="宋体" w:cs="宋体"/>
                <w:color w:val="auto"/>
                <w:sz w:val="24"/>
                <w:szCs w:val="24"/>
                <w:highlight w:val="none"/>
              </w:rPr>
            </w:pPr>
          </w:p>
        </w:tc>
        <w:tc>
          <w:tcPr>
            <w:tcW w:w="2227" w:type="dxa"/>
            <w:vAlign w:val="center"/>
          </w:tcPr>
          <w:p>
            <w:pPr>
              <w:rPr>
                <w:rFonts w:ascii="宋体" w:hAnsi="宋体" w:cs="宋体"/>
                <w:color w:val="auto"/>
                <w:sz w:val="24"/>
                <w:szCs w:val="24"/>
                <w:highlight w:val="none"/>
              </w:rPr>
            </w:pPr>
          </w:p>
        </w:tc>
        <w:tc>
          <w:tcPr>
            <w:tcW w:w="2082" w:type="dxa"/>
            <w:vAlign w:val="top"/>
          </w:tcPr>
          <w:p>
            <w:pPr>
              <w:rPr>
                <w:rFonts w:ascii="宋体" w:hAnsi="宋体" w:cs="宋体"/>
                <w:color w:val="auto"/>
                <w:w w:val="80"/>
                <w:sz w:val="24"/>
                <w:szCs w:val="24"/>
                <w:highlight w:val="none"/>
              </w:rPr>
            </w:pPr>
          </w:p>
        </w:tc>
        <w:tc>
          <w:tcPr>
            <w:tcW w:w="2744" w:type="dxa"/>
            <w:vAlign w:val="top"/>
          </w:tcPr>
          <w:p>
            <w:pPr>
              <w:rPr>
                <w:rFonts w:ascii="宋体" w:hAnsi="宋体" w:cs="宋体"/>
                <w:color w:val="auto"/>
                <w:sz w:val="24"/>
                <w:szCs w:val="24"/>
                <w:highlight w:val="none"/>
              </w:rPr>
            </w:pPr>
          </w:p>
        </w:tc>
        <w:tc>
          <w:tcPr>
            <w:tcW w:w="1973" w:type="dxa"/>
            <w:vAlign w:val="center"/>
          </w:tcPr>
          <w:p>
            <w:pPr>
              <w:rPr>
                <w:rFonts w:ascii="宋体" w:hAnsi="宋体" w:cs="宋体"/>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16" w:type="dxa"/>
            <w:vAlign w:val="center"/>
          </w:tcPr>
          <w:p>
            <w:pPr>
              <w:rPr>
                <w:rFonts w:ascii="宋体" w:hAnsi="宋体" w:cs="宋体"/>
                <w:color w:val="auto"/>
                <w:sz w:val="24"/>
                <w:szCs w:val="24"/>
                <w:highlight w:val="none"/>
              </w:rPr>
            </w:pPr>
          </w:p>
        </w:tc>
        <w:tc>
          <w:tcPr>
            <w:tcW w:w="2227" w:type="dxa"/>
            <w:vAlign w:val="center"/>
          </w:tcPr>
          <w:p>
            <w:pPr>
              <w:rPr>
                <w:rFonts w:ascii="宋体" w:hAnsi="宋体" w:cs="宋体"/>
                <w:color w:val="auto"/>
                <w:sz w:val="24"/>
                <w:szCs w:val="24"/>
                <w:highlight w:val="none"/>
              </w:rPr>
            </w:pPr>
          </w:p>
        </w:tc>
        <w:tc>
          <w:tcPr>
            <w:tcW w:w="2082" w:type="dxa"/>
            <w:vAlign w:val="top"/>
          </w:tcPr>
          <w:p>
            <w:pPr>
              <w:rPr>
                <w:rFonts w:ascii="宋体" w:hAnsi="宋体" w:cs="宋体"/>
                <w:color w:val="auto"/>
                <w:w w:val="80"/>
                <w:sz w:val="24"/>
                <w:szCs w:val="24"/>
                <w:highlight w:val="none"/>
              </w:rPr>
            </w:pPr>
          </w:p>
        </w:tc>
        <w:tc>
          <w:tcPr>
            <w:tcW w:w="2744" w:type="dxa"/>
            <w:vAlign w:val="top"/>
          </w:tcPr>
          <w:p>
            <w:pPr>
              <w:rPr>
                <w:rFonts w:ascii="宋体" w:hAnsi="宋体" w:cs="宋体"/>
                <w:color w:val="auto"/>
                <w:sz w:val="24"/>
                <w:szCs w:val="24"/>
                <w:highlight w:val="none"/>
              </w:rPr>
            </w:pPr>
          </w:p>
        </w:tc>
        <w:tc>
          <w:tcPr>
            <w:tcW w:w="1973" w:type="dxa"/>
            <w:vAlign w:val="center"/>
          </w:tcPr>
          <w:p>
            <w:pPr>
              <w:rPr>
                <w:rFonts w:ascii="宋体" w:hAnsi="宋体" w:cs="宋体"/>
                <w:color w:val="auto"/>
                <w:sz w:val="24"/>
                <w:szCs w:val="24"/>
                <w:highlight w:val="none"/>
              </w:rPr>
            </w:pPr>
          </w:p>
        </w:tc>
      </w:tr>
    </w:tbl>
    <w:p>
      <w:pPr>
        <w:tabs>
          <w:tab w:val="left" w:pos="1815"/>
        </w:tabs>
        <w:snapToGrid w:val="0"/>
        <w:spacing w:line="360" w:lineRule="auto"/>
        <w:ind w:firstLine="482" w:firstLineChars="200"/>
        <w:rPr>
          <w:rFonts w:ascii="宋体" w:hAnsi="宋体" w:cs="宋体"/>
          <w:color w:val="auto"/>
          <w:sz w:val="24"/>
          <w:szCs w:val="24"/>
          <w:highlight w:val="none"/>
        </w:rPr>
      </w:pPr>
      <w:r>
        <w:rPr>
          <w:rFonts w:hint="eastAsia" w:ascii="宋体" w:hAnsi="宋体" w:cs="宋体"/>
          <w:b/>
          <w:bCs/>
          <w:color w:val="auto"/>
          <w:sz w:val="24"/>
          <w:szCs w:val="24"/>
          <w:highlight w:val="none"/>
        </w:rPr>
        <w:t>注：</w:t>
      </w:r>
      <w:r>
        <w:rPr>
          <w:rFonts w:hint="eastAsia" w:ascii="宋体" w:hAnsi="宋体" w:cs="宋体"/>
          <w:color w:val="auto"/>
          <w:sz w:val="24"/>
          <w:szCs w:val="24"/>
          <w:highlight w:val="none"/>
        </w:rPr>
        <w:t>1、供应商必须将自己所投产品或服务真实、准确地填入“供应商产品具体参数”中，不能只填写“响应”。如所投产品与“询价文件要求”的存在差异，须填写“偏离情况”，并将这些差异内容予以说明。</w:t>
      </w:r>
    </w:p>
    <w:p>
      <w:pPr>
        <w:tabs>
          <w:tab w:val="left" w:pos="1815"/>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2、如果供应商没有按前述要求去做，在项目评审中有可能被认为是未对询价文件作出实质上的响应，或被视作不诚信供应商而拒绝对其做进一步的评审。</w:t>
      </w:r>
    </w:p>
    <w:p>
      <w:pPr>
        <w:pStyle w:val="39"/>
        <w:spacing w:line="360" w:lineRule="auto"/>
        <w:ind w:firstLine="0" w:firstLineChars="0"/>
        <w:rPr>
          <w:rFonts w:ascii="宋体" w:hAnsi="宋体" w:cs="宋体"/>
          <w:color w:val="auto"/>
          <w:sz w:val="24"/>
          <w:szCs w:val="24"/>
          <w:highlight w:val="none"/>
        </w:rPr>
      </w:pPr>
      <w:bookmarkStart w:id="36" w:name="_Toc400805872"/>
      <w:bookmarkStart w:id="37" w:name="_Toc393705367"/>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、履行合同所必需的设备专业技术能力证明</w:t>
      </w:r>
      <w:bookmarkEnd w:id="36"/>
      <w:bookmarkEnd w:id="37"/>
    </w:p>
    <w:p>
      <w:pPr>
        <w:wordWrap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（1）服务本项目主要人员一览表</w:t>
      </w:r>
    </w:p>
    <w:tbl>
      <w:tblPr>
        <w:tblStyle w:val="18"/>
        <w:tblW w:w="988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080"/>
        <w:gridCol w:w="1080"/>
        <w:gridCol w:w="2108"/>
        <w:gridCol w:w="1300"/>
        <w:gridCol w:w="1500"/>
        <w:gridCol w:w="19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tcBorders>
              <w:top w:val="single" w:color="auto" w:sz="12" w:space="0"/>
            </w:tcBorders>
            <w:vAlign w:val="center"/>
          </w:tcPr>
          <w:p>
            <w:pPr>
              <w:wordWrap w:val="0"/>
              <w:rPr>
                <w:rFonts w:ascii="宋体" w:hAnsi="宋体" w:cs="宋体"/>
                <w:color w:val="auto"/>
                <w:sz w:val="24"/>
                <w:szCs w:val="24"/>
                <w:highlight w:val="none"/>
              </w:rPr>
            </w:pPr>
            <w:r>
              <w:rPr>
                <w:rFonts w:hint="eastAsia" w:ascii="宋体" w:hAnsi="宋体" w:cs="宋体"/>
                <w:color w:val="auto"/>
                <w:sz w:val="24"/>
                <w:szCs w:val="24"/>
                <w:highlight w:val="none"/>
              </w:rPr>
              <w:t>类别</w:t>
            </w:r>
          </w:p>
        </w:tc>
        <w:tc>
          <w:tcPr>
            <w:tcW w:w="1080" w:type="dxa"/>
            <w:vMerge w:val="restart"/>
            <w:tcBorders>
              <w:top w:val="single" w:color="auto" w:sz="12" w:space="0"/>
            </w:tcBorders>
            <w:vAlign w:val="center"/>
          </w:tcPr>
          <w:p>
            <w:pPr>
              <w:wordWrap w:val="0"/>
              <w:rPr>
                <w:rFonts w:ascii="宋体" w:hAnsi="宋体" w:cs="宋体"/>
                <w:color w:val="auto"/>
                <w:sz w:val="24"/>
                <w:szCs w:val="24"/>
                <w:highlight w:val="none"/>
              </w:rPr>
            </w:pPr>
            <w:r>
              <w:rPr>
                <w:rFonts w:hint="eastAsia" w:ascii="宋体" w:hAnsi="宋体" w:cs="宋体"/>
                <w:color w:val="auto"/>
                <w:sz w:val="24"/>
                <w:szCs w:val="24"/>
                <w:highlight w:val="none"/>
              </w:rPr>
              <w:t>姓名</w:t>
            </w:r>
          </w:p>
        </w:tc>
        <w:tc>
          <w:tcPr>
            <w:tcW w:w="1080" w:type="dxa"/>
            <w:vMerge w:val="restart"/>
            <w:tcBorders>
              <w:top w:val="single" w:color="auto" w:sz="12" w:space="0"/>
            </w:tcBorders>
            <w:vAlign w:val="center"/>
          </w:tcPr>
          <w:p>
            <w:pPr>
              <w:wordWrap w:val="0"/>
              <w:rPr>
                <w:rFonts w:ascii="宋体" w:hAnsi="宋体" w:cs="宋体"/>
                <w:color w:val="auto"/>
                <w:sz w:val="24"/>
                <w:szCs w:val="24"/>
                <w:highlight w:val="none"/>
              </w:rPr>
            </w:pPr>
            <w:r>
              <w:rPr>
                <w:rFonts w:hint="eastAsia" w:ascii="宋体" w:hAnsi="宋体" w:cs="宋体"/>
                <w:color w:val="auto"/>
                <w:sz w:val="24"/>
                <w:szCs w:val="24"/>
                <w:highlight w:val="none"/>
              </w:rPr>
              <w:t>职务</w:t>
            </w:r>
          </w:p>
        </w:tc>
        <w:tc>
          <w:tcPr>
            <w:tcW w:w="2108" w:type="dxa"/>
            <w:vMerge w:val="restart"/>
            <w:tcBorders>
              <w:top w:val="single" w:color="auto" w:sz="12" w:space="0"/>
            </w:tcBorders>
            <w:vAlign w:val="center"/>
          </w:tcPr>
          <w:p>
            <w:pPr>
              <w:wordWrap w:val="0"/>
              <w:rPr>
                <w:rFonts w:ascii="宋体" w:hAnsi="宋体" w:cs="宋体"/>
                <w:color w:val="auto"/>
                <w:sz w:val="24"/>
                <w:szCs w:val="24"/>
                <w:highlight w:val="none"/>
              </w:rPr>
            </w:pPr>
            <w:r>
              <w:rPr>
                <w:rFonts w:hint="eastAsia" w:ascii="宋体" w:hAnsi="宋体" w:cs="宋体"/>
                <w:color w:val="auto"/>
                <w:sz w:val="24"/>
                <w:szCs w:val="24"/>
                <w:highlight w:val="none"/>
              </w:rPr>
              <w:t>职称或执业资格</w:t>
            </w:r>
          </w:p>
        </w:tc>
        <w:tc>
          <w:tcPr>
            <w:tcW w:w="1300" w:type="dxa"/>
            <w:vMerge w:val="restart"/>
            <w:tcBorders>
              <w:top w:val="single" w:color="auto" w:sz="12" w:space="0"/>
            </w:tcBorders>
            <w:vAlign w:val="center"/>
          </w:tcPr>
          <w:p>
            <w:pPr>
              <w:wordWrap w:val="0"/>
              <w:rPr>
                <w:rFonts w:ascii="宋体" w:hAnsi="宋体" w:cs="宋体"/>
                <w:color w:val="auto"/>
                <w:sz w:val="24"/>
                <w:szCs w:val="24"/>
                <w:highlight w:val="none"/>
              </w:rPr>
            </w:pPr>
            <w:r>
              <w:rPr>
                <w:rFonts w:hint="eastAsia" w:ascii="宋体" w:hAnsi="宋体" w:cs="宋体"/>
                <w:color w:val="auto"/>
                <w:sz w:val="24"/>
                <w:szCs w:val="24"/>
                <w:highlight w:val="none"/>
              </w:rPr>
              <w:t>学历</w:t>
            </w:r>
          </w:p>
        </w:tc>
        <w:tc>
          <w:tcPr>
            <w:tcW w:w="3488" w:type="dxa"/>
            <w:gridSpan w:val="2"/>
            <w:tcBorders>
              <w:top w:val="single" w:color="auto" w:sz="12" w:space="0"/>
            </w:tcBorders>
            <w:vAlign w:val="center"/>
          </w:tcPr>
          <w:p>
            <w:pPr>
              <w:wordWrap w:val="0"/>
              <w:rPr>
                <w:rFonts w:ascii="宋体" w:hAnsi="宋体" w:cs="宋体"/>
                <w:color w:val="auto"/>
                <w:sz w:val="24"/>
                <w:szCs w:val="24"/>
                <w:highlight w:val="none"/>
              </w:rPr>
            </w:pPr>
            <w:r>
              <w:rPr>
                <w:rFonts w:hint="eastAsia" w:ascii="宋体" w:hAnsi="宋体" w:cs="宋体"/>
                <w:color w:val="auto"/>
                <w:sz w:val="24"/>
                <w:szCs w:val="24"/>
                <w:highlight w:val="none"/>
              </w:rPr>
              <w:t>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828" w:type="dxa"/>
            <w:vMerge w:val="continue"/>
            <w:vAlign w:val="center"/>
          </w:tcPr>
          <w:p>
            <w:pPr>
              <w:wordWrap w:val="0"/>
              <w:rPr>
                <w:rFonts w:ascii="宋体" w:hAnsi="宋体" w:cs="宋体"/>
                <w:color w:val="auto"/>
                <w:sz w:val="24"/>
                <w:szCs w:val="24"/>
                <w:highlight w:val="none"/>
              </w:rPr>
            </w:pPr>
          </w:p>
        </w:tc>
        <w:tc>
          <w:tcPr>
            <w:tcW w:w="1080" w:type="dxa"/>
            <w:vMerge w:val="continue"/>
            <w:vAlign w:val="center"/>
          </w:tcPr>
          <w:p>
            <w:pPr>
              <w:wordWrap w:val="0"/>
              <w:rPr>
                <w:rFonts w:ascii="宋体" w:hAnsi="宋体" w:cs="宋体"/>
                <w:color w:val="auto"/>
                <w:sz w:val="24"/>
                <w:szCs w:val="24"/>
                <w:highlight w:val="none"/>
              </w:rPr>
            </w:pPr>
          </w:p>
        </w:tc>
        <w:tc>
          <w:tcPr>
            <w:tcW w:w="1080" w:type="dxa"/>
            <w:vMerge w:val="continue"/>
            <w:vAlign w:val="center"/>
          </w:tcPr>
          <w:p>
            <w:pPr>
              <w:wordWrap w:val="0"/>
              <w:rPr>
                <w:rFonts w:ascii="宋体" w:hAnsi="宋体" w:cs="宋体"/>
                <w:color w:val="auto"/>
                <w:sz w:val="24"/>
                <w:szCs w:val="24"/>
                <w:highlight w:val="none"/>
              </w:rPr>
            </w:pPr>
          </w:p>
        </w:tc>
        <w:tc>
          <w:tcPr>
            <w:tcW w:w="2108" w:type="dxa"/>
            <w:vMerge w:val="continue"/>
            <w:vAlign w:val="center"/>
          </w:tcPr>
          <w:p>
            <w:pPr>
              <w:wordWrap w:val="0"/>
              <w:rPr>
                <w:rFonts w:ascii="宋体" w:hAnsi="宋体" w:cs="宋体"/>
                <w:color w:val="auto"/>
                <w:sz w:val="24"/>
                <w:szCs w:val="24"/>
                <w:highlight w:val="none"/>
              </w:rPr>
            </w:pPr>
          </w:p>
        </w:tc>
        <w:tc>
          <w:tcPr>
            <w:tcW w:w="1300" w:type="dxa"/>
            <w:vMerge w:val="continue"/>
            <w:vAlign w:val="center"/>
          </w:tcPr>
          <w:p>
            <w:pPr>
              <w:wordWrap w:val="0"/>
              <w:rPr>
                <w:rFonts w:ascii="宋体" w:hAnsi="宋体" w:cs="宋体"/>
                <w:color w:val="auto"/>
                <w:sz w:val="24"/>
                <w:szCs w:val="24"/>
                <w:highlight w:val="none"/>
              </w:rPr>
            </w:pPr>
          </w:p>
        </w:tc>
        <w:tc>
          <w:tcPr>
            <w:tcW w:w="1500" w:type="dxa"/>
            <w:vAlign w:val="center"/>
          </w:tcPr>
          <w:p>
            <w:pPr>
              <w:wordWrap w:val="0"/>
              <w:rPr>
                <w:rFonts w:ascii="宋体" w:hAnsi="宋体" w:cs="宋体"/>
                <w:color w:val="auto"/>
                <w:sz w:val="24"/>
                <w:szCs w:val="24"/>
                <w:highlight w:val="none"/>
              </w:rPr>
            </w:pPr>
            <w:r>
              <w:rPr>
                <w:rFonts w:hint="eastAsia" w:ascii="宋体" w:hAnsi="宋体" w:cs="宋体"/>
                <w:color w:val="auto"/>
                <w:sz w:val="24"/>
                <w:szCs w:val="24"/>
                <w:highlight w:val="none"/>
              </w:rPr>
              <w:t>名称</w:t>
            </w:r>
          </w:p>
        </w:tc>
        <w:tc>
          <w:tcPr>
            <w:tcW w:w="1988" w:type="dxa"/>
            <w:vAlign w:val="center"/>
          </w:tcPr>
          <w:p>
            <w:pPr>
              <w:wordWrap w:val="0"/>
              <w:rPr>
                <w:rFonts w:ascii="宋体" w:hAnsi="宋体" w:cs="宋体"/>
                <w:color w:val="auto"/>
                <w:sz w:val="24"/>
                <w:szCs w:val="24"/>
                <w:highlight w:val="none"/>
              </w:rPr>
            </w:pPr>
            <w:r>
              <w:rPr>
                <w:rFonts w:hint="eastAsia" w:ascii="宋体" w:hAnsi="宋体" w:cs="宋体"/>
                <w:color w:val="auto"/>
                <w:sz w:val="24"/>
                <w:szCs w:val="24"/>
                <w:highlight w:val="none"/>
              </w:rPr>
              <w:t>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828" w:type="dxa"/>
            <w:vMerge w:val="restart"/>
            <w:textDirection w:val="tbRlV"/>
            <w:vAlign w:val="center"/>
          </w:tcPr>
          <w:p>
            <w:pPr>
              <w:wordWrap w:val="0"/>
              <w:rPr>
                <w:rFonts w:ascii="宋体" w:hAnsi="宋体" w:cs="宋体"/>
                <w:color w:val="auto"/>
                <w:sz w:val="24"/>
                <w:szCs w:val="24"/>
                <w:highlight w:val="none"/>
              </w:rPr>
            </w:pPr>
            <w:r>
              <w:rPr>
                <w:rFonts w:hint="eastAsia" w:ascii="宋体" w:hAnsi="宋体" w:cs="宋体"/>
                <w:color w:val="auto"/>
                <w:sz w:val="24"/>
                <w:szCs w:val="24"/>
                <w:highlight w:val="none"/>
              </w:rPr>
              <w:t>管理人员</w:t>
            </w:r>
          </w:p>
        </w:tc>
        <w:tc>
          <w:tcPr>
            <w:tcW w:w="1080" w:type="dxa"/>
            <w:vAlign w:val="center"/>
          </w:tcPr>
          <w:p>
            <w:pPr>
              <w:wordWrap w:val="0"/>
              <w:rPr>
                <w:rFonts w:ascii="宋体" w:hAnsi="宋体" w:cs="宋体"/>
                <w:color w:val="auto"/>
                <w:sz w:val="24"/>
                <w:szCs w:val="24"/>
                <w:highlight w:val="none"/>
              </w:rPr>
            </w:pPr>
          </w:p>
        </w:tc>
        <w:tc>
          <w:tcPr>
            <w:tcW w:w="1080" w:type="dxa"/>
            <w:vAlign w:val="center"/>
          </w:tcPr>
          <w:p>
            <w:pPr>
              <w:wordWrap w:val="0"/>
              <w:rPr>
                <w:rFonts w:ascii="宋体" w:hAnsi="宋体" w:cs="宋体"/>
                <w:color w:val="auto"/>
                <w:sz w:val="24"/>
                <w:szCs w:val="24"/>
                <w:highlight w:val="none"/>
              </w:rPr>
            </w:pPr>
          </w:p>
        </w:tc>
        <w:tc>
          <w:tcPr>
            <w:tcW w:w="2108" w:type="dxa"/>
            <w:vAlign w:val="center"/>
          </w:tcPr>
          <w:p>
            <w:pPr>
              <w:wordWrap w:val="0"/>
              <w:rPr>
                <w:rFonts w:ascii="宋体" w:hAnsi="宋体" w:cs="宋体"/>
                <w:color w:val="auto"/>
                <w:sz w:val="24"/>
                <w:szCs w:val="24"/>
                <w:highlight w:val="none"/>
              </w:rPr>
            </w:pPr>
          </w:p>
        </w:tc>
        <w:tc>
          <w:tcPr>
            <w:tcW w:w="1300" w:type="dxa"/>
            <w:vAlign w:val="center"/>
          </w:tcPr>
          <w:p>
            <w:pPr>
              <w:wordWrap w:val="0"/>
              <w:rPr>
                <w:rFonts w:ascii="宋体" w:hAnsi="宋体" w:cs="宋体"/>
                <w:color w:val="auto"/>
                <w:sz w:val="24"/>
                <w:szCs w:val="24"/>
                <w:highlight w:val="none"/>
              </w:rPr>
            </w:pPr>
          </w:p>
        </w:tc>
        <w:tc>
          <w:tcPr>
            <w:tcW w:w="1500" w:type="dxa"/>
            <w:vAlign w:val="center"/>
          </w:tcPr>
          <w:p>
            <w:pPr>
              <w:wordWrap w:val="0"/>
              <w:rPr>
                <w:rFonts w:ascii="宋体" w:hAnsi="宋体" w:cs="宋体"/>
                <w:color w:val="auto"/>
                <w:sz w:val="24"/>
                <w:szCs w:val="24"/>
                <w:highlight w:val="none"/>
              </w:rPr>
            </w:pPr>
          </w:p>
        </w:tc>
        <w:tc>
          <w:tcPr>
            <w:tcW w:w="1988" w:type="dxa"/>
            <w:vAlign w:val="center"/>
          </w:tcPr>
          <w:p>
            <w:pPr>
              <w:wordWrap w:val="0"/>
              <w:rPr>
                <w:rFonts w:ascii="宋体" w:hAnsi="宋体" w:cs="宋体"/>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828" w:type="dxa"/>
            <w:vMerge w:val="continue"/>
            <w:vAlign w:val="center"/>
          </w:tcPr>
          <w:p>
            <w:pPr>
              <w:wordWrap w:val="0"/>
              <w:rPr>
                <w:rFonts w:ascii="宋体" w:hAnsi="宋体" w:cs="宋体"/>
                <w:color w:val="auto"/>
                <w:sz w:val="24"/>
                <w:szCs w:val="24"/>
                <w:highlight w:val="none"/>
              </w:rPr>
            </w:pPr>
          </w:p>
        </w:tc>
        <w:tc>
          <w:tcPr>
            <w:tcW w:w="1080" w:type="dxa"/>
            <w:vAlign w:val="center"/>
          </w:tcPr>
          <w:p>
            <w:pPr>
              <w:wordWrap w:val="0"/>
              <w:rPr>
                <w:rFonts w:ascii="宋体" w:hAnsi="宋体" w:cs="宋体"/>
                <w:color w:val="auto"/>
                <w:sz w:val="24"/>
                <w:szCs w:val="24"/>
                <w:highlight w:val="none"/>
              </w:rPr>
            </w:pPr>
          </w:p>
        </w:tc>
        <w:tc>
          <w:tcPr>
            <w:tcW w:w="1080" w:type="dxa"/>
            <w:vAlign w:val="center"/>
          </w:tcPr>
          <w:p>
            <w:pPr>
              <w:wordWrap w:val="0"/>
              <w:rPr>
                <w:rFonts w:ascii="宋体" w:hAnsi="宋体" w:cs="宋体"/>
                <w:color w:val="auto"/>
                <w:sz w:val="24"/>
                <w:szCs w:val="24"/>
                <w:highlight w:val="none"/>
              </w:rPr>
            </w:pPr>
          </w:p>
        </w:tc>
        <w:tc>
          <w:tcPr>
            <w:tcW w:w="2108" w:type="dxa"/>
            <w:vAlign w:val="center"/>
          </w:tcPr>
          <w:p>
            <w:pPr>
              <w:wordWrap w:val="0"/>
              <w:rPr>
                <w:rFonts w:ascii="宋体" w:hAnsi="宋体" w:cs="宋体"/>
                <w:color w:val="auto"/>
                <w:sz w:val="24"/>
                <w:szCs w:val="24"/>
                <w:highlight w:val="none"/>
              </w:rPr>
            </w:pPr>
          </w:p>
        </w:tc>
        <w:tc>
          <w:tcPr>
            <w:tcW w:w="1300" w:type="dxa"/>
            <w:vAlign w:val="center"/>
          </w:tcPr>
          <w:p>
            <w:pPr>
              <w:wordWrap w:val="0"/>
              <w:rPr>
                <w:rFonts w:ascii="宋体" w:hAnsi="宋体" w:cs="宋体"/>
                <w:color w:val="auto"/>
                <w:sz w:val="24"/>
                <w:szCs w:val="24"/>
                <w:highlight w:val="none"/>
              </w:rPr>
            </w:pPr>
          </w:p>
        </w:tc>
        <w:tc>
          <w:tcPr>
            <w:tcW w:w="1500" w:type="dxa"/>
            <w:vAlign w:val="center"/>
          </w:tcPr>
          <w:p>
            <w:pPr>
              <w:wordWrap w:val="0"/>
              <w:rPr>
                <w:rFonts w:ascii="宋体" w:hAnsi="宋体" w:cs="宋体"/>
                <w:color w:val="auto"/>
                <w:sz w:val="24"/>
                <w:szCs w:val="24"/>
                <w:highlight w:val="none"/>
              </w:rPr>
            </w:pPr>
          </w:p>
        </w:tc>
        <w:tc>
          <w:tcPr>
            <w:tcW w:w="1988" w:type="dxa"/>
            <w:vAlign w:val="center"/>
          </w:tcPr>
          <w:p>
            <w:pPr>
              <w:wordWrap w:val="0"/>
              <w:rPr>
                <w:rFonts w:ascii="宋体" w:hAnsi="宋体" w:cs="宋体"/>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jc w:val="center"/>
        </w:trPr>
        <w:tc>
          <w:tcPr>
            <w:tcW w:w="828" w:type="dxa"/>
            <w:vMerge w:val="continue"/>
            <w:vAlign w:val="center"/>
          </w:tcPr>
          <w:p>
            <w:pPr>
              <w:wordWrap w:val="0"/>
              <w:rPr>
                <w:rFonts w:ascii="宋体" w:hAnsi="宋体" w:cs="宋体"/>
                <w:color w:val="auto"/>
                <w:sz w:val="24"/>
                <w:szCs w:val="24"/>
                <w:highlight w:val="none"/>
              </w:rPr>
            </w:pPr>
          </w:p>
        </w:tc>
        <w:tc>
          <w:tcPr>
            <w:tcW w:w="1080" w:type="dxa"/>
            <w:vAlign w:val="center"/>
          </w:tcPr>
          <w:p>
            <w:pPr>
              <w:wordWrap w:val="0"/>
              <w:rPr>
                <w:rFonts w:ascii="宋体" w:hAnsi="宋体" w:cs="宋体"/>
                <w:color w:val="auto"/>
                <w:sz w:val="24"/>
                <w:szCs w:val="24"/>
                <w:highlight w:val="none"/>
              </w:rPr>
            </w:pPr>
          </w:p>
        </w:tc>
        <w:tc>
          <w:tcPr>
            <w:tcW w:w="1080" w:type="dxa"/>
            <w:vAlign w:val="center"/>
          </w:tcPr>
          <w:p>
            <w:pPr>
              <w:wordWrap w:val="0"/>
              <w:rPr>
                <w:rFonts w:ascii="宋体" w:hAnsi="宋体" w:cs="宋体"/>
                <w:color w:val="auto"/>
                <w:sz w:val="24"/>
                <w:szCs w:val="24"/>
                <w:highlight w:val="none"/>
              </w:rPr>
            </w:pPr>
          </w:p>
        </w:tc>
        <w:tc>
          <w:tcPr>
            <w:tcW w:w="2108" w:type="dxa"/>
            <w:vAlign w:val="center"/>
          </w:tcPr>
          <w:p>
            <w:pPr>
              <w:wordWrap w:val="0"/>
              <w:rPr>
                <w:rFonts w:ascii="宋体" w:hAnsi="宋体" w:cs="宋体"/>
                <w:color w:val="auto"/>
                <w:sz w:val="24"/>
                <w:szCs w:val="24"/>
                <w:highlight w:val="none"/>
              </w:rPr>
            </w:pPr>
          </w:p>
        </w:tc>
        <w:tc>
          <w:tcPr>
            <w:tcW w:w="1300" w:type="dxa"/>
            <w:vAlign w:val="center"/>
          </w:tcPr>
          <w:p>
            <w:pPr>
              <w:wordWrap w:val="0"/>
              <w:rPr>
                <w:rFonts w:ascii="宋体" w:hAnsi="宋体" w:cs="宋体"/>
                <w:color w:val="auto"/>
                <w:sz w:val="24"/>
                <w:szCs w:val="24"/>
                <w:highlight w:val="none"/>
              </w:rPr>
            </w:pPr>
          </w:p>
        </w:tc>
        <w:tc>
          <w:tcPr>
            <w:tcW w:w="1500" w:type="dxa"/>
            <w:vAlign w:val="center"/>
          </w:tcPr>
          <w:p>
            <w:pPr>
              <w:wordWrap w:val="0"/>
              <w:rPr>
                <w:rFonts w:ascii="宋体" w:hAnsi="宋体" w:cs="宋体"/>
                <w:color w:val="auto"/>
                <w:sz w:val="24"/>
                <w:szCs w:val="24"/>
                <w:highlight w:val="none"/>
              </w:rPr>
            </w:pPr>
          </w:p>
        </w:tc>
        <w:tc>
          <w:tcPr>
            <w:tcW w:w="1988" w:type="dxa"/>
            <w:vAlign w:val="center"/>
          </w:tcPr>
          <w:p>
            <w:pPr>
              <w:wordWrap w:val="0"/>
              <w:rPr>
                <w:rFonts w:ascii="宋体" w:hAnsi="宋体" w:cs="宋体"/>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1" w:hRule="atLeast"/>
          <w:jc w:val="center"/>
        </w:trPr>
        <w:tc>
          <w:tcPr>
            <w:tcW w:w="828" w:type="dxa"/>
            <w:vMerge w:val="restart"/>
            <w:textDirection w:val="tbRlV"/>
            <w:vAlign w:val="center"/>
          </w:tcPr>
          <w:p>
            <w:pPr>
              <w:wordWrap w:val="0"/>
              <w:rPr>
                <w:rFonts w:ascii="宋体" w:hAnsi="宋体" w:cs="宋体"/>
                <w:color w:val="auto"/>
                <w:sz w:val="24"/>
                <w:szCs w:val="24"/>
                <w:highlight w:val="none"/>
              </w:rPr>
            </w:pPr>
            <w:r>
              <w:rPr>
                <w:rFonts w:hint="eastAsia" w:ascii="宋体" w:hAnsi="宋体" w:cs="宋体"/>
                <w:color w:val="auto"/>
                <w:sz w:val="24"/>
                <w:szCs w:val="24"/>
                <w:highlight w:val="none"/>
              </w:rPr>
              <w:t>技术人员</w:t>
            </w:r>
          </w:p>
        </w:tc>
        <w:tc>
          <w:tcPr>
            <w:tcW w:w="1080" w:type="dxa"/>
            <w:vAlign w:val="center"/>
          </w:tcPr>
          <w:p>
            <w:pPr>
              <w:wordWrap w:val="0"/>
              <w:rPr>
                <w:rFonts w:ascii="宋体" w:hAnsi="宋体" w:cs="宋体"/>
                <w:color w:val="auto"/>
                <w:sz w:val="24"/>
                <w:szCs w:val="24"/>
                <w:highlight w:val="none"/>
              </w:rPr>
            </w:pPr>
          </w:p>
        </w:tc>
        <w:tc>
          <w:tcPr>
            <w:tcW w:w="1080" w:type="dxa"/>
            <w:vAlign w:val="center"/>
          </w:tcPr>
          <w:p>
            <w:pPr>
              <w:wordWrap w:val="0"/>
              <w:rPr>
                <w:rFonts w:ascii="宋体" w:hAnsi="宋体" w:cs="宋体"/>
                <w:color w:val="auto"/>
                <w:sz w:val="24"/>
                <w:szCs w:val="24"/>
                <w:highlight w:val="none"/>
              </w:rPr>
            </w:pPr>
          </w:p>
        </w:tc>
        <w:tc>
          <w:tcPr>
            <w:tcW w:w="2108" w:type="dxa"/>
            <w:vAlign w:val="center"/>
          </w:tcPr>
          <w:p>
            <w:pPr>
              <w:wordWrap w:val="0"/>
              <w:rPr>
                <w:rFonts w:ascii="宋体" w:hAnsi="宋体" w:cs="宋体"/>
                <w:color w:val="auto"/>
                <w:sz w:val="24"/>
                <w:szCs w:val="24"/>
                <w:highlight w:val="none"/>
              </w:rPr>
            </w:pPr>
          </w:p>
        </w:tc>
        <w:tc>
          <w:tcPr>
            <w:tcW w:w="1300" w:type="dxa"/>
            <w:vAlign w:val="center"/>
          </w:tcPr>
          <w:p>
            <w:pPr>
              <w:wordWrap w:val="0"/>
              <w:rPr>
                <w:rFonts w:ascii="宋体" w:hAnsi="宋体" w:cs="宋体"/>
                <w:color w:val="auto"/>
                <w:sz w:val="24"/>
                <w:szCs w:val="24"/>
                <w:highlight w:val="none"/>
              </w:rPr>
            </w:pPr>
          </w:p>
        </w:tc>
        <w:tc>
          <w:tcPr>
            <w:tcW w:w="1500" w:type="dxa"/>
            <w:vAlign w:val="center"/>
          </w:tcPr>
          <w:p>
            <w:pPr>
              <w:wordWrap w:val="0"/>
              <w:rPr>
                <w:rFonts w:ascii="宋体" w:hAnsi="宋体" w:cs="宋体"/>
                <w:color w:val="auto"/>
                <w:sz w:val="24"/>
                <w:szCs w:val="24"/>
                <w:highlight w:val="none"/>
              </w:rPr>
            </w:pPr>
          </w:p>
        </w:tc>
        <w:tc>
          <w:tcPr>
            <w:tcW w:w="1988" w:type="dxa"/>
            <w:vAlign w:val="center"/>
          </w:tcPr>
          <w:p>
            <w:pPr>
              <w:wordWrap w:val="0"/>
              <w:rPr>
                <w:rFonts w:ascii="宋体" w:hAnsi="宋体" w:cs="宋体"/>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9" w:hRule="atLeast"/>
          <w:jc w:val="center"/>
        </w:trPr>
        <w:tc>
          <w:tcPr>
            <w:tcW w:w="828" w:type="dxa"/>
            <w:vMerge w:val="continue"/>
            <w:vAlign w:val="center"/>
          </w:tcPr>
          <w:p>
            <w:pPr>
              <w:wordWrap w:val="0"/>
              <w:rPr>
                <w:rFonts w:ascii="宋体" w:hAnsi="宋体" w:cs="宋体"/>
                <w:color w:val="auto"/>
                <w:sz w:val="24"/>
                <w:szCs w:val="24"/>
                <w:highlight w:val="none"/>
              </w:rPr>
            </w:pPr>
          </w:p>
        </w:tc>
        <w:tc>
          <w:tcPr>
            <w:tcW w:w="1080" w:type="dxa"/>
            <w:vAlign w:val="center"/>
          </w:tcPr>
          <w:p>
            <w:pPr>
              <w:wordWrap w:val="0"/>
              <w:rPr>
                <w:rFonts w:ascii="宋体" w:hAnsi="宋体" w:cs="宋体"/>
                <w:color w:val="auto"/>
                <w:sz w:val="24"/>
                <w:szCs w:val="24"/>
                <w:highlight w:val="none"/>
              </w:rPr>
            </w:pPr>
          </w:p>
        </w:tc>
        <w:tc>
          <w:tcPr>
            <w:tcW w:w="1080" w:type="dxa"/>
            <w:vAlign w:val="center"/>
          </w:tcPr>
          <w:p>
            <w:pPr>
              <w:wordWrap w:val="0"/>
              <w:rPr>
                <w:rFonts w:ascii="宋体" w:hAnsi="宋体" w:cs="宋体"/>
                <w:color w:val="auto"/>
                <w:sz w:val="24"/>
                <w:szCs w:val="24"/>
                <w:highlight w:val="none"/>
              </w:rPr>
            </w:pPr>
          </w:p>
        </w:tc>
        <w:tc>
          <w:tcPr>
            <w:tcW w:w="2108" w:type="dxa"/>
            <w:vAlign w:val="center"/>
          </w:tcPr>
          <w:p>
            <w:pPr>
              <w:wordWrap w:val="0"/>
              <w:rPr>
                <w:rFonts w:ascii="宋体" w:hAnsi="宋体" w:cs="宋体"/>
                <w:color w:val="auto"/>
                <w:sz w:val="24"/>
                <w:szCs w:val="24"/>
                <w:highlight w:val="none"/>
              </w:rPr>
            </w:pPr>
          </w:p>
        </w:tc>
        <w:tc>
          <w:tcPr>
            <w:tcW w:w="1300" w:type="dxa"/>
            <w:vAlign w:val="center"/>
          </w:tcPr>
          <w:p>
            <w:pPr>
              <w:wordWrap w:val="0"/>
              <w:rPr>
                <w:rFonts w:ascii="宋体" w:hAnsi="宋体" w:cs="宋体"/>
                <w:color w:val="auto"/>
                <w:sz w:val="24"/>
                <w:szCs w:val="24"/>
                <w:highlight w:val="none"/>
              </w:rPr>
            </w:pPr>
          </w:p>
        </w:tc>
        <w:tc>
          <w:tcPr>
            <w:tcW w:w="1500" w:type="dxa"/>
            <w:vAlign w:val="center"/>
          </w:tcPr>
          <w:p>
            <w:pPr>
              <w:wordWrap w:val="0"/>
              <w:rPr>
                <w:rFonts w:ascii="宋体" w:hAnsi="宋体" w:cs="宋体"/>
                <w:color w:val="auto"/>
                <w:sz w:val="24"/>
                <w:szCs w:val="24"/>
                <w:highlight w:val="none"/>
              </w:rPr>
            </w:pPr>
          </w:p>
        </w:tc>
        <w:tc>
          <w:tcPr>
            <w:tcW w:w="1988" w:type="dxa"/>
            <w:vAlign w:val="center"/>
          </w:tcPr>
          <w:p>
            <w:pPr>
              <w:wordWrap w:val="0"/>
              <w:rPr>
                <w:rFonts w:ascii="宋体" w:hAnsi="宋体" w:cs="宋体"/>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828" w:type="dxa"/>
            <w:vMerge w:val="continue"/>
            <w:vAlign w:val="center"/>
          </w:tcPr>
          <w:p>
            <w:pPr>
              <w:wordWrap w:val="0"/>
              <w:rPr>
                <w:rFonts w:ascii="宋体" w:hAnsi="宋体" w:cs="宋体"/>
                <w:color w:val="auto"/>
                <w:sz w:val="24"/>
                <w:szCs w:val="24"/>
                <w:highlight w:val="none"/>
              </w:rPr>
            </w:pPr>
          </w:p>
        </w:tc>
        <w:tc>
          <w:tcPr>
            <w:tcW w:w="1080" w:type="dxa"/>
            <w:vAlign w:val="center"/>
          </w:tcPr>
          <w:p>
            <w:pPr>
              <w:wordWrap w:val="0"/>
              <w:rPr>
                <w:rFonts w:ascii="宋体" w:hAnsi="宋体" w:cs="宋体"/>
                <w:color w:val="auto"/>
                <w:sz w:val="24"/>
                <w:szCs w:val="24"/>
                <w:highlight w:val="none"/>
              </w:rPr>
            </w:pPr>
          </w:p>
        </w:tc>
        <w:tc>
          <w:tcPr>
            <w:tcW w:w="1080" w:type="dxa"/>
            <w:vAlign w:val="center"/>
          </w:tcPr>
          <w:p>
            <w:pPr>
              <w:wordWrap w:val="0"/>
              <w:rPr>
                <w:rFonts w:ascii="宋体" w:hAnsi="宋体" w:cs="宋体"/>
                <w:color w:val="auto"/>
                <w:sz w:val="24"/>
                <w:szCs w:val="24"/>
                <w:highlight w:val="none"/>
              </w:rPr>
            </w:pPr>
          </w:p>
        </w:tc>
        <w:tc>
          <w:tcPr>
            <w:tcW w:w="2108" w:type="dxa"/>
            <w:vAlign w:val="center"/>
          </w:tcPr>
          <w:p>
            <w:pPr>
              <w:wordWrap w:val="0"/>
              <w:rPr>
                <w:rFonts w:ascii="宋体" w:hAnsi="宋体" w:cs="宋体"/>
                <w:color w:val="auto"/>
                <w:sz w:val="24"/>
                <w:szCs w:val="24"/>
                <w:highlight w:val="none"/>
              </w:rPr>
            </w:pPr>
          </w:p>
        </w:tc>
        <w:tc>
          <w:tcPr>
            <w:tcW w:w="1300" w:type="dxa"/>
            <w:vAlign w:val="center"/>
          </w:tcPr>
          <w:p>
            <w:pPr>
              <w:wordWrap w:val="0"/>
              <w:rPr>
                <w:rFonts w:ascii="宋体" w:hAnsi="宋体" w:cs="宋体"/>
                <w:color w:val="auto"/>
                <w:sz w:val="24"/>
                <w:szCs w:val="24"/>
                <w:highlight w:val="none"/>
              </w:rPr>
            </w:pPr>
          </w:p>
        </w:tc>
        <w:tc>
          <w:tcPr>
            <w:tcW w:w="1500" w:type="dxa"/>
            <w:vAlign w:val="center"/>
          </w:tcPr>
          <w:p>
            <w:pPr>
              <w:wordWrap w:val="0"/>
              <w:rPr>
                <w:rFonts w:ascii="宋体" w:hAnsi="宋体" w:cs="宋体"/>
                <w:color w:val="auto"/>
                <w:sz w:val="24"/>
                <w:szCs w:val="24"/>
                <w:highlight w:val="none"/>
              </w:rPr>
            </w:pPr>
          </w:p>
        </w:tc>
        <w:tc>
          <w:tcPr>
            <w:tcW w:w="1988" w:type="dxa"/>
            <w:vAlign w:val="center"/>
          </w:tcPr>
          <w:p>
            <w:pPr>
              <w:wordWrap w:val="0"/>
              <w:rPr>
                <w:rFonts w:ascii="宋体" w:hAnsi="宋体" w:cs="宋体"/>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828" w:type="dxa"/>
            <w:vMerge w:val="restart"/>
            <w:vAlign w:val="center"/>
          </w:tcPr>
          <w:p>
            <w:pPr>
              <w:wordWrap w:val="0"/>
              <w:rPr>
                <w:rFonts w:ascii="宋体" w:hAnsi="宋体" w:cs="宋体"/>
                <w:color w:val="auto"/>
                <w:sz w:val="24"/>
                <w:szCs w:val="24"/>
                <w:highlight w:val="none"/>
              </w:rPr>
            </w:pPr>
            <w:r>
              <w:rPr>
                <w:rFonts w:hint="eastAsia" w:ascii="宋体" w:hAnsi="宋体" w:cs="宋体"/>
                <w:color w:val="auto"/>
                <w:sz w:val="24"/>
                <w:szCs w:val="24"/>
                <w:highlight w:val="none"/>
              </w:rPr>
              <w:t>其它</w:t>
            </w:r>
          </w:p>
        </w:tc>
        <w:tc>
          <w:tcPr>
            <w:tcW w:w="1080" w:type="dxa"/>
            <w:vAlign w:val="center"/>
          </w:tcPr>
          <w:p>
            <w:pPr>
              <w:wordWrap w:val="0"/>
              <w:rPr>
                <w:rFonts w:ascii="宋体" w:hAnsi="宋体" w:cs="宋体"/>
                <w:color w:val="auto"/>
                <w:sz w:val="24"/>
                <w:szCs w:val="24"/>
                <w:highlight w:val="none"/>
              </w:rPr>
            </w:pPr>
          </w:p>
        </w:tc>
        <w:tc>
          <w:tcPr>
            <w:tcW w:w="1080" w:type="dxa"/>
            <w:vAlign w:val="center"/>
          </w:tcPr>
          <w:p>
            <w:pPr>
              <w:wordWrap w:val="0"/>
              <w:rPr>
                <w:rFonts w:ascii="宋体" w:hAnsi="宋体" w:cs="宋体"/>
                <w:color w:val="auto"/>
                <w:sz w:val="24"/>
                <w:szCs w:val="24"/>
                <w:highlight w:val="none"/>
              </w:rPr>
            </w:pPr>
          </w:p>
        </w:tc>
        <w:tc>
          <w:tcPr>
            <w:tcW w:w="2108" w:type="dxa"/>
            <w:vAlign w:val="center"/>
          </w:tcPr>
          <w:p>
            <w:pPr>
              <w:wordWrap w:val="0"/>
              <w:rPr>
                <w:rFonts w:ascii="宋体" w:hAnsi="宋体" w:cs="宋体"/>
                <w:color w:val="auto"/>
                <w:sz w:val="24"/>
                <w:szCs w:val="24"/>
                <w:highlight w:val="none"/>
              </w:rPr>
            </w:pPr>
          </w:p>
        </w:tc>
        <w:tc>
          <w:tcPr>
            <w:tcW w:w="1300" w:type="dxa"/>
            <w:vAlign w:val="center"/>
          </w:tcPr>
          <w:p>
            <w:pPr>
              <w:wordWrap w:val="0"/>
              <w:rPr>
                <w:rFonts w:ascii="宋体" w:hAnsi="宋体" w:cs="宋体"/>
                <w:color w:val="auto"/>
                <w:sz w:val="24"/>
                <w:szCs w:val="24"/>
                <w:highlight w:val="none"/>
              </w:rPr>
            </w:pPr>
          </w:p>
        </w:tc>
        <w:tc>
          <w:tcPr>
            <w:tcW w:w="1500" w:type="dxa"/>
            <w:vAlign w:val="center"/>
          </w:tcPr>
          <w:p>
            <w:pPr>
              <w:wordWrap w:val="0"/>
              <w:rPr>
                <w:rFonts w:ascii="宋体" w:hAnsi="宋体" w:cs="宋体"/>
                <w:color w:val="auto"/>
                <w:sz w:val="24"/>
                <w:szCs w:val="24"/>
                <w:highlight w:val="none"/>
              </w:rPr>
            </w:pPr>
          </w:p>
        </w:tc>
        <w:tc>
          <w:tcPr>
            <w:tcW w:w="1988" w:type="dxa"/>
            <w:vAlign w:val="center"/>
          </w:tcPr>
          <w:p>
            <w:pPr>
              <w:wordWrap w:val="0"/>
              <w:rPr>
                <w:rFonts w:ascii="宋体" w:hAnsi="宋体" w:cs="宋体"/>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28" w:type="dxa"/>
            <w:vMerge w:val="continue"/>
            <w:tcBorders>
              <w:bottom w:val="single" w:color="auto" w:sz="12" w:space="0"/>
            </w:tcBorders>
            <w:vAlign w:val="center"/>
          </w:tcPr>
          <w:p>
            <w:pPr>
              <w:wordWrap w:val="0"/>
              <w:rPr>
                <w:rFonts w:ascii="宋体" w:hAnsi="宋体" w:cs="宋体"/>
                <w:color w:val="auto"/>
                <w:sz w:val="24"/>
                <w:szCs w:val="24"/>
                <w:highlight w:val="none"/>
              </w:rPr>
            </w:pPr>
          </w:p>
        </w:tc>
        <w:tc>
          <w:tcPr>
            <w:tcW w:w="1080" w:type="dxa"/>
            <w:tcBorders>
              <w:bottom w:val="single" w:color="auto" w:sz="12" w:space="0"/>
            </w:tcBorders>
            <w:vAlign w:val="center"/>
          </w:tcPr>
          <w:p>
            <w:pPr>
              <w:wordWrap w:val="0"/>
              <w:rPr>
                <w:rFonts w:ascii="宋体" w:hAnsi="宋体" w:cs="宋体"/>
                <w:color w:val="auto"/>
                <w:sz w:val="24"/>
                <w:szCs w:val="24"/>
                <w:highlight w:val="none"/>
              </w:rPr>
            </w:pPr>
          </w:p>
        </w:tc>
        <w:tc>
          <w:tcPr>
            <w:tcW w:w="1080" w:type="dxa"/>
            <w:tcBorders>
              <w:bottom w:val="single" w:color="auto" w:sz="12" w:space="0"/>
            </w:tcBorders>
            <w:vAlign w:val="center"/>
          </w:tcPr>
          <w:p>
            <w:pPr>
              <w:wordWrap w:val="0"/>
              <w:rPr>
                <w:rFonts w:ascii="宋体" w:hAnsi="宋体" w:cs="宋体"/>
                <w:color w:val="auto"/>
                <w:sz w:val="24"/>
                <w:szCs w:val="24"/>
                <w:highlight w:val="none"/>
              </w:rPr>
            </w:pPr>
          </w:p>
        </w:tc>
        <w:tc>
          <w:tcPr>
            <w:tcW w:w="2108" w:type="dxa"/>
            <w:tcBorders>
              <w:bottom w:val="single" w:color="auto" w:sz="12" w:space="0"/>
            </w:tcBorders>
            <w:vAlign w:val="center"/>
          </w:tcPr>
          <w:p>
            <w:pPr>
              <w:wordWrap w:val="0"/>
              <w:rPr>
                <w:rFonts w:ascii="宋体" w:hAnsi="宋体" w:cs="宋体"/>
                <w:color w:val="auto"/>
                <w:sz w:val="24"/>
                <w:szCs w:val="24"/>
                <w:highlight w:val="none"/>
              </w:rPr>
            </w:pPr>
          </w:p>
        </w:tc>
        <w:tc>
          <w:tcPr>
            <w:tcW w:w="1300" w:type="dxa"/>
            <w:tcBorders>
              <w:bottom w:val="single" w:color="auto" w:sz="12" w:space="0"/>
            </w:tcBorders>
            <w:vAlign w:val="center"/>
          </w:tcPr>
          <w:p>
            <w:pPr>
              <w:wordWrap w:val="0"/>
              <w:rPr>
                <w:rFonts w:ascii="宋体" w:hAnsi="宋体" w:cs="宋体"/>
                <w:color w:val="auto"/>
                <w:sz w:val="24"/>
                <w:szCs w:val="24"/>
                <w:highlight w:val="none"/>
              </w:rPr>
            </w:pPr>
          </w:p>
        </w:tc>
        <w:tc>
          <w:tcPr>
            <w:tcW w:w="1500" w:type="dxa"/>
            <w:tcBorders>
              <w:bottom w:val="single" w:color="auto" w:sz="12" w:space="0"/>
            </w:tcBorders>
            <w:vAlign w:val="center"/>
          </w:tcPr>
          <w:p>
            <w:pPr>
              <w:wordWrap w:val="0"/>
              <w:rPr>
                <w:rFonts w:ascii="宋体" w:hAnsi="宋体" w:cs="宋体"/>
                <w:color w:val="auto"/>
                <w:sz w:val="24"/>
                <w:szCs w:val="24"/>
                <w:highlight w:val="none"/>
              </w:rPr>
            </w:pPr>
          </w:p>
        </w:tc>
        <w:tc>
          <w:tcPr>
            <w:tcW w:w="1988" w:type="dxa"/>
            <w:tcBorders>
              <w:bottom w:val="single" w:color="auto" w:sz="12" w:space="0"/>
            </w:tcBorders>
            <w:vAlign w:val="center"/>
          </w:tcPr>
          <w:p>
            <w:pPr>
              <w:wordWrap w:val="0"/>
              <w:rPr>
                <w:rFonts w:ascii="宋体" w:hAnsi="宋体" w:cs="宋体"/>
                <w:color w:val="auto"/>
                <w:sz w:val="24"/>
                <w:szCs w:val="24"/>
                <w:highlight w:val="none"/>
              </w:rPr>
            </w:pPr>
          </w:p>
        </w:tc>
      </w:tr>
    </w:tbl>
    <w:p>
      <w:pPr>
        <w:wordWrap w:val="0"/>
        <w:rPr>
          <w:rFonts w:ascii="宋体" w:hAnsi="宋体" w:cs="宋体"/>
          <w:color w:val="auto"/>
          <w:sz w:val="24"/>
          <w:szCs w:val="24"/>
          <w:highlight w:val="none"/>
        </w:rPr>
      </w:pPr>
      <w:r>
        <w:rPr>
          <w:rFonts w:hint="eastAsia" w:ascii="宋体" w:hAnsi="宋体" w:cs="宋体"/>
          <w:color w:val="auto"/>
          <w:sz w:val="24"/>
          <w:szCs w:val="24"/>
          <w:highlight w:val="none"/>
        </w:rPr>
        <w:t>注：证件应附复印件或影印件，供应商对其真实性负法律责任。</w:t>
      </w:r>
    </w:p>
    <w:p>
      <w:pPr>
        <w:pStyle w:val="39"/>
        <w:ind w:firstLine="0" w:firstLineChars="0"/>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（2）其它证明。</w:t>
      </w:r>
    </w:p>
    <w:p>
      <w:pPr>
        <w:spacing w:line="440" w:lineRule="exact"/>
        <w:rPr>
          <w:rFonts w:ascii="宋体" w:hAnsi="宋体" w:cs="宋体"/>
          <w:color w:val="auto"/>
          <w:sz w:val="24"/>
          <w:szCs w:val="24"/>
          <w:highlight w:val="none"/>
        </w:rPr>
      </w:pPr>
      <w:bookmarkStart w:id="38" w:name="_Toc393705369"/>
      <w:bookmarkStart w:id="39" w:name="_Toc400805873"/>
    </w:p>
    <w:p>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、质保及售后服务</w:t>
      </w:r>
    </w:p>
    <w:p>
      <w:pPr>
        <w:spacing w:line="440" w:lineRule="exact"/>
        <w:ind w:firstLine="460" w:firstLineChars="192"/>
        <w:rPr>
          <w:rFonts w:ascii="宋体" w:hAnsi="宋体" w:cs="宋体"/>
          <w:color w:val="auto"/>
          <w:sz w:val="24"/>
          <w:szCs w:val="24"/>
          <w:highlight w:val="none"/>
        </w:rPr>
      </w:pPr>
      <w:r>
        <w:rPr>
          <w:rFonts w:hint="eastAsia" w:ascii="宋体" w:hAnsi="宋体" w:cs="宋体"/>
          <w:color w:val="auto"/>
          <w:sz w:val="24"/>
          <w:szCs w:val="24"/>
          <w:highlight w:val="none"/>
        </w:rPr>
        <w:t>1、承诺的质保内容</w:t>
      </w:r>
    </w:p>
    <w:p>
      <w:pPr>
        <w:spacing w:line="440" w:lineRule="exact"/>
        <w:ind w:firstLine="460" w:firstLineChars="192"/>
        <w:rPr>
          <w:rFonts w:ascii="宋体" w:hAnsi="宋体" w:cs="宋体"/>
          <w:color w:val="auto"/>
          <w:sz w:val="24"/>
          <w:szCs w:val="24"/>
          <w:highlight w:val="none"/>
        </w:rPr>
      </w:pPr>
      <w:r>
        <w:rPr>
          <w:rFonts w:hint="eastAsia" w:ascii="宋体" w:hAnsi="宋体" w:cs="宋体"/>
          <w:color w:val="auto"/>
          <w:sz w:val="24"/>
          <w:szCs w:val="24"/>
          <w:highlight w:val="none"/>
        </w:rPr>
        <w:t>2、货物免费质保期一览表（如果不同的部件质保期不同，应分别列明）</w:t>
      </w:r>
    </w:p>
    <w:tbl>
      <w:tblPr>
        <w:tblStyle w:val="18"/>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1060"/>
        <w:gridCol w:w="945"/>
        <w:gridCol w:w="1598"/>
        <w:gridCol w:w="2250"/>
        <w:gridCol w:w="1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5" w:type="dxa"/>
            <w:vAlign w:val="center"/>
          </w:tcPr>
          <w:p>
            <w:pPr>
              <w:pStyle w:val="10"/>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1060" w:type="dxa"/>
            <w:vAlign w:val="center"/>
          </w:tcPr>
          <w:p>
            <w:pPr>
              <w:pStyle w:val="10"/>
              <w:spacing w:line="400" w:lineRule="exact"/>
              <w:ind w:left="87"/>
              <w:jc w:val="center"/>
              <w:rPr>
                <w:rFonts w:ascii="宋体" w:hAnsi="宋体" w:cs="宋体"/>
                <w:color w:val="auto"/>
                <w:sz w:val="24"/>
                <w:szCs w:val="24"/>
                <w:highlight w:val="none"/>
              </w:rPr>
            </w:pPr>
            <w:r>
              <w:rPr>
                <w:rFonts w:hint="eastAsia" w:ascii="宋体" w:hAnsi="宋体" w:cs="宋体"/>
                <w:color w:val="auto"/>
                <w:sz w:val="24"/>
                <w:szCs w:val="24"/>
                <w:highlight w:val="none"/>
              </w:rPr>
              <w:t>名称</w:t>
            </w:r>
          </w:p>
        </w:tc>
        <w:tc>
          <w:tcPr>
            <w:tcW w:w="945" w:type="dxa"/>
            <w:vAlign w:val="center"/>
          </w:tcPr>
          <w:p>
            <w:pPr>
              <w:pStyle w:val="10"/>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品牌</w:t>
            </w:r>
          </w:p>
        </w:tc>
        <w:tc>
          <w:tcPr>
            <w:tcW w:w="1598" w:type="dxa"/>
            <w:vAlign w:val="center"/>
          </w:tcPr>
          <w:p>
            <w:pPr>
              <w:pStyle w:val="10"/>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规格型号</w:t>
            </w:r>
          </w:p>
        </w:tc>
        <w:tc>
          <w:tcPr>
            <w:tcW w:w="2250" w:type="dxa"/>
            <w:vAlign w:val="center"/>
          </w:tcPr>
          <w:p>
            <w:pPr>
              <w:pStyle w:val="10"/>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生产制造厂家</w:t>
            </w:r>
          </w:p>
        </w:tc>
        <w:tc>
          <w:tcPr>
            <w:tcW w:w="1922" w:type="dxa"/>
            <w:vAlign w:val="center"/>
          </w:tcPr>
          <w:p>
            <w:pPr>
              <w:pStyle w:val="10"/>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免费质保期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5" w:type="dxa"/>
            <w:vAlign w:val="center"/>
          </w:tcPr>
          <w:p>
            <w:pPr>
              <w:pStyle w:val="10"/>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1060" w:type="dxa"/>
            <w:vAlign w:val="center"/>
          </w:tcPr>
          <w:p>
            <w:pPr>
              <w:pStyle w:val="10"/>
              <w:spacing w:line="400" w:lineRule="exact"/>
              <w:jc w:val="center"/>
              <w:rPr>
                <w:rFonts w:ascii="宋体" w:hAnsi="宋体" w:cs="宋体"/>
                <w:color w:val="auto"/>
                <w:sz w:val="24"/>
                <w:szCs w:val="24"/>
                <w:highlight w:val="none"/>
              </w:rPr>
            </w:pPr>
          </w:p>
        </w:tc>
        <w:tc>
          <w:tcPr>
            <w:tcW w:w="945" w:type="dxa"/>
            <w:vAlign w:val="center"/>
          </w:tcPr>
          <w:p>
            <w:pPr>
              <w:pStyle w:val="10"/>
              <w:spacing w:line="400" w:lineRule="exact"/>
              <w:jc w:val="center"/>
              <w:rPr>
                <w:rFonts w:ascii="宋体" w:hAnsi="宋体" w:cs="宋体"/>
                <w:color w:val="auto"/>
                <w:sz w:val="24"/>
                <w:szCs w:val="24"/>
                <w:highlight w:val="none"/>
              </w:rPr>
            </w:pPr>
          </w:p>
        </w:tc>
        <w:tc>
          <w:tcPr>
            <w:tcW w:w="1598" w:type="dxa"/>
            <w:vAlign w:val="center"/>
          </w:tcPr>
          <w:p>
            <w:pPr>
              <w:pStyle w:val="10"/>
              <w:spacing w:line="400" w:lineRule="exact"/>
              <w:jc w:val="center"/>
              <w:rPr>
                <w:rFonts w:ascii="宋体" w:hAnsi="宋体" w:cs="宋体"/>
                <w:color w:val="auto"/>
                <w:sz w:val="24"/>
                <w:szCs w:val="24"/>
                <w:highlight w:val="none"/>
              </w:rPr>
            </w:pPr>
          </w:p>
        </w:tc>
        <w:tc>
          <w:tcPr>
            <w:tcW w:w="2250" w:type="dxa"/>
            <w:vAlign w:val="center"/>
          </w:tcPr>
          <w:p>
            <w:pPr>
              <w:pStyle w:val="10"/>
              <w:spacing w:line="400" w:lineRule="exact"/>
              <w:jc w:val="center"/>
              <w:rPr>
                <w:rFonts w:ascii="宋体" w:hAnsi="宋体" w:cs="宋体"/>
                <w:color w:val="auto"/>
                <w:sz w:val="24"/>
                <w:szCs w:val="24"/>
                <w:highlight w:val="none"/>
              </w:rPr>
            </w:pPr>
          </w:p>
        </w:tc>
        <w:tc>
          <w:tcPr>
            <w:tcW w:w="1922" w:type="dxa"/>
            <w:vAlign w:val="center"/>
          </w:tcPr>
          <w:p>
            <w:pPr>
              <w:pStyle w:val="10"/>
              <w:spacing w:line="400" w:lineRule="exact"/>
              <w:jc w:val="center"/>
              <w:rPr>
                <w:rFonts w:ascii="宋体"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5" w:type="dxa"/>
            <w:vAlign w:val="center"/>
          </w:tcPr>
          <w:p>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w:t>
            </w:r>
          </w:p>
        </w:tc>
        <w:tc>
          <w:tcPr>
            <w:tcW w:w="1060" w:type="dxa"/>
            <w:vAlign w:val="center"/>
          </w:tcPr>
          <w:p>
            <w:pPr>
              <w:pStyle w:val="10"/>
              <w:spacing w:line="400" w:lineRule="exact"/>
              <w:jc w:val="center"/>
              <w:rPr>
                <w:rFonts w:ascii="宋体" w:hAnsi="宋体" w:cs="宋体"/>
                <w:color w:val="auto"/>
                <w:sz w:val="24"/>
                <w:szCs w:val="24"/>
                <w:highlight w:val="none"/>
              </w:rPr>
            </w:pPr>
          </w:p>
        </w:tc>
        <w:tc>
          <w:tcPr>
            <w:tcW w:w="945" w:type="dxa"/>
            <w:vAlign w:val="center"/>
          </w:tcPr>
          <w:p>
            <w:pPr>
              <w:pStyle w:val="10"/>
              <w:spacing w:line="400" w:lineRule="exact"/>
              <w:jc w:val="center"/>
              <w:rPr>
                <w:rFonts w:ascii="宋体" w:hAnsi="宋体" w:cs="宋体"/>
                <w:color w:val="auto"/>
                <w:sz w:val="24"/>
                <w:szCs w:val="24"/>
                <w:highlight w:val="none"/>
              </w:rPr>
            </w:pPr>
          </w:p>
        </w:tc>
        <w:tc>
          <w:tcPr>
            <w:tcW w:w="1598" w:type="dxa"/>
            <w:vAlign w:val="center"/>
          </w:tcPr>
          <w:p>
            <w:pPr>
              <w:pStyle w:val="10"/>
              <w:spacing w:line="400" w:lineRule="exact"/>
              <w:jc w:val="center"/>
              <w:rPr>
                <w:rFonts w:ascii="宋体" w:hAnsi="宋体" w:cs="宋体"/>
                <w:color w:val="auto"/>
                <w:sz w:val="24"/>
                <w:szCs w:val="24"/>
                <w:highlight w:val="none"/>
              </w:rPr>
            </w:pPr>
          </w:p>
        </w:tc>
        <w:tc>
          <w:tcPr>
            <w:tcW w:w="2250" w:type="dxa"/>
            <w:vAlign w:val="center"/>
          </w:tcPr>
          <w:p>
            <w:pPr>
              <w:pStyle w:val="10"/>
              <w:spacing w:line="400" w:lineRule="exact"/>
              <w:jc w:val="center"/>
              <w:rPr>
                <w:rFonts w:ascii="宋体" w:hAnsi="宋体" w:cs="宋体"/>
                <w:color w:val="auto"/>
                <w:sz w:val="24"/>
                <w:szCs w:val="24"/>
                <w:highlight w:val="none"/>
              </w:rPr>
            </w:pPr>
          </w:p>
        </w:tc>
        <w:tc>
          <w:tcPr>
            <w:tcW w:w="1922" w:type="dxa"/>
            <w:vAlign w:val="center"/>
          </w:tcPr>
          <w:p>
            <w:pPr>
              <w:pStyle w:val="10"/>
              <w:spacing w:line="400" w:lineRule="exact"/>
              <w:jc w:val="center"/>
              <w:rPr>
                <w:rFonts w:ascii="宋体" w:hAnsi="宋体" w:cs="宋体"/>
                <w:color w:val="auto"/>
                <w:sz w:val="24"/>
                <w:szCs w:val="24"/>
                <w:highlight w:val="none"/>
              </w:rPr>
            </w:pPr>
          </w:p>
        </w:tc>
      </w:tr>
    </w:tbl>
    <w:p>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3、售后服务</w:t>
      </w:r>
    </w:p>
    <w:p>
      <w:pPr>
        <w:pStyle w:val="12"/>
        <w:spacing w:line="440" w:lineRule="exact"/>
        <w:ind w:left="99" w:leftChars="47"/>
        <w:rPr>
          <w:rFonts w:ascii="宋体" w:hAnsi="宋体" w:cs="宋体"/>
          <w:color w:val="auto"/>
          <w:sz w:val="24"/>
          <w:szCs w:val="24"/>
          <w:highlight w:val="none"/>
        </w:rPr>
      </w:pPr>
      <w:r>
        <w:rPr>
          <w:rFonts w:hint="eastAsia" w:ascii="宋体" w:hAnsi="宋体" w:cs="宋体"/>
          <w:color w:val="auto"/>
          <w:sz w:val="24"/>
          <w:szCs w:val="24"/>
          <w:highlight w:val="none"/>
        </w:rPr>
        <w:t>供应商应提供全方位、有效而及时的技术支持和服务，主要包括：</w:t>
      </w:r>
    </w:p>
    <w:p>
      <w:pPr>
        <w:pStyle w:val="12"/>
        <w:spacing w:line="440" w:lineRule="exact"/>
        <w:ind w:left="99" w:leftChars="47"/>
        <w:rPr>
          <w:rFonts w:ascii="宋体" w:hAnsi="宋体" w:cs="宋体"/>
          <w:color w:val="auto"/>
          <w:sz w:val="24"/>
          <w:szCs w:val="24"/>
          <w:highlight w:val="none"/>
        </w:rPr>
      </w:pPr>
      <w:r>
        <w:rPr>
          <w:rFonts w:hint="eastAsia" w:ascii="宋体" w:hAnsi="宋体" w:cs="宋体"/>
          <w:color w:val="auto"/>
          <w:sz w:val="24"/>
          <w:szCs w:val="24"/>
          <w:highlight w:val="none"/>
        </w:rPr>
        <w:t>(1)故障响应时间（指接到报修电话起赶到现场的时间）</w:t>
      </w:r>
    </w:p>
    <w:p>
      <w:pPr>
        <w:pStyle w:val="12"/>
        <w:spacing w:line="440" w:lineRule="exact"/>
        <w:ind w:left="99" w:leftChars="47"/>
        <w:rPr>
          <w:rFonts w:ascii="宋体" w:hAnsi="宋体" w:cs="宋体"/>
          <w:color w:val="auto"/>
          <w:sz w:val="24"/>
          <w:szCs w:val="24"/>
          <w:highlight w:val="none"/>
        </w:rPr>
      </w:pPr>
      <w:r>
        <w:rPr>
          <w:rFonts w:hint="eastAsia" w:ascii="宋体" w:hAnsi="宋体" w:cs="宋体"/>
          <w:color w:val="auto"/>
          <w:sz w:val="24"/>
          <w:szCs w:val="24"/>
          <w:highlight w:val="none"/>
        </w:rPr>
        <w:t>(2)接到报修后详细的故障响应方案</w:t>
      </w:r>
    </w:p>
    <w:p>
      <w:pPr>
        <w:pStyle w:val="12"/>
        <w:spacing w:line="440" w:lineRule="exact"/>
        <w:ind w:left="99" w:leftChars="47"/>
        <w:rPr>
          <w:rFonts w:ascii="宋体" w:hAnsi="宋体" w:cs="宋体"/>
          <w:color w:val="auto"/>
          <w:sz w:val="24"/>
          <w:szCs w:val="24"/>
          <w:highlight w:val="none"/>
        </w:rPr>
      </w:pPr>
      <w:r>
        <w:rPr>
          <w:rFonts w:hint="eastAsia" w:ascii="宋体" w:hAnsi="宋体" w:cs="宋体"/>
          <w:color w:val="auto"/>
          <w:sz w:val="24"/>
          <w:szCs w:val="24"/>
          <w:highlight w:val="none"/>
        </w:rPr>
        <w:t>(3)免费质保期以后的维修内容及收费标准</w:t>
      </w:r>
    </w:p>
    <w:tbl>
      <w:tblPr>
        <w:tblStyle w:val="18"/>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1100"/>
        <w:gridCol w:w="1861"/>
        <w:gridCol w:w="3000"/>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100" w:type="dxa"/>
            <w:vAlign w:val="center"/>
          </w:tcPr>
          <w:p>
            <w:pPr>
              <w:pStyle w:val="10"/>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1100" w:type="dxa"/>
            <w:vAlign w:val="center"/>
          </w:tcPr>
          <w:p>
            <w:pPr>
              <w:pStyle w:val="44"/>
              <w:spacing w:line="400" w:lineRule="exact"/>
              <w:rPr>
                <w:rFonts w:ascii="宋体" w:hAnsi="宋体" w:cs="宋体"/>
                <w:color w:val="auto"/>
                <w:kern w:val="2"/>
                <w:sz w:val="24"/>
                <w:szCs w:val="24"/>
                <w:highlight w:val="none"/>
              </w:rPr>
            </w:pPr>
            <w:r>
              <w:rPr>
                <w:rFonts w:hint="eastAsia" w:ascii="宋体" w:hAnsi="宋体" w:cs="宋体"/>
                <w:color w:val="auto"/>
                <w:kern w:val="2"/>
                <w:sz w:val="24"/>
                <w:szCs w:val="24"/>
                <w:highlight w:val="none"/>
              </w:rPr>
              <w:t>名称</w:t>
            </w:r>
          </w:p>
        </w:tc>
        <w:tc>
          <w:tcPr>
            <w:tcW w:w="1861" w:type="dxa"/>
            <w:vAlign w:val="center"/>
          </w:tcPr>
          <w:p>
            <w:pPr>
              <w:pStyle w:val="44"/>
              <w:spacing w:line="400" w:lineRule="exact"/>
              <w:rPr>
                <w:rFonts w:ascii="宋体" w:hAnsi="宋体" w:cs="宋体"/>
                <w:color w:val="auto"/>
                <w:kern w:val="2"/>
                <w:sz w:val="24"/>
                <w:szCs w:val="24"/>
                <w:highlight w:val="none"/>
              </w:rPr>
            </w:pPr>
            <w:r>
              <w:rPr>
                <w:rFonts w:hint="eastAsia" w:ascii="宋体" w:hAnsi="宋体" w:cs="宋体"/>
                <w:color w:val="auto"/>
                <w:kern w:val="2"/>
                <w:sz w:val="24"/>
                <w:szCs w:val="24"/>
                <w:highlight w:val="none"/>
              </w:rPr>
              <w:t>维修内容</w:t>
            </w:r>
          </w:p>
        </w:tc>
        <w:tc>
          <w:tcPr>
            <w:tcW w:w="3000" w:type="dxa"/>
            <w:vAlign w:val="center"/>
          </w:tcPr>
          <w:p>
            <w:pPr>
              <w:pStyle w:val="44"/>
              <w:spacing w:line="400" w:lineRule="exact"/>
              <w:rPr>
                <w:rFonts w:ascii="宋体" w:hAnsi="宋体" w:cs="宋体"/>
                <w:color w:val="auto"/>
                <w:kern w:val="2"/>
                <w:sz w:val="24"/>
                <w:szCs w:val="24"/>
                <w:highlight w:val="none"/>
              </w:rPr>
            </w:pPr>
            <w:r>
              <w:rPr>
                <w:rFonts w:hint="eastAsia" w:ascii="宋体" w:hAnsi="宋体" w:cs="宋体"/>
                <w:color w:val="auto"/>
                <w:kern w:val="2"/>
                <w:sz w:val="24"/>
                <w:szCs w:val="24"/>
                <w:highlight w:val="none"/>
              </w:rPr>
              <w:t>维修费用（元）</w:t>
            </w:r>
          </w:p>
        </w:tc>
        <w:tc>
          <w:tcPr>
            <w:tcW w:w="1659" w:type="dxa"/>
            <w:vAlign w:val="center"/>
          </w:tcPr>
          <w:p>
            <w:pPr>
              <w:spacing w:line="400" w:lineRule="exact"/>
              <w:ind w:firstLine="352" w:firstLineChars="147"/>
              <w:rPr>
                <w:rFonts w:ascii="宋体" w:hAnsi="宋体" w:cs="宋体"/>
                <w:color w:val="auto"/>
                <w:sz w:val="24"/>
                <w:szCs w:val="24"/>
                <w:highlight w:val="none"/>
              </w:rPr>
            </w:pPr>
            <w:r>
              <w:rPr>
                <w:rFonts w:hint="eastAsia" w:ascii="宋体" w:hAnsi="宋体" w:cs="宋体"/>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100" w:type="dxa"/>
            <w:vAlign w:val="center"/>
          </w:tcPr>
          <w:p>
            <w:pPr>
              <w:pStyle w:val="10"/>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1100" w:type="dxa"/>
            <w:vAlign w:val="center"/>
          </w:tcPr>
          <w:p>
            <w:pPr>
              <w:spacing w:line="400" w:lineRule="exact"/>
              <w:jc w:val="center"/>
              <w:rPr>
                <w:rFonts w:ascii="宋体" w:hAnsi="宋体" w:cs="宋体"/>
                <w:color w:val="auto"/>
                <w:sz w:val="24"/>
                <w:szCs w:val="24"/>
                <w:highlight w:val="none"/>
              </w:rPr>
            </w:pPr>
          </w:p>
        </w:tc>
        <w:tc>
          <w:tcPr>
            <w:tcW w:w="1861" w:type="dxa"/>
            <w:vAlign w:val="center"/>
          </w:tcPr>
          <w:p>
            <w:pPr>
              <w:spacing w:line="400" w:lineRule="exact"/>
              <w:jc w:val="center"/>
              <w:rPr>
                <w:rFonts w:ascii="宋体" w:hAnsi="宋体" w:cs="宋体"/>
                <w:color w:val="auto"/>
                <w:sz w:val="24"/>
                <w:szCs w:val="24"/>
                <w:highlight w:val="none"/>
              </w:rPr>
            </w:pPr>
          </w:p>
        </w:tc>
        <w:tc>
          <w:tcPr>
            <w:tcW w:w="3000" w:type="dxa"/>
            <w:vAlign w:val="center"/>
          </w:tcPr>
          <w:p>
            <w:pPr>
              <w:spacing w:line="400" w:lineRule="exact"/>
              <w:jc w:val="center"/>
              <w:rPr>
                <w:rFonts w:ascii="宋体" w:hAnsi="宋体" w:cs="宋体"/>
                <w:color w:val="auto"/>
                <w:sz w:val="24"/>
                <w:szCs w:val="24"/>
                <w:highlight w:val="none"/>
              </w:rPr>
            </w:pPr>
          </w:p>
        </w:tc>
        <w:tc>
          <w:tcPr>
            <w:tcW w:w="1659" w:type="dxa"/>
            <w:vAlign w:val="center"/>
          </w:tcPr>
          <w:p>
            <w:pPr>
              <w:spacing w:line="400" w:lineRule="exact"/>
              <w:jc w:val="center"/>
              <w:rPr>
                <w:rFonts w:ascii="宋体"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100" w:type="dxa"/>
            <w:vAlign w:val="center"/>
          </w:tcPr>
          <w:p>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w:t>
            </w:r>
          </w:p>
        </w:tc>
        <w:tc>
          <w:tcPr>
            <w:tcW w:w="1100" w:type="dxa"/>
            <w:vAlign w:val="center"/>
          </w:tcPr>
          <w:p>
            <w:pPr>
              <w:spacing w:line="400" w:lineRule="exact"/>
              <w:jc w:val="center"/>
              <w:rPr>
                <w:rFonts w:ascii="宋体" w:hAnsi="宋体" w:cs="宋体"/>
                <w:color w:val="auto"/>
                <w:sz w:val="24"/>
                <w:szCs w:val="24"/>
                <w:highlight w:val="none"/>
              </w:rPr>
            </w:pPr>
          </w:p>
        </w:tc>
        <w:tc>
          <w:tcPr>
            <w:tcW w:w="1861" w:type="dxa"/>
            <w:vAlign w:val="center"/>
          </w:tcPr>
          <w:p>
            <w:pPr>
              <w:spacing w:line="400" w:lineRule="exact"/>
              <w:jc w:val="center"/>
              <w:rPr>
                <w:rFonts w:ascii="宋体" w:hAnsi="宋体" w:cs="宋体"/>
                <w:color w:val="auto"/>
                <w:sz w:val="24"/>
                <w:szCs w:val="24"/>
                <w:highlight w:val="none"/>
              </w:rPr>
            </w:pPr>
          </w:p>
        </w:tc>
        <w:tc>
          <w:tcPr>
            <w:tcW w:w="3000" w:type="dxa"/>
            <w:vAlign w:val="center"/>
          </w:tcPr>
          <w:p>
            <w:pPr>
              <w:spacing w:line="400" w:lineRule="exact"/>
              <w:jc w:val="center"/>
              <w:rPr>
                <w:rFonts w:ascii="宋体" w:hAnsi="宋体" w:cs="宋体"/>
                <w:color w:val="auto"/>
                <w:sz w:val="24"/>
                <w:szCs w:val="24"/>
                <w:highlight w:val="none"/>
              </w:rPr>
            </w:pPr>
          </w:p>
        </w:tc>
        <w:tc>
          <w:tcPr>
            <w:tcW w:w="1659" w:type="dxa"/>
            <w:vAlign w:val="center"/>
          </w:tcPr>
          <w:p>
            <w:pPr>
              <w:spacing w:line="400" w:lineRule="exact"/>
              <w:jc w:val="center"/>
              <w:rPr>
                <w:rFonts w:ascii="宋体" w:hAnsi="宋体" w:cs="宋体"/>
                <w:color w:val="auto"/>
                <w:sz w:val="24"/>
                <w:szCs w:val="24"/>
                <w:highlight w:val="none"/>
              </w:rPr>
            </w:pPr>
          </w:p>
        </w:tc>
      </w:tr>
    </w:tbl>
    <w:p>
      <w:pPr>
        <w:pStyle w:val="12"/>
        <w:spacing w:line="540" w:lineRule="exact"/>
        <w:ind w:left="99" w:leftChars="47"/>
        <w:rPr>
          <w:rFonts w:ascii="宋体" w:hAnsi="宋体" w:cs="宋体"/>
          <w:color w:val="auto"/>
          <w:sz w:val="24"/>
          <w:szCs w:val="24"/>
          <w:highlight w:val="none"/>
        </w:rPr>
      </w:pPr>
      <w:r>
        <w:rPr>
          <w:rFonts w:hint="eastAsia" w:ascii="宋体" w:hAnsi="宋体" w:cs="宋体"/>
          <w:color w:val="auto"/>
          <w:sz w:val="24"/>
          <w:szCs w:val="24"/>
          <w:highlight w:val="none"/>
        </w:rPr>
        <w:t>（4）免费质保期以后的零配件、易损件内容及收费标准</w:t>
      </w:r>
    </w:p>
    <w:tbl>
      <w:tblPr>
        <w:tblStyle w:val="18"/>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2593"/>
        <w:gridCol w:w="1284"/>
        <w:gridCol w:w="1020"/>
        <w:gridCol w:w="759"/>
        <w:gridCol w:w="759"/>
        <w:gridCol w:w="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60" w:type="dxa"/>
            <w:vAlign w:val="center"/>
          </w:tcPr>
          <w:p>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2593" w:type="dxa"/>
            <w:vAlign w:val="center"/>
          </w:tcPr>
          <w:p>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零配件、易损件名称</w:t>
            </w:r>
          </w:p>
        </w:tc>
        <w:tc>
          <w:tcPr>
            <w:tcW w:w="1284" w:type="dxa"/>
            <w:vAlign w:val="center"/>
          </w:tcPr>
          <w:p>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规格型号</w:t>
            </w:r>
          </w:p>
        </w:tc>
        <w:tc>
          <w:tcPr>
            <w:tcW w:w="1020" w:type="dxa"/>
            <w:vAlign w:val="center"/>
          </w:tcPr>
          <w:p>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制造商</w:t>
            </w:r>
          </w:p>
        </w:tc>
        <w:tc>
          <w:tcPr>
            <w:tcW w:w="759" w:type="dxa"/>
            <w:vAlign w:val="center"/>
          </w:tcPr>
          <w:p>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759" w:type="dxa"/>
            <w:vAlign w:val="center"/>
          </w:tcPr>
          <w:p>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1545" w:type="dxa"/>
            <w:vAlign w:val="center"/>
          </w:tcPr>
          <w:p>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60" w:type="dxa"/>
            <w:vAlign w:val="center"/>
          </w:tcPr>
          <w:p>
            <w:pPr>
              <w:pStyle w:val="10"/>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2593" w:type="dxa"/>
            <w:vAlign w:val="center"/>
          </w:tcPr>
          <w:p>
            <w:pPr>
              <w:pStyle w:val="10"/>
              <w:spacing w:line="400" w:lineRule="exact"/>
              <w:jc w:val="center"/>
              <w:rPr>
                <w:rFonts w:ascii="宋体" w:hAnsi="宋体" w:cs="宋体"/>
                <w:color w:val="auto"/>
                <w:sz w:val="24"/>
                <w:szCs w:val="24"/>
                <w:highlight w:val="none"/>
              </w:rPr>
            </w:pPr>
          </w:p>
        </w:tc>
        <w:tc>
          <w:tcPr>
            <w:tcW w:w="1284" w:type="dxa"/>
            <w:vAlign w:val="center"/>
          </w:tcPr>
          <w:p>
            <w:pPr>
              <w:pStyle w:val="10"/>
              <w:spacing w:line="400" w:lineRule="exact"/>
              <w:jc w:val="center"/>
              <w:rPr>
                <w:rFonts w:ascii="宋体" w:hAnsi="宋体" w:cs="宋体"/>
                <w:color w:val="auto"/>
                <w:sz w:val="24"/>
                <w:szCs w:val="24"/>
                <w:highlight w:val="none"/>
              </w:rPr>
            </w:pPr>
          </w:p>
        </w:tc>
        <w:tc>
          <w:tcPr>
            <w:tcW w:w="1020" w:type="dxa"/>
            <w:vAlign w:val="center"/>
          </w:tcPr>
          <w:p>
            <w:pPr>
              <w:pStyle w:val="10"/>
              <w:spacing w:line="400" w:lineRule="exact"/>
              <w:jc w:val="center"/>
              <w:rPr>
                <w:rFonts w:ascii="宋体" w:hAnsi="宋体" w:cs="宋体"/>
                <w:color w:val="auto"/>
                <w:sz w:val="24"/>
                <w:szCs w:val="24"/>
                <w:highlight w:val="none"/>
              </w:rPr>
            </w:pPr>
          </w:p>
        </w:tc>
        <w:tc>
          <w:tcPr>
            <w:tcW w:w="759" w:type="dxa"/>
            <w:vAlign w:val="center"/>
          </w:tcPr>
          <w:p>
            <w:pPr>
              <w:pStyle w:val="10"/>
              <w:spacing w:line="400" w:lineRule="exact"/>
              <w:jc w:val="center"/>
              <w:rPr>
                <w:rFonts w:ascii="宋体" w:hAnsi="宋体" w:cs="宋体"/>
                <w:color w:val="auto"/>
                <w:sz w:val="24"/>
                <w:szCs w:val="24"/>
                <w:highlight w:val="none"/>
              </w:rPr>
            </w:pPr>
          </w:p>
        </w:tc>
        <w:tc>
          <w:tcPr>
            <w:tcW w:w="759" w:type="dxa"/>
            <w:vAlign w:val="center"/>
          </w:tcPr>
          <w:p>
            <w:pPr>
              <w:pStyle w:val="10"/>
              <w:spacing w:line="400" w:lineRule="exact"/>
              <w:jc w:val="center"/>
              <w:rPr>
                <w:rFonts w:ascii="宋体" w:hAnsi="宋体" w:cs="宋体"/>
                <w:color w:val="auto"/>
                <w:sz w:val="24"/>
                <w:szCs w:val="24"/>
                <w:highlight w:val="none"/>
              </w:rPr>
            </w:pPr>
          </w:p>
        </w:tc>
        <w:tc>
          <w:tcPr>
            <w:tcW w:w="1545" w:type="dxa"/>
            <w:vAlign w:val="center"/>
          </w:tcPr>
          <w:p>
            <w:pPr>
              <w:pStyle w:val="10"/>
              <w:spacing w:line="400" w:lineRule="exact"/>
              <w:jc w:val="center"/>
              <w:rPr>
                <w:rFonts w:ascii="宋体"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60" w:type="dxa"/>
            <w:vAlign w:val="center"/>
          </w:tcPr>
          <w:p>
            <w:pPr>
              <w:pStyle w:val="10"/>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w:t>
            </w:r>
          </w:p>
        </w:tc>
        <w:tc>
          <w:tcPr>
            <w:tcW w:w="2593" w:type="dxa"/>
            <w:vAlign w:val="center"/>
          </w:tcPr>
          <w:p>
            <w:pPr>
              <w:pStyle w:val="10"/>
              <w:spacing w:line="400" w:lineRule="exact"/>
              <w:jc w:val="center"/>
              <w:rPr>
                <w:rFonts w:ascii="宋体" w:hAnsi="宋体" w:cs="宋体"/>
                <w:color w:val="auto"/>
                <w:sz w:val="24"/>
                <w:szCs w:val="24"/>
                <w:highlight w:val="none"/>
              </w:rPr>
            </w:pPr>
          </w:p>
        </w:tc>
        <w:tc>
          <w:tcPr>
            <w:tcW w:w="1284" w:type="dxa"/>
            <w:vAlign w:val="center"/>
          </w:tcPr>
          <w:p>
            <w:pPr>
              <w:pStyle w:val="10"/>
              <w:spacing w:line="400" w:lineRule="exact"/>
              <w:jc w:val="center"/>
              <w:rPr>
                <w:rFonts w:ascii="宋体" w:hAnsi="宋体" w:cs="宋体"/>
                <w:color w:val="auto"/>
                <w:sz w:val="24"/>
                <w:szCs w:val="24"/>
                <w:highlight w:val="none"/>
              </w:rPr>
            </w:pPr>
          </w:p>
        </w:tc>
        <w:tc>
          <w:tcPr>
            <w:tcW w:w="1020" w:type="dxa"/>
            <w:vAlign w:val="center"/>
          </w:tcPr>
          <w:p>
            <w:pPr>
              <w:pStyle w:val="10"/>
              <w:spacing w:line="400" w:lineRule="exact"/>
              <w:jc w:val="center"/>
              <w:rPr>
                <w:rFonts w:ascii="宋体" w:hAnsi="宋体" w:cs="宋体"/>
                <w:color w:val="auto"/>
                <w:sz w:val="24"/>
                <w:szCs w:val="24"/>
                <w:highlight w:val="none"/>
              </w:rPr>
            </w:pPr>
          </w:p>
        </w:tc>
        <w:tc>
          <w:tcPr>
            <w:tcW w:w="759" w:type="dxa"/>
            <w:vAlign w:val="center"/>
          </w:tcPr>
          <w:p>
            <w:pPr>
              <w:pStyle w:val="10"/>
              <w:spacing w:line="400" w:lineRule="exact"/>
              <w:jc w:val="center"/>
              <w:rPr>
                <w:rFonts w:ascii="宋体" w:hAnsi="宋体" w:cs="宋体"/>
                <w:color w:val="auto"/>
                <w:sz w:val="24"/>
                <w:szCs w:val="24"/>
                <w:highlight w:val="none"/>
              </w:rPr>
            </w:pPr>
          </w:p>
        </w:tc>
        <w:tc>
          <w:tcPr>
            <w:tcW w:w="759" w:type="dxa"/>
            <w:vAlign w:val="center"/>
          </w:tcPr>
          <w:p>
            <w:pPr>
              <w:pStyle w:val="10"/>
              <w:spacing w:line="400" w:lineRule="exact"/>
              <w:jc w:val="center"/>
              <w:rPr>
                <w:rFonts w:ascii="宋体" w:hAnsi="宋体" w:cs="宋体"/>
                <w:color w:val="auto"/>
                <w:sz w:val="24"/>
                <w:szCs w:val="24"/>
                <w:highlight w:val="none"/>
              </w:rPr>
            </w:pPr>
          </w:p>
        </w:tc>
        <w:tc>
          <w:tcPr>
            <w:tcW w:w="1545" w:type="dxa"/>
            <w:vAlign w:val="center"/>
          </w:tcPr>
          <w:p>
            <w:pPr>
              <w:pStyle w:val="10"/>
              <w:spacing w:line="400" w:lineRule="exact"/>
              <w:jc w:val="center"/>
              <w:rPr>
                <w:rFonts w:ascii="宋体" w:hAnsi="宋体" w:cs="宋体"/>
                <w:color w:val="auto"/>
                <w:sz w:val="24"/>
                <w:szCs w:val="24"/>
                <w:highlight w:val="none"/>
              </w:rPr>
            </w:pPr>
          </w:p>
        </w:tc>
      </w:tr>
    </w:tbl>
    <w:p>
      <w:pPr>
        <w:spacing w:line="5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（5）售后服务能力一览表</w:t>
      </w:r>
    </w:p>
    <w:tbl>
      <w:tblPr>
        <w:tblStyle w:val="18"/>
        <w:tblW w:w="8720"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1529"/>
        <w:gridCol w:w="2288"/>
        <w:gridCol w:w="2156"/>
        <w:gridCol w:w="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42" w:type="dxa"/>
            <w:vAlign w:val="center"/>
          </w:tcPr>
          <w:p>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售后服务点</w:t>
            </w:r>
          </w:p>
        </w:tc>
        <w:tc>
          <w:tcPr>
            <w:tcW w:w="1529" w:type="dxa"/>
            <w:vAlign w:val="center"/>
          </w:tcPr>
          <w:p>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详细地址</w:t>
            </w:r>
          </w:p>
        </w:tc>
        <w:tc>
          <w:tcPr>
            <w:tcW w:w="2288" w:type="dxa"/>
            <w:vAlign w:val="center"/>
          </w:tcPr>
          <w:p>
            <w:pPr>
              <w:spacing w:line="400" w:lineRule="exact"/>
              <w:ind w:left="103" w:leftChars="49"/>
              <w:jc w:val="center"/>
              <w:rPr>
                <w:rFonts w:ascii="宋体" w:hAnsi="宋体" w:cs="宋体"/>
                <w:color w:val="auto"/>
                <w:sz w:val="24"/>
                <w:szCs w:val="24"/>
                <w:highlight w:val="none"/>
              </w:rPr>
            </w:pPr>
            <w:r>
              <w:rPr>
                <w:rFonts w:hint="eastAsia" w:ascii="宋体" w:hAnsi="宋体" w:cs="宋体"/>
                <w:color w:val="auto"/>
                <w:sz w:val="24"/>
                <w:szCs w:val="24"/>
                <w:highlight w:val="none"/>
              </w:rPr>
              <w:t>技术人员名单</w:t>
            </w:r>
          </w:p>
        </w:tc>
        <w:tc>
          <w:tcPr>
            <w:tcW w:w="2156" w:type="dxa"/>
            <w:vAlign w:val="center"/>
          </w:tcPr>
          <w:p>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固定联系电话</w:t>
            </w:r>
          </w:p>
        </w:tc>
        <w:tc>
          <w:tcPr>
            <w:tcW w:w="905" w:type="dxa"/>
            <w:vAlign w:val="center"/>
          </w:tcPr>
          <w:p>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42" w:type="dxa"/>
            <w:vAlign w:val="center"/>
          </w:tcPr>
          <w:p>
            <w:pPr>
              <w:spacing w:line="400" w:lineRule="exact"/>
              <w:jc w:val="center"/>
              <w:rPr>
                <w:rFonts w:ascii="宋体" w:hAnsi="宋体" w:cs="宋体"/>
                <w:color w:val="auto"/>
                <w:sz w:val="24"/>
                <w:szCs w:val="24"/>
                <w:highlight w:val="none"/>
              </w:rPr>
            </w:pPr>
          </w:p>
        </w:tc>
        <w:tc>
          <w:tcPr>
            <w:tcW w:w="1529" w:type="dxa"/>
            <w:vAlign w:val="center"/>
          </w:tcPr>
          <w:p>
            <w:pPr>
              <w:spacing w:line="400" w:lineRule="exact"/>
              <w:jc w:val="center"/>
              <w:rPr>
                <w:rFonts w:ascii="宋体" w:hAnsi="宋体" w:cs="宋体"/>
                <w:color w:val="auto"/>
                <w:sz w:val="24"/>
                <w:szCs w:val="24"/>
                <w:highlight w:val="none"/>
              </w:rPr>
            </w:pPr>
          </w:p>
        </w:tc>
        <w:tc>
          <w:tcPr>
            <w:tcW w:w="2288" w:type="dxa"/>
            <w:vAlign w:val="center"/>
          </w:tcPr>
          <w:p>
            <w:pPr>
              <w:spacing w:line="400" w:lineRule="exact"/>
              <w:jc w:val="center"/>
              <w:rPr>
                <w:rFonts w:ascii="宋体" w:hAnsi="宋体" w:cs="宋体"/>
                <w:color w:val="auto"/>
                <w:sz w:val="24"/>
                <w:szCs w:val="24"/>
                <w:highlight w:val="none"/>
              </w:rPr>
            </w:pPr>
          </w:p>
        </w:tc>
        <w:tc>
          <w:tcPr>
            <w:tcW w:w="2156" w:type="dxa"/>
            <w:vAlign w:val="center"/>
          </w:tcPr>
          <w:p>
            <w:pPr>
              <w:spacing w:line="400" w:lineRule="exact"/>
              <w:jc w:val="center"/>
              <w:rPr>
                <w:rFonts w:ascii="宋体" w:hAnsi="宋体" w:cs="宋体"/>
                <w:color w:val="auto"/>
                <w:sz w:val="24"/>
                <w:szCs w:val="24"/>
                <w:highlight w:val="none"/>
              </w:rPr>
            </w:pPr>
          </w:p>
        </w:tc>
        <w:tc>
          <w:tcPr>
            <w:tcW w:w="905" w:type="dxa"/>
            <w:vAlign w:val="center"/>
          </w:tcPr>
          <w:p>
            <w:pPr>
              <w:spacing w:line="400" w:lineRule="exact"/>
              <w:jc w:val="center"/>
              <w:rPr>
                <w:rFonts w:ascii="宋体"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42" w:type="dxa"/>
            <w:vAlign w:val="center"/>
          </w:tcPr>
          <w:p>
            <w:pPr>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w:t>
            </w:r>
          </w:p>
        </w:tc>
        <w:tc>
          <w:tcPr>
            <w:tcW w:w="1529" w:type="dxa"/>
            <w:vAlign w:val="center"/>
          </w:tcPr>
          <w:p>
            <w:pPr>
              <w:spacing w:line="400" w:lineRule="exact"/>
              <w:jc w:val="center"/>
              <w:rPr>
                <w:rFonts w:ascii="宋体" w:hAnsi="宋体" w:cs="宋体"/>
                <w:color w:val="auto"/>
                <w:sz w:val="24"/>
                <w:szCs w:val="24"/>
                <w:highlight w:val="none"/>
              </w:rPr>
            </w:pPr>
          </w:p>
        </w:tc>
        <w:tc>
          <w:tcPr>
            <w:tcW w:w="2288" w:type="dxa"/>
            <w:vAlign w:val="center"/>
          </w:tcPr>
          <w:p>
            <w:pPr>
              <w:spacing w:line="400" w:lineRule="exact"/>
              <w:jc w:val="center"/>
              <w:rPr>
                <w:rFonts w:ascii="宋体" w:hAnsi="宋体" w:cs="宋体"/>
                <w:color w:val="auto"/>
                <w:sz w:val="24"/>
                <w:szCs w:val="24"/>
                <w:highlight w:val="none"/>
              </w:rPr>
            </w:pPr>
          </w:p>
        </w:tc>
        <w:tc>
          <w:tcPr>
            <w:tcW w:w="2156" w:type="dxa"/>
            <w:vAlign w:val="center"/>
          </w:tcPr>
          <w:p>
            <w:pPr>
              <w:spacing w:line="400" w:lineRule="exact"/>
              <w:jc w:val="center"/>
              <w:rPr>
                <w:rFonts w:ascii="宋体" w:hAnsi="宋体" w:cs="宋体"/>
                <w:color w:val="auto"/>
                <w:sz w:val="24"/>
                <w:szCs w:val="24"/>
                <w:highlight w:val="none"/>
              </w:rPr>
            </w:pPr>
          </w:p>
        </w:tc>
        <w:tc>
          <w:tcPr>
            <w:tcW w:w="905" w:type="dxa"/>
            <w:vAlign w:val="center"/>
          </w:tcPr>
          <w:p>
            <w:pPr>
              <w:spacing w:line="400" w:lineRule="exact"/>
              <w:jc w:val="center"/>
              <w:rPr>
                <w:rFonts w:ascii="宋体" w:hAnsi="宋体" w:cs="宋体"/>
                <w:color w:val="auto"/>
                <w:sz w:val="24"/>
                <w:szCs w:val="24"/>
                <w:highlight w:val="none"/>
              </w:rPr>
            </w:pPr>
          </w:p>
        </w:tc>
      </w:tr>
    </w:tbl>
    <w:p>
      <w:pPr>
        <w:pStyle w:val="39"/>
        <w:ind w:firstLine="0" w:firstLineChars="0"/>
        <w:rPr>
          <w:rFonts w:ascii="宋体" w:hAnsi="宋体" w:cs="宋体"/>
          <w:color w:val="auto"/>
          <w:highlight w:val="none"/>
        </w:rPr>
      </w:pPr>
    </w:p>
    <w:p>
      <w:pPr>
        <w:pStyle w:val="39"/>
        <w:ind w:firstLine="0" w:firstLineChars="0"/>
        <w:jc w:val="left"/>
        <w:rPr>
          <w:rFonts w:ascii="宋体" w:hAnsi="宋体" w:cs="宋体"/>
          <w:color w:val="auto"/>
          <w:highlight w:val="none"/>
        </w:rPr>
      </w:pPr>
      <w:r>
        <w:rPr>
          <w:rFonts w:hint="eastAsia" w:ascii="宋体" w:hAnsi="宋体" w:cs="宋体"/>
          <w:color w:val="auto"/>
          <w:highlight w:val="none"/>
          <w:lang w:val="en-US" w:eastAsia="zh-CN"/>
        </w:rPr>
        <w:t>7</w:t>
      </w:r>
      <w:r>
        <w:rPr>
          <w:rFonts w:hint="eastAsia" w:ascii="宋体" w:hAnsi="宋体" w:cs="宋体"/>
          <w:color w:val="auto"/>
          <w:highlight w:val="none"/>
        </w:rPr>
        <w:t>、询价文件要求的其它材料</w:t>
      </w:r>
      <w:bookmarkEnd w:id="38"/>
      <w:bookmarkEnd w:id="39"/>
    </w:p>
    <w:p>
      <w:pPr>
        <w:jc w:val="center"/>
        <w:rPr>
          <w:rFonts w:hint="eastAsia" w:ascii="宋体" w:hAnsi="宋体" w:cs="宋体"/>
          <w:b/>
          <w:bCs/>
          <w:color w:val="auto"/>
          <w:sz w:val="28"/>
          <w:szCs w:val="28"/>
          <w:highlight w:val="none"/>
        </w:rPr>
      </w:pPr>
    </w:p>
    <w:p>
      <w:pPr>
        <w:jc w:val="center"/>
        <w:rPr>
          <w:rFonts w:hint="eastAsia" w:ascii="宋体" w:hAnsi="宋体" w:cs="宋体"/>
          <w:b/>
          <w:bCs/>
          <w:color w:val="auto"/>
          <w:sz w:val="28"/>
          <w:szCs w:val="28"/>
          <w:highlight w:val="none"/>
        </w:rPr>
      </w:pPr>
    </w:p>
    <w:p>
      <w:pPr>
        <w:jc w:val="center"/>
        <w:rPr>
          <w:rFonts w:hint="eastAsia" w:ascii="宋体" w:hAnsi="宋体" w:cs="宋体"/>
          <w:b/>
          <w:bCs/>
          <w:color w:val="auto"/>
          <w:sz w:val="28"/>
          <w:szCs w:val="28"/>
          <w:highlight w:val="none"/>
        </w:rPr>
      </w:pPr>
    </w:p>
    <w:p>
      <w:pPr>
        <w:jc w:val="center"/>
        <w:rPr>
          <w:rFonts w:hint="eastAsia" w:ascii="宋体" w:hAnsi="宋体" w:cs="宋体"/>
          <w:b/>
          <w:bCs/>
          <w:color w:val="auto"/>
          <w:sz w:val="28"/>
          <w:szCs w:val="28"/>
          <w:highlight w:val="none"/>
        </w:rPr>
      </w:pPr>
    </w:p>
    <w:p>
      <w:pPr>
        <w:jc w:val="center"/>
        <w:rPr>
          <w:rFonts w:hint="eastAsia" w:ascii="宋体" w:hAnsi="宋体" w:cs="宋体"/>
          <w:b/>
          <w:bCs/>
          <w:color w:val="auto"/>
          <w:sz w:val="28"/>
          <w:szCs w:val="28"/>
          <w:highlight w:val="none"/>
        </w:rPr>
      </w:pPr>
    </w:p>
    <w:p>
      <w:pPr>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二、报价部分</w:t>
      </w:r>
    </w:p>
    <w:p>
      <w:pPr>
        <w:pStyle w:val="39"/>
        <w:spacing w:line="360" w:lineRule="auto"/>
        <w:ind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1、投标报价表</w:t>
      </w: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1）根据询价文件要求可以自行调整，包括但不限于以下内容。</w:t>
      </w: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2）我方承诺报价不高于同类货物和服务的市场同期平均价格，若被发现存在任何虚假、隐瞒情况，我公司承担由此产生的一切后果。</w:t>
      </w:r>
    </w:p>
    <w:tbl>
      <w:tblPr>
        <w:tblStyle w:val="18"/>
        <w:tblW w:w="8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7"/>
        <w:gridCol w:w="5528"/>
        <w:gridCol w:w="1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4" w:hRule="atLeast"/>
          <w:jc w:val="center"/>
        </w:trPr>
        <w:tc>
          <w:tcPr>
            <w:tcW w:w="2177" w:type="dxa"/>
            <w:tcBorders>
              <w:top w:val="single" w:color="auto" w:sz="4" w:space="0"/>
              <w:bottom w:val="single" w:color="auto" w:sz="4" w:space="0"/>
              <w:right w:val="single" w:color="auto" w:sz="4" w:space="0"/>
            </w:tcBorders>
            <w:vAlign w:val="center"/>
          </w:tcPr>
          <w:p>
            <w:pPr>
              <w:widowControl/>
              <w:spacing w:line="0" w:lineRule="atLeast"/>
              <w:jc w:val="center"/>
              <w:rPr>
                <w:rFonts w:ascii="Arial" w:hAnsi="Arial" w:cs="Arial"/>
                <w:b/>
                <w:color w:val="auto"/>
                <w:sz w:val="24"/>
                <w:highlight w:val="none"/>
              </w:rPr>
            </w:pPr>
            <w:r>
              <w:rPr>
                <w:rFonts w:ascii="Arial" w:hAnsi="Arial" w:cs="Arial"/>
                <w:b/>
                <w:color w:val="auto"/>
                <w:sz w:val="24"/>
                <w:highlight w:val="none"/>
              </w:rPr>
              <w:t>项目名称</w:t>
            </w:r>
          </w:p>
        </w:tc>
        <w:tc>
          <w:tcPr>
            <w:tcW w:w="6761" w:type="dxa"/>
            <w:gridSpan w:val="2"/>
            <w:tcBorders>
              <w:top w:val="single" w:color="auto" w:sz="4" w:space="0"/>
              <w:bottom w:val="single" w:color="auto" w:sz="4" w:space="0"/>
              <w:right w:val="single" w:color="auto" w:sz="4" w:space="0"/>
            </w:tcBorders>
            <w:vAlign w:val="center"/>
          </w:tcPr>
          <w:p>
            <w:pPr>
              <w:spacing w:line="0" w:lineRule="atLeast"/>
              <w:jc w:val="center"/>
              <w:rPr>
                <w:rFonts w:hint="eastAsia" w:ascii="宋体" w:hAnsi="宋体" w:eastAsia="宋体" w:cs="宋体"/>
                <w:color w:val="auto"/>
                <w:kern w:val="0"/>
                <w:sz w:val="24"/>
                <w:szCs w:val="24"/>
                <w:highlight w:val="none"/>
                <w:shd w:val="clear" w:color="auto" w:fill="F9FDFE"/>
                <w:lang w:val="en-US" w:eastAsia="zh-CN" w:bidi="ar-SA"/>
              </w:rPr>
            </w:pPr>
            <w:r>
              <w:rPr>
                <w:rFonts w:hint="eastAsia" w:ascii="宋体" w:hAnsi="宋体" w:cs="宋体"/>
                <w:color w:val="auto"/>
                <w:sz w:val="24"/>
                <w:szCs w:val="24"/>
                <w:highlight w:val="none"/>
                <w:lang w:eastAsia="zh-CN"/>
              </w:rPr>
              <w:t>铜陵学院2023～202</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学年度日常电气类维修材料采购材料采购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4" w:hRule="atLeast"/>
          <w:jc w:val="center"/>
        </w:trPr>
        <w:tc>
          <w:tcPr>
            <w:tcW w:w="2177" w:type="dxa"/>
            <w:tcBorders>
              <w:top w:val="single" w:color="auto" w:sz="4" w:space="0"/>
              <w:bottom w:val="single" w:color="auto" w:sz="4" w:space="0"/>
              <w:right w:val="single" w:color="auto" w:sz="4" w:space="0"/>
            </w:tcBorders>
            <w:vAlign w:val="center"/>
          </w:tcPr>
          <w:p>
            <w:pPr>
              <w:widowControl/>
              <w:spacing w:line="0" w:lineRule="atLeast"/>
              <w:jc w:val="center"/>
              <w:rPr>
                <w:rFonts w:hint="eastAsia" w:ascii="Arial" w:hAnsi="Arial" w:cs="Arial"/>
                <w:b/>
                <w:color w:val="auto"/>
                <w:sz w:val="24"/>
                <w:highlight w:val="none"/>
              </w:rPr>
            </w:pPr>
            <w:r>
              <w:rPr>
                <w:rFonts w:hint="eastAsia" w:ascii="Arial" w:hAnsi="Arial" w:cs="Arial"/>
                <w:b/>
                <w:color w:val="auto"/>
                <w:sz w:val="24"/>
                <w:highlight w:val="none"/>
              </w:rPr>
              <w:t>项目</w:t>
            </w:r>
            <w:r>
              <w:rPr>
                <w:rFonts w:ascii="Arial" w:hAnsi="Arial" w:cs="Arial"/>
                <w:b/>
                <w:color w:val="auto"/>
                <w:sz w:val="24"/>
                <w:highlight w:val="none"/>
              </w:rPr>
              <w:t>编号</w:t>
            </w:r>
          </w:p>
        </w:tc>
        <w:tc>
          <w:tcPr>
            <w:tcW w:w="6761" w:type="dxa"/>
            <w:gridSpan w:val="2"/>
            <w:tcBorders>
              <w:top w:val="single" w:color="auto" w:sz="4" w:space="0"/>
              <w:bottom w:val="single" w:color="auto" w:sz="4" w:space="0"/>
              <w:right w:val="single" w:color="auto" w:sz="4" w:space="0"/>
            </w:tcBorders>
            <w:vAlign w:val="center"/>
          </w:tcPr>
          <w:p>
            <w:pPr>
              <w:spacing w:line="0" w:lineRule="atLeast"/>
              <w:rPr>
                <w:rFonts w:hint="eastAsia" w:ascii="宋体" w:hAnsi="宋体" w:cs="宋体"/>
                <w:color w:val="auto"/>
                <w:kern w:val="0"/>
                <w:sz w:val="24"/>
                <w:highlight w:val="none"/>
                <w:shd w:val="clear" w:color="auto" w:fill="F9FDFE"/>
              </w:rPr>
            </w:pPr>
            <w:r>
              <w:rPr>
                <w:rFonts w:hint="eastAsia" w:ascii="宋体" w:hAnsi="宋体" w:cs="宋体"/>
                <w:color w:val="auto"/>
                <w:kern w:val="0"/>
                <w:sz w:val="24"/>
                <w:highlight w:val="none"/>
                <w:shd w:val="clear" w:color="auto" w:fill="F9FDFE"/>
                <w:lang w:val="en-US" w:eastAsia="zh-CN"/>
              </w:rPr>
              <w:t>tlxyzb</w:t>
            </w:r>
            <w:r>
              <w:rPr>
                <w:rFonts w:hint="eastAsia" w:ascii="宋体" w:hAnsi="宋体" w:cs="宋体"/>
                <w:color w:val="auto"/>
                <w:kern w:val="0"/>
                <w:sz w:val="24"/>
                <w:highlight w:val="none"/>
                <w:shd w:val="clear" w:color="auto" w:fill="F9FDFE"/>
              </w:rPr>
              <w:t>[</w:t>
            </w:r>
            <w:r>
              <w:rPr>
                <w:rFonts w:hint="eastAsia" w:ascii="宋体" w:hAnsi="宋体" w:cs="宋体"/>
                <w:color w:val="auto"/>
                <w:kern w:val="0"/>
                <w:sz w:val="24"/>
                <w:highlight w:val="none"/>
                <w:shd w:val="clear" w:color="auto" w:fill="F9FDFE"/>
                <w:lang w:eastAsia="zh-CN"/>
              </w:rPr>
              <w:t>2023</w:t>
            </w:r>
            <w:r>
              <w:rPr>
                <w:rFonts w:hint="eastAsia" w:ascii="宋体" w:hAnsi="宋体" w:cs="宋体"/>
                <w:color w:val="auto"/>
                <w:kern w:val="0"/>
                <w:sz w:val="24"/>
                <w:highlight w:val="none"/>
                <w:shd w:val="clear" w:color="auto" w:fill="F9FDFE"/>
              </w:rPr>
              <w:t>]</w:t>
            </w:r>
            <w:r>
              <w:rPr>
                <w:rFonts w:hint="eastAsia" w:ascii="宋体" w:hAnsi="宋体" w:cs="宋体"/>
                <w:color w:val="auto"/>
                <w:kern w:val="0"/>
                <w:sz w:val="24"/>
                <w:highlight w:val="none"/>
                <w:shd w:val="clear" w:color="auto" w:fill="F9FDFE"/>
                <w:lang w:val="en-US" w:eastAsia="zh-CN"/>
              </w:rPr>
              <w:t>058</w:t>
            </w:r>
            <w:r>
              <w:rPr>
                <w:rFonts w:hint="eastAsia" w:ascii="宋体" w:hAnsi="宋体" w:cs="宋体"/>
                <w:color w:val="auto"/>
                <w:kern w:val="0"/>
                <w:sz w:val="24"/>
                <w:highlight w:val="none"/>
                <w:shd w:val="clear" w:color="auto" w:fill="F9FDFE"/>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0" w:hRule="atLeast"/>
          <w:jc w:val="center"/>
        </w:trPr>
        <w:tc>
          <w:tcPr>
            <w:tcW w:w="2177" w:type="dxa"/>
            <w:tcBorders>
              <w:top w:val="nil"/>
            </w:tcBorders>
            <w:vAlign w:val="center"/>
          </w:tcPr>
          <w:p>
            <w:pPr>
              <w:spacing w:line="0" w:lineRule="atLeast"/>
              <w:jc w:val="center"/>
              <w:rPr>
                <w:rFonts w:ascii="Arial" w:hAnsi="Arial" w:cs="Arial"/>
                <w:b/>
                <w:color w:val="auto"/>
                <w:sz w:val="24"/>
                <w:highlight w:val="none"/>
              </w:rPr>
            </w:pPr>
            <w:r>
              <w:rPr>
                <w:rFonts w:ascii="Arial" w:hAnsi="Arial" w:cs="Arial"/>
                <w:b/>
                <w:color w:val="auto"/>
                <w:sz w:val="24"/>
                <w:highlight w:val="none"/>
              </w:rPr>
              <w:t>投标人全称</w:t>
            </w:r>
          </w:p>
        </w:tc>
        <w:tc>
          <w:tcPr>
            <w:tcW w:w="6761" w:type="dxa"/>
            <w:gridSpan w:val="2"/>
            <w:tcBorders>
              <w:top w:val="nil"/>
            </w:tcBorders>
            <w:vAlign w:val="center"/>
          </w:tcPr>
          <w:p>
            <w:pPr>
              <w:spacing w:line="0" w:lineRule="atLeast"/>
              <w:rPr>
                <w:rFonts w:ascii="Arial" w:hAnsi="Arial" w:cs="Arial"/>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77" w:type="dxa"/>
            <w:vMerge w:val="restart"/>
            <w:tcBorders>
              <w:top w:val="nil"/>
            </w:tcBorders>
            <w:vAlign w:val="center"/>
          </w:tcPr>
          <w:p>
            <w:pPr>
              <w:spacing w:line="0" w:lineRule="atLeast"/>
              <w:jc w:val="center"/>
              <w:rPr>
                <w:rFonts w:hint="eastAsia" w:ascii="宋体" w:hAnsi="宋体" w:eastAsia="宋体"/>
                <w:b/>
                <w:color w:val="auto"/>
                <w:sz w:val="24"/>
                <w:highlight w:val="none"/>
                <w:lang w:eastAsia="zh-CN"/>
              </w:rPr>
            </w:pPr>
            <w:r>
              <w:rPr>
                <w:rFonts w:hint="eastAsia" w:ascii="Arial" w:hAnsi="Arial" w:eastAsia="宋体" w:cs="Arial"/>
                <w:b/>
                <w:color w:val="auto"/>
                <w:sz w:val="24"/>
                <w:highlight w:val="none"/>
                <w:lang w:val="en-US" w:eastAsia="zh-CN"/>
              </w:rPr>
              <w:t>投标总价</w:t>
            </w:r>
          </w:p>
        </w:tc>
        <w:tc>
          <w:tcPr>
            <w:tcW w:w="5528" w:type="dxa"/>
            <w:tcBorders>
              <w:top w:val="nil"/>
              <w:bottom w:val="single" w:color="auto" w:sz="4" w:space="0"/>
            </w:tcBorders>
            <w:vAlign w:val="center"/>
          </w:tcPr>
          <w:p>
            <w:pPr>
              <w:spacing w:line="0" w:lineRule="atLeast"/>
              <w:ind w:right="-669"/>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 xml:space="preserve">小写：   </w:t>
            </w:r>
          </w:p>
        </w:tc>
        <w:tc>
          <w:tcPr>
            <w:tcW w:w="1233" w:type="dxa"/>
            <w:vMerge w:val="restart"/>
            <w:tcBorders>
              <w:top w:val="nil"/>
            </w:tcBorders>
            <w:vAlign w:val="center"/>
          </w:tcPr>
          <w:p>
            <w:pPr>
              <w:spacing w:line="0" w:lineRule="atLeast"/>
              <w:ind w:right="-669"/>
              <w:rPr>
                <w:rFonts w:hint="eastAsia" w:ascii="宋体" w:hAnsi="宋体"/>
                <w:color w:val="auto"/>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2177" w:type="dxa"/>
            <w:vMerge w:val="continue"/>
            <w:vAlign w:val="center"/>
          </w:tcPr>
          <w:p>
            <w:pPr>
              <w:spacing w:line="0" w:lineRule="atLeast"/>
              <w:jc w:val="center"/>
              <w:rPr>
                <w:rFonts w:hint="eastAsia" w:ascii="宋体" w:hAnsi="宋体"/>
                <w:b/>
                <w:color w:val="auto"/>
                <w:sz w:val="24"/>
                <w:highlight w:val="none"/>
                <w:lang w:val="en-US" w:eastAsia="zh-CN"/>
              </w:rPr>
            </w:pPr>
          </w:p>
        </w:tc>
        <w:tc>
          <w:tcPr>
            <w:tcW w:w="5528" w:type="dxa"/>
            <w:tcBorders>
              <w:top w:val="single" w:color="auto" w:sz="4" w:space="0"/>
            </w:tcBorders>
            <w:vAlign w:val="center"/>
          </w:tcPr>
          <w:p>
            <w:pPr>
              <w:spacing w:line="0" w:lineRule="atLeast"/>
              <w:ind w:right="-669"/>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大写（人民币）：</w:t>
            </w:r>
          </w:p>
        </w:tc>
        <w:tc>
          <w:tcPr>
            <w:tcW w:w="1233" w:type="dxa"/>
            <w:vMerge w:val="continue"/>
            <w:vAlign w:val="center"/>
          </w:tcPr>
          <w:p>
            <w:pPr>
              <w:spacing w:line="0" w:lineRule="atLeast"/>
              <w:ind w:right="-669"/>
              <w:rPr>
                <w:rFonts w:hint="eastAsia" w:ascii="宋体" w:hAnsi="宋体"/>
                <w:color w:val="auto"/>
                <w:sz w:val="24"/>
                <w:highlight w:val="none"/>
                <w:lang w:val="en-US" w:eastAsia="zh-CN"/>
              </w:rPr>
            </w:pPr>
          </w:p>
        </w:tc>
      </w:tr>
    </w:tbl>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注:1、</w:t>
      </w:r>
      <w:r>
        <w:rPr>
          <w:rFonts w:hint="eastAsia" w:ascii="宋体" w:hAnsi="宋体" w:cs="宋体"/>
          <w:color w:val="auto"/>
          <w:sz w:val="24"/>
          <w:szCs w:val="24"/>
          <w:highlight w:val="none"/>
        </w:rPr>
        <w:t>投标单位的报价为综合单价报价（包括产品价款、人工费、运输费及其保险费、搬运力资费、利税和应承担的风险等一切费用）。</w:t>
      </w:r>
    </w:p>
    <w:p>
      <w:pPr>
        <w:pStyle w:val="33"/>
        <w:rPr>
          <w:rFonts w:hint="eastAsia" w:eastAsia="宋体"/>
          <w:b/>
          <w:bCs/>
          <w:color w:val="auto"/>
          <w:highlight w:val="yellow"/>
          <w:lang w:val="en-US" w:eastAsia="zh-CN"/>
        </w:rPr>
      </w:pPr>
      <w:r>
        <w:rPr>
          <w:rFonts w:hint="eastAsia" w:ascii="宋体" w:hAnsi="宋体" w:cs="宋体"/>
          <w:b/>
          <w:bCs/>
          <w:color w:val="auto"/>
          <w:sz w:val="24"/>
          <w:szCs w:val="24"/>
          <w:highlight w:val="yellow"/>
          <w:lang w:val="en-US" w:eastAsia="zh-CN"/>
        </w:rPr>
        <w:t>2、上述数量为一个学年度内计划采购量，因采购内容属于维修更换材料需根据损坏情况及时供货维修，则</w:t>
      </w:r>
      <w:bookmarkStart w:id="40" w:name="_GoBack"/>
      <w:r>
        <w:rPr>
          <w:rFonts w:hint="eastAsia" w:ascii="宋体" w:hAnsi="宋体" w:cs="宋体"/>
          <w:b/>
          <w:bCs/>
          <w:color w:val="auto"/>
          <w:sz w:val="24"/>
          <w:szCs w:val="24"/>
          <w:highlight w:val="yellow"/>
          <w:lang w:val="en-US" w:eastAsia="zh-CN"/>
        </w:rPr>
        <w:t>实际</w:t>
      </w:r>
      <w:bookmarkEnd w:id="40"/>
      <w:r>
        <w:rPr>
          <w:rFonts w:hint="eastAsia" w:ascii="宋体" w:hAnsi="宋体" w:cs="宋体"/>
          <w:b/>
          <w:bCs/>
          <w:color w:val="auto"/>
          <w:sz w:val="24"/>
          <w:szCs w:val="24"/>
          <w:highlight w:val="yellow"/>
          <w:lang w:val="en-US" w:eastAsia="zh-CN"/>
        </w:rPr>
        <w:t>供货按照需要分期、分批零星供货。</w:t>
      </w:r>
    </w:p>
    <w:p>
      <w:pPr>
        <w:pStyle w:val="33"/>
        <w:rPr>
          <w:rFonts w:hint="eastAsia" w:ascii="宋体" w:hAnsi="宋体" w:cs="宋体"/>
          <w:color w:val="auto"/>
          <w:sz w:val="24"/>
          <w:szCs w:val="24"/>
          <w:highlight w:val="none"/>
        </w:rPr>
      </w:pPr>
    </w:p>
    <w:p>
      <w:pPr>
        <w:pStyle w:val="33"/>
        <w:rPr>
          <w:color w:val="auto"/>
          <w:highlight w:val="none"/>
        </w:rPr>
      </w:pPr>
    </w:p>
    <w:p>
      <w:pPr>
        <w:ind w:right="560"/>
        <w:jc w:val="right"/>
        <w:rPr>
          <w:rFonts w:ascii="宋体" w:hAnsi="宋体" w:cs="宋体"/>
          <w:b/>
          <w:bCs/>
          <w:color w:val="auto"/>
          <w:sz w:val="28"/>
          <w:szCs w:val="28"/>
          <w:highlight w:val="none"/>
        </w:rPr>
      </w:pPr>
      <w:r>
        <w:rPr>
          <w:rFonts w:hint="eastAsia" w:ascii="宋体" w:hAnsi="宋体" w:cs="宋体"/>
          <w:b/>
          <w:bCs/>
          <w:color w:val="auto"/>
          <w:sz w:val="28"/>
          <w:szCs w:val="28"/>
          <w:highlight w:val="none"/>
        </w:rPr>
        <w:t>供应商公章：</w:t>
      </w:r>
    </w:p>
    <w:p>
      <w:pPr>
        <w:pStyle w:val="39"/>
        <w:ind w:firstLine="0" w:firstLineChars="0"/>
        <w:jc w:val="right"/>
        <w:rPr>
          <w:rFonts w:hint="eastAsia" w:ascii="宋体" w:hAnsi="宋体" w:cs="宋体"/>
          <w:color w:val="auto"/>
          <w:highlight w:val="none"/>
        </w:rPr>
      </w:pPr>
    </w:p>
    <w:p>
      <w:pPr>
        <w:pStyle w:val="39"/>
        <w:ind w:firstLine="0" w:firstLineChars="0"/>
        <w:jc w:val="right"/>
        <w:rPr>
          <w:rFonts w:hint="eastAsia" w:ascii="宋体" w:hAnsi="宋体" w:cs="宋体"/>
          <w:b/>
          <w:bCs/>
          <w:color w:val="auto"/>
          <w:sz w:val="28"/>
          <w:szCs w:val="28"/>
          <w:highlight w:val="none"/>
        </w:rPr>
      </w:pPr>
      <w:r>
        <w:rPr>
          <w:rFonts w:hint="eastAsia" w:ascii="宋体" w:hAnsi="宋体" w:cs="宋体"/>
          <w:color w:val="auto"/>
          <w:highlight w:val="none"/>
        </w:rPr>
        <w:t>日期：________________</w:t>
      </w:r>
    </w:p>
    <w:p>
      <w:pPr>
        <w:pStyle w:val="7"/>
        <w:ind w:firstLine="0" w:firstLineChars="0"/>
        <w:jc w:val="both"/>
        <w:rPr>
          <w:rFonts w:hint="eastAsia" w:ascii="宋体" w:hAnsi="宋体" w:cs="宋体"/>
          <w:b/>
          <w:bCs/>
          <w:color w:val="auto"/>
          <w:sz w:val="24"/>
          <w:szCs w:val="24"/>
          <w:highlight w:val="none"/>
        </w:rPr>
      </w:pPr>
    </w:p>
    <w:p>
      <w:pPr>
        <w:pStyle w:val="7"/>
        <w:ind w:firstLine="0" w:firstLineChars="0"/>
        <w:jc w:val="center"/>
        <w:rPr>
          <w:rFonts w:hint="eastAsia" w:ascii="宋体" w:hAnsi="宋体" w:cs="宋体"/>
          <w:b/>
          <w:bCs/>
          <w:color w:val="auto"/>
          <w:sz w:val="24"/>
          <w:szCs w:val="24"/>
          <w:highlight w:val="none"/>
        </w:rPr>
      </w:pPr>
    </w:p>
    <w:p>
      <w:pPr>
        <w:pStyle w:val="7"/>
        <w:ind w:firstLine="0" w:firstLineChars="0"/>
        <w:jc w:val="center"/>
        <w:rPr>
          <w:rFonts w:hint="eastAsia" w:ascii="宋体" w:hAnsi="宋体" w:cs="宋体"/>
          <w:b/>
          <w:bCs/>
          <w:color w:val="auto"/>
          <w:sz w:val="24"/>
          <w:szCs w:val="24"/>
          <w:highlight w:val="none"/>
        </w:rPr>
      </w:pPr>
    </w:p>
    <w:p>
      <w:pPr>
        <w:pStyle w:val="7"/>
        <w:ind w:firstLine="0" w:firstLineChars="0"/>
        <w:jc w:val="center"/>
        <w:rPr>
          <w:rFonts w:hint="eastAsia" w:ascii="宋体" w:hAnsi="宋体" w:cs="宋体"/>
          <w:b/>
          <w:bCs/>
          <w:color w:val="auto"/>
          <w:sz w:val="24"/>
          <w:szCs w:val="24"/>
          <w:highlight w:val="none"/>
        </w:rPr>
      </w:pPr>
    </w:p>
    <w:p>
      <w:pPr>
        <w:pStyle w:val="7"/>
        <w:ind w:firstLine="0" w:firstLineChars="0"/>
        <w:jc w:val="center"/>
        <w:rPr>
          <w:rFonts w:hint="eastAsia" w:ascii="宋体" w:hAnsi="宋体" w:cs="宋体"/>
          <w:b/>
          <w:bCs/>
          <w:color w:val="auto"/>
          <w:sz w:val="24"/>
          <w:szCs w:val="24"/>
          <w:highlight w:val="none"/>
        </w:rPr>
      </w:pPr>
    </w:p>
    <w:p>
      <w:pPr>
        <w:pStyle w:val="7"/>
        <w:ind w:firstLine="0" w:firstLineChars="0"/>
        <w:jc w:val="center"/>
        <w:rPr>
          <w:rFonts w:hint="eastAsia" w:ascii="宋体" w:hAnsi="宋体" w:cs="宋体"/>
          <w:b/>
          <w:bCs/>
          <w:color w:val="auto"/>
          <w:sz w:val="24"/>
          <w:szCs w:val="24"/>
          <w:highlight w:val="none"/>
        </w:rPr>
      </w:pPr>
    </w:p>
    <w:p>
      <w:pPr>
        <w:pStyle w:val="7"/>
        <w:ind w:firstLine="0" w:firstLineChars="0"/>
        <w:jc w:val="center"/>
        <w:rPr>
          <w:rFonts w:hint="eastAsia" w:ascii="宋体" w:hAnsi="宋体" w:cs="宋体"/>
          <w:b/>
          <w:bCs/>
          <w:color w:val="auto"/>
          <w:sz w:val="24"/>
          <w:szCs w:val="24"/>
          <w:highlight w:val="none"/>
        </w:rPr>
      </w:pPr>
    </w:p>
    <w:p>
      <w:pPr>
        <w:pStyle w:val="7"/>
        <w:ind w:firstLine="0" w:firstLineChars="0"/>
        <w:jc w:val="center"/>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rPr>
        <w:t>投标报价明细表</w:t>
      </w:r>
    </w:p>
    <w:tbl>
      <w:tblPr>
        <w:tblStyle w:val="18"/>
        <w:tblW w:w="9129"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6"/>
        <w:gridCol w:w="1939"/>
        <w:gridCol w:w="1056"/>
        <w:gridCol w:w="696"/>
        <w:gridCol w:w="1032"/>
        <w:gridCol w:w="960"/>
        <w:gridCol w:w="960"/>
        <w:gridCol w:w="960"/>
        <w:gridCol w:w="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000000"/>
                <w:sz w:val="18"/>
                <w:szCs w:val="18"/>
              </w:rPr>
            </w:pPr>
            <w:r>
              <w:rPr>
                <w:rFonts w:hint="eastAsia" w:ascii="宋体" w:hAnsi="宋体"/>
                <w:b/>
                <w:color w:val="000000"/>
                <w:sz w:val="18"/>
                <w:szCs w:val="18"/>
              </w:rPr>
              <w:t>序号</w:t>
            </w:r>
          </w:p>
        </w:tc>
        <w:tc>
          <w:tcPr>
            <w:tcW w:w="193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000000"/>
                <w:sz w:val="18"/>
                <w:szCs w:val="18"/>
              </w:rPr>
            </w:pPr>
            <w:r>
              <w:rPr>
                <w:rFonts w:hint="eastAsia" w:ascii="宋体" w:hAnsi="宋体"/>
                <w:b/>
                <w:color w:val="000000"/>
                <w:sz w:val="18"/>
                <w:szCs w:val="18"/>
              </w:rPr>
              <w:t>产品名称</w:t>
            </w:r>
          </w:p>
        </w:tc>
        <w:tc>
          <w:tcPr>
            <w:tcW w:w="105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000000"/>
                <w:sz w:val="18"/>
                <w:szCs w:val="18"/>
              </w:rPr>
            </w:pPr>
            <w:r>
              <w:rPr>
                <w:rFonts w:hint="eastAsia" w:ascii="宋体" w:hAnsi="宋体"/>
                <w:b/>
                <w:color w:val="000000"/>
                <w:sz w:val="18"/>
                <w:szCs w:val="18"/>
              </w:rPr>
              <w:t>规格型号</w:t>
            </w:r>
          </w:p>
        </w:tc>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000000"/>
                <w:sz w:val="18"/>
                <w:szCs w:val="18"/>
              </w:rPr>
            </w:pPr>
            <w:r>
              <w:rPr>
                <w:rFonts w:hint="eastAsia" w:ascii="宋体" w:hAnsi="宋体"/>
                <w:b/>
                <w:color w:val="000000"/>
                <w:sz w:val="18"/>
                <w:szCs w:val="18"/>
              </w:rPr>
              <w:t>单位</w:t>
            </w:r>
          </w:p>
        </w:tc>
        <w:tc>
          <w:tcPr>
            <w:tcW w:w="10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000000"/>
                <w:sz w:val="18"/>
                <w:szCs w:val="18"/>
              </w:rPr>
            </w:pPr>
            <w:r>
              <w:rPr>
                <w:rFonts w:hint="eastAsia" w:ascii="宋体" w:hAnsi="宋体"/>
                <w:b/>
                <w:color w:val="000000"/>
                <w:sz w:val="18"/>
                <w:szCs w:val="18"/>
              </w:rPr>
              <w:t>品牌</w:t>
            </w:r>
          </w:p>
        </w:tc>
        <w:tc>
          <w:tcPr>
            <w:tcW w:w="9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18"/>
                <w:szCs w:val="18"/>
              </w:rPr>
            </w:pPr>
            <w:r>
              <w:rPr>
                <w:rFonts w:hint="eastAsia" w:ascii="宋体" w:hAnsi="宋体"/>
                <w:b/>
                <w:color w:val="000000"/>
                <w:sz w:val="18"/>
                <w:szCs w:val="18"/>
              </w:rPr>
              <w:t>计划数量</w:t>
            </w:r>
          </w:p>
        </w:tc>
        <w:tc>
          <w:tcPr>
            <w:tcW w:w="9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b/>
                <w:color w:val="000000"/>
                <w:sz w:val="18"/>
                <w:szCs w:val="18"/>
                <w:lang w:eastAsia="zh-CN"/>
              </w:rPr>
            </w:pPr>
            <w:r>
              <w:rPr>
                <w:rFonts w:hint="eastAsia" w:ascii="宋体" w:hAnsi="宋体"/>
                <w:b/>
                <w:color w:val="000000"/>
                <w:sz w:val="18"/>
                <w:szCs w:val="18"/>
                <w:lang w:eastAsia="zh-CN"/>
              </w:rPr>
              <w:t>单价</w:t>
            </w:r>
          </w:p>
        </w:tc>
        <w:tc>
          <w:tcPr>
            <w:tcW w:w="9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b/>
                <w:color w:val="000000"/>
                <w:sz w:val="18"/>
                <w:szCs w:val="18"/>
                <w:lang w:eastAsia="zh-CN"/>
              </w:rPr>
            </w:pPr>
            <w:r>
              <w:rPr>
                <w:rFonts w:hint="eastAsia" w:ascii="宋体" w:hAnsi="宋体"/>
                <w:b/>
                <w:color w:val="000000"/>
                <w:sz w:val="18"/>
                <w:szCs w:val="18"/>
                <w:lang w:eastAsia="zh-CN"/>
              </w:rPr>
              <w:t>金额</w:t>
            </w:r>
          </w:p>
        </w:tc>
        <w:tc>
          <w:tcPr>
            <w:tcW w:w="9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b/>
                <w:color w:val="000000"/>
                <w:sz w:val="18"/>
                <w:szCs w:val="18"/>
                <w:lang w:eastAsia="zh-CN"/>
              </w:rPr>
            </w:pPr>
            <w:r>
              <w:rPr>
                <w:rFonts w:hint="eastAsia" w:ascii="宋体" w:hAnsi="宋体"/>
                <w:b/>
                <w:color w:val="000000"/>
                <w:sz w:val="18"/>
                <w:szCs w:val="1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w:t>
            </w:r>
          </w:p>
        </w:tc>
        <w:tc>
          <w:tcPr>
            <w:tcW w:w="193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LED灯管</w:t>
            </w: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T8  16w</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1500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2</w:t>
            </w:r>
          </w:p>
        </w:tc>
        <w:tc>
          <w:tcPr>
            <w:tcW w:w="193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LED灯盘</w:t>
            </w: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12W</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3</w:t>
            </w:r>
          </w:p>
        </w:tc>
        <w:tc>
          <w:tcPr>
            <w:tcW w:w="193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LED灯管</w:t>
            </w: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T5  16w</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1000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4</w:t>
            </w:r>
          </w:p>
        </w:tc>
        <w:tc>
          <w:tcPr>
            <w:tcW w:w="1939"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color w:val="000000"/>
                <w:sz w:val="18"/>
                <w:szCs w:val="18"/>
              </w:rPr>
            </w:pPr>
            <w:r>
              <w:rPr>
                <w:rFonts w:hint="eastAsia" w:ascii="宋体" w:hAnsi="宋体"/>
                <w:color w:val="000000"/>
                <w:sz w:val="18"/>
                <w:szCs w:val="18"/>
              </w:rPr>
              <w:t>LED一体支架（含光源）</w:t>
            </w: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T5  16w</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套</w:t>
            </w:r>
          </w:p>
        </w:tc>
        <w:tc>
          <w:tcPr>
            <w:tcW w:w="1032" w:type="dxa"/>
            <w:tcBorders>
              <w:top w:val="single" w:color="auto" w:sz="4" w:space="0"/>
              <w:left w:val="single" w:color="auto" w:sz="4" w:space="0"/>
              <w:bottom w:val="single" w:color="auto" w:sz="4" w:space="0"/>
              <w:right w:val="single" w:color="auto" w:sz="4" w:space="0"/>
            </w:tcBorders>
          </w:tcPr>
          <w:p>
            <w:pPr>
              <w:rPr>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600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5</w:t>
            </w:r>
          </w:p>
        </w:tc>
        <w:tc>
          <w:tcPr>
            <w:tcW w:w="193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格栅灯管</w:t>
            </w: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7W</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套</w:t>
            </w:r>
          </w:p>
        </w:tc>
        <w:tc>
          <w:tcPr>
            <w:tcW w:w="1032" w:type="dxa"/>
            <w:tcBorders>
              <w:top w:val="single" w:color="auto" w:sz="4" w:space="0"/>
              <w:left w:val="single" w:color="auto" w:sz="4" w:space="0"/>
              <w:bottom w:val="single" w:color="auto" w:sz="4" w:space="0"/>
              <w:right w:val="single" w:color="auto" w:sz="4" w:space="0"/>
            </w:tcBorders>
          </w:tcPr>
          <w:p>
            <w:pPr>
              <w:rPr>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7</w:t>
            </w:r>
          </w:p>
        </w:tc>
        <w:tc>
          <w:tcPr>
            <w:tcW w:w="1939" w:type="dxa"/>
            <w:vMerge w:val="restart"/>
            <w:tcBorders>
              <w:top w:val="single" w:color="auto" w:sz="4" w:space="0"/>
              <w:left w:val="single" w:color="auto" w:sz="4" w:space="0"/>
              <w:bottom w:val="single" w:color="auto" w:sz="4" w:space="0"/>
              <w:right w:val="single" w:color="auto" w:sz="4" w:space="0"/>
            </w:tcBorders>
            <w:vAlign w:val="center"/>
          </w:tcPr>
          <w:p>
            <w:pPr>
              <w:widowControl/>
              <w:ind w:firstLine="630" w:firstLineChars="350"/>
              <w:jc w:val="left"/>
              <w:rPr>
                <w:rFonts w:ascii="宋体" w:hAnsi="宋体"/>
                <w:color w:val="000000"/>
                <w:sz w:val="18"/>
                <w:szCs w:val="18"/>
              </w:rPr>
            </w:pPr>
            <w:r>
              <w:rPr>
                <w:rFonts w:hint="eastAsia" w:ascii="宋体" w:hAnsi="宋体"/>
                <w:color w:val="000000"/>
                <w:sz w:val="18"/>
                <w:szCs w:val="18"/>
              </w:rPr>
              <w:t>LED节能灯</w:t>
            </w: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5W</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tcPr>
          <w:p>
            <w:pPr>
              <w:rPr>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2000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8</w:t>
            </w:r>
          </w:p>
        </w:tc>
        <w:tc>
          <w:tcPr>
            <w:tcW w:w="193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000000"/>
                <w:sz w:val="18"/>
                <w:szCs w:val="18"/>
              </w:rPr>
            </w:pP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7W</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tcPr>
          <w:p>
            <w:pPr>
              <w:rPr>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9</w:t>
            </w:r>
          </w:p>
        </w:tc>
        <w:tc>
          <w:tcPr>
            <w:tcW w:w="193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000000"/>
                <w:sz w:val="18"/>
                <w:szCs w:val="18"/>
              </w:rPr>
            </w:pP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12W</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tcPr>
          <w:p>
            <w:pPr>
              <w:rPr>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10</w:t>
            </w:r>
          </w:p>
        </w:tc>
        <w:tc>
          <w:tcPr>
            <w:tcW w:w="193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防水灯头</w:t>
            </w: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E27</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tcPr>
          <w:p>
            <w:pPr>
              <w:rPr>
                <w:rFonts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1000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11</w:t>
            </w:r>
          </w:p>
        </w:tc>
        <w:tc>
          <w:tcPr>
            <w:tcW w:w="193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LED 灯带</w:t>
            </w: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 xml:space="preserve">14W </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根</w:t>
            </w:r>
          </w:p>
        </w:tc>
        <w:tc>
          <w:tcPr>
            <w:tcW w:w="1032" w:type="dxa"/>
            <w:tcBorders>
              <w:top w:val="single" w:color="auto" w:sz="4" w:space="0"/>
              <w:left w:val="single" w:color="auto" w:sz="4" w:space="0"/>
              <w:bottom w:val="single" w:color="auto" w:sz="4" w:space="0"/>
              <w:right w:val="single" w:color="auto" w:sz="4" w:space="0"/>
            </w:tcBorders>
          </w:tcPr>
          <w:p>
            <w:pPr>
              <w:rPr>
                <w:rFonts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80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12</w:t>
            </w:r>
          </w:p>
        </w:tc>
        <w:tc>
          <w:tcPr>
            <w:tcW w:w="1939" w:type="dxa"/>
            <w:vMerge w:val="restart"/>
            <w:tcBorders>
              <w:top w:val="single" w:color="auto" w:sz="4" w:space="0"/>
              <w:left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小型断路器</w:t>
            </w: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 xml:space="preserve">1P 16A 20A </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tcPr>
          <w:p>
            <w:pPr>
              <w:rPr>
                <w:rFonts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13</w:t>
            </w:r>
          </w:p>
        </w:tc>
        <w:tc>
          <w:tcPr>
            <w:tcW w:w="1939" w:type="dxa"/>
            <w:vMerge w:val="continue"/>
            <w:tcBorders>
              <w:left w:val="single" w:color="auto" w:sz="4" w:space="0"/>
              <w:right w:val="single" w:color="auto" w:sz="4" w:space="0"/>
            </w:tcBorders>
            <w:vAlign w:val="center"/>
          </w:tcPr>
          <w:p>
            <w:pPr>
              <w:spacing w:line="320" w:lineRule="exact"/>
              <w:jc w:val="center"/>
              <w:rPr>
                <w:rFonts w:ascii="宋体" w:hAnsi="宋体"/>
                <w:color w:val="000000"/>
                <w:sz w:val="18"/>
                <w:szCs w:val="18"/>
              </w:rPr>
            </w:pP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 xml:space="preserve">2P 16A 20A </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tcPr>
          <w:p>
            <w:pPr>
              <w:rPr>
                <w:rFonts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14</w:t>
            </w:r>
          </w:p>
        </w:tc>
        <w:tc>
          <w:tcPr>
            <w:tcW w:w="1939" w:type="dxa"/>
            <w:vMerge w:val="continue"/>
            <w:tcBorders>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 xml:space="preserve">3P 16A 20A </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tcPr>
          <w:p>
            <w:pPr>
              <w:rPr>
                <w:rFonts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15</w:t>
            </w:r>
          </w:p>
        </w:tc>
        <w:tc>
          <w:tcPr>
            <w:tcW w:w="1939" w:type="dxa"/>
            <w:vMerge w:val="restart"/>
            <w:tcBorders>
              <w:top w:val="single" w:color="auto" w:sz="4" w:space="0"/>
              <w:left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插座面板86型</w:t>
            </w: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三孔</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tcPr>
          <w:p>
            <w:pPr>
              <w:rPr>
                <w:rFonts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16</w:t>
            </w:r>
          </w:p>
        </w:tc>
        <w:tc>
          <w:tcPr>
            <w:tcW w:w="1939" w:type="dxa"/>
            <w:vMerge w:val="continue"/>
            <w:tcBorders>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五孔</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tcPr>
          <w:p>
            <w:pPr>
              <w:rPr>
                <w:rFonts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200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17</w:t>
            </w:r>
          </w:p>
        </w:tc>
        <w:tc>
          <w:tcPr>
            <w:tcW w:w="1939" w:type="dxa"/>
            <w:tcBorders>
              <w:top w:val="single" w:color="auto" w:sz="4" w:space="0"/>
              <w:left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LED光源模组感应灯</w:t>
            </w: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ascii="宋体" w:hAnsi="宋体"/>
                <w:color w:val="000000"/>
                <w:sz w:val="18"/>
                <w:szCs w:val="18"/>
              </w:rPr>
              <w:t>12W</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tcPr>
          <w:p>
            <w:pPr>
              <w:rPr>
                <w:rFonts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50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18</w:t>
            </w:r>
          </w:p>
        </w:tc>
        <w:tc>
          <w:tcPr>
            <w:tcW w:w="1939" w:type="dxa"/>
            <w:tcBorders>
              <w:top w:val="single" w:color="auto" w:sz="4" w:space="0"/>
              <w:left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LED高杆路灯灯头</w:t>
            </w: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(绿+白)30W</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tcPr>
          <w:p>
            <w:pPr>
              <w:rPr>
                <w:rFonts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50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19</w:t>
            </w:r>
          </w:p>
        </w:tc>
        <w:tc>
          <w:tcPr>
            <w:tcW w:w="1939" w:type="dxa"/>
            <w:vMerge w:val="restart"/>
            <w:tcBorders>
              <w:top w:val="single" w:color="auto" w:sz="4" w:space="0"/>
              <w:left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开关面板86型</w:t>
            </w: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单开</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tcPr>
          <w:p>
            <w:pPr>
              <w:rPr>
                <w:rFonts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20</w:t>
            </w:r>
          </w:p>
        </w:tc>
        <w:tc>
          <w:tcPr>
            <w:tcW w:w="1939" w:type="dxa"/>
            <w:vMerge w:val="continue"/>
            <w:tcBorders>
              <w:left w:val="single" w:color="auto" w:sz="4" w:space="0"/>
              <w:right w:val="single" w:color="auto" w:sz="4" w:space="0"/>
            </w:tcBorders>
            <w:vAlign w:val="center"/>
          </w:tcPr>
          <w:p>
            <w:pPr>
              <w:spacing w:line="320" w:lineRule="exact"/>
              <w:jc w:val="center"/>
              <w:rPr>
                <w:rFonts w:ascii="宋体" w:hAnsi="宋体"/>
                <w:color w:val="000000"/>
                <w:sz w:val="18"/>
                <w:szCs w:val="18"/>
              </w:rPr>
            </w:pP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双开</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tcPr>
          <w:p>
            <w:pPr>
              <w:rPr>
                <w:rFonts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100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21</w:t>
            </w:r>
          </w:p>
        </w:tc>
        <w:tc>
          <w:tcPr>
            <w:tcW w:w="1939" w:type="dxa"/>
            <w:vMerge w:val="continue"/>
            <w:tcBorders>
              <w:left w:val="single" w:color="auto" w:sz="4" w:space="0"/>
              <w:right w:val="single" w:color="auto" w:sz="4" w:space="0"/>
            </w:tcBorders>
            <w:vAlign w:val="center"/>
          </w:tcPr>
          <w:p>
            <w:pPr>
              <w:spacing w:line="320" w:lineRule="exact"/>
              <w:jc w:val="center"/>
              <w:rPr>
                <w:rFonts w:ascii="宋体" w:hAnsi="宋体"/>
                <w:color w:val="000000"/>
                <w:sz w:val="18"/>
                <w:szCs w:val="18"/>
              </w:rPr>
            </w:pP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三开</w:t>
            </w: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个</w:t>
            </w:r>
          </w:p>
        </w:tc>
        <w:tc>
          <w:tcPr>
            <w:tcW w:w="1032" w:type="dxa"/>
            <w:tcBorders>
              <w:top w:val="single" w:color="auto" w:sz="4" w:space="0"/>
              <w:left w:val="single" w:color="auto" w:sz="4" w:space="0"/>
              <w:bottom w:val="single" w:color="auto" w:sz="4" w:space="0"/>
              <w:right w:val="single" w:color="auto" w:sz="4" w:space="0"/>
            </w:tcBorders>
          </w:tcPr>
          <w:p>
            <w:pPr>
              <w:rPr>
                <w:rFonts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olor w:val="000000"/>
                <w:sz w:val="18"/>
                <w:szCs w:val="18"/>
              </w:rPr>
            </w:pPr>
            <w:r>
              <w:rPr>
                <w:rFonts w:hint="eastAsia" w:ascii="宋体" w:hAnsi="宋体"/>
                <w:color w:val="000000"/>
                <w:sz w:val="18"/>
                <w:szCs w:val="18"/>
              </w:rPr>
              <w:t>50</w:t>
            </w: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1939" w:type="dxa"/>
            <w:tcBorders>
              <w:left w:val="single" w:color="auto" w:sz="4" w:space="0"/>
              <w:right w:val="single" w:color="auto" w:sz="4" w:space="0"/>
            </w:tcBorders>
            <w:vAlign w:val="center"/>
          </w:tcPr>
          <w:p>
            <w:pPr>
              <w:spacing w:line="320" w:lineRule="exact"/>
              <w:jc w:val="center"/>
              <w:rPr>
                <w:rFonts w:hint="eastAsia" w:ascii="宋体" w:hAnsi="宋体" w:eastAsia="宋体"/>
                <w:color w:val="000000"/>
                <w:sz w:val="18"/>
                <w:szCs w:val="18"/>
                <w:lang w:eastAsia="zh-CN"/>
              </w:rPr>
            </w:pPr>
            <w:r>
              <w:rPr>
                <w:rFonts w:hint="eastAsia" w:ascii="宋体" w:hAnsi="宋体"/>
                <w:color w:val="000000"/>
                <w:sz w:val="18"/>
                <w:szCs w:val="18"/>
                <w:lang w:eastAsia="zh-CN"/>
              </w:rPr>
              <w:t>合计</w:t>
            </w:r>
          </w:p>
        </w:tc>
        <w:tc>
          <w:tcPr>
            <w:tcW w:w="10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69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1032" w:type="dxa"/>
            <w:tcBorders>
              <w:top w:val="single" w:color="auto" w:sz="4" w:space="0"/>
              <w:left w:val="single" w:color="auto" w:sz="4" w:space="0"/>
              <w:bottom w:val="single" w:color="auto" w:sz="4" w:space="0"/>
              <w:right w:val="single" w:color="auto" w:sz="4" w:space="0"/>
            </w:tcBorders>
          </w:tcPr>
          <w:p>
            <w:pP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9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6" w:hRule="atLeast"/>
        </w:trPr>
        <w:tc>
          <w:tcPr>
            <w:tcW w:w="56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olor w:val="000000"/>
                <w:sz w:val="18"/>
                <w:szCs w:val="18"/>
              </w:rPr>
            </w:pPr>
          </w:p>
        </w:tc>
        <w:tc>
          <w:tcPr>
            <w:tcW w:w="1939" w:type="dxa"/>
            <w:tcBorders>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olor w:val="000000"/>
                <w:sz w:val="18"/>
                <w:szCs w:val="18"/>
                <w:lang w:eastAsia="zh-CN"/>
              </w:rPr>
            </w:pPr>
            <w:r>
              <w:rPr>
                <w:rFonts w:hint="eastAsia" w:ascii="宋体" w:hAnsi="宋体"/>
                <w:color w:val="000000"/>
                <w:sz w:val="18"/>
                <w:szCs w:val="18"/>
                <w:lang w:eastAsia="zh-CN"/>
              </w:rPr>
              <w:t>金额（大写）</w:t>
            </w:r>
          </w:p>
        </w:tc>
        <w:tc>
          <w:tcPr>
            <w:tcW w:w="6624" w:type="dxa"/>
            <w:gridSpan w:val="7"/>
            <w:tcBorders>
              <w:top w:val="single" w:color="auto" w:sz="4" w:space="0"/>
              <w:left w:val="single" w:color="auto" w:sz="4" w:space="0"/>
              <w:bottom w:val="single" w:color="auto" w:sz="4" w:space="0"/>
              <w:right w:val="single" w:color="auto" w:sz="4" w:space="0"/>
            </w:tcBorders>
            <w:vAlign w:val="center"/>
          </w:tcPr>
          <w:p>
            <w:pPr>
              <w:spacing w:line="320" w:lineRule="exact"/>
              <w:jc w:val="both"/>
              <w:rPr>
                <w:rFonts w:hint="eastAsia" w:ascii="宋体" w:hAnsi="宋体" w:eastAsia="宋体"/>
                <w:color w:val="000000"/>
                <w:sz w:val="18"/>
                <w:szCs w:val="18"/>
                <w:lang w:eastAsia="zh-CN"/>
              </w:rPr>
            </w:pPr>
            <w:r>
              <w:rPr>
                <w:rFonts w:hint="eastAsia" w:ascii="宋体" w:hAnsi="宋体"/>
                <w:color w:val="000000"/>
                <w:sz w:val="18"/>
                <w:szCs w:val="18"/>
                <w:lang w:eastAsia="zh-CN"/>
              </w:rPr>
              <w:t>人民币：</w:t>
            </w:r>
          </w:p>
        </w:tc>
      </w:tr>
    </w:tbl>
    <w:p>
      <w:pPr>
        <w:adjustRightInd w:val="0"/>
        <w:snapToGrid w:val="0"/>
        <w:spacing w:line="360" w:lineRule="auto"/>
        <w:ind w:right="560"/>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                                      </w:t>
      </w:r>
    </w:p>
    <w:p>
      <w:pPr>
        <w:adjustRightInd w:val="0"/>
        <w:snapToGrid w:val="0"/>
        <w:spacing w:line="360" w:lineRule="auto"/>
        <w:ind w:right="560"/>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投标单位名称：（公章）</w:t>
      </w:r>
      <w:r>
        <w:rPr>
          <w:rFonts w:hint="eastAsia" w:ascii="宋体" w:hAnsi="宋体" w:cs="宋体"/>
          <w:color w:val="auto"/>
          <w:sz w:val="24"/>
          <w:szCs w:val="24"/>
          <w:highlight w:val="none"/>
          <w:lang w:val="en-US" w:eastAsia="zh-CN"/>
        </w:rPr>
        <w:t xml:space="preserve">           </w:t>
      </w:r>
    </w:p>
    <w:p>
      <w:pPr>
        <w:adjustRightInd w:val="0"/>
        <w:snapToGrid w:val="0"/>
        <w:spacing w:line="360" w:lineRule="auto"/>
        <w:ind w:right="560"/>
        <w:jc w:val="right"/>
        <w:rPr>
          <w:rFonts w:hint="eastAsia" w:ascii="宋体" w:hAnsi="宋体" w:cs="宋体"/>
          <w:color w:val="auto"/>
          <w:sz w:val="24"/>
          <w:szCs w:val="24"/>
          <w:highlight w:val="none"/>
          <w:lang w:val="en-US" w:eastAsia="zh-CN"/>
        </w:rPr>
      </w:pPr>
    </w:p>
    <w:p>
      <w:pPr>
        <w:adjustRightInd w:val="0"/>
        <w:snapToGrid w:val="0"/>
        <w:spacing w:line="360" w:lineRule="auto"/>
        <w:ind w:right="560"/>
        <w:jc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法人或被授权人：（签字）</w:t>
      </w:r>
    </w:p>
    <w:p>
      <w:pPr>
        <w:adjustRightInd w:val="0"/>
        <w:snapToGrid w:val="0"/>
        <w:spacing w:line="360" w:lineRule="auto"/>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                   </w:t>
      </w:r>
    </w:p>
    <w:p>
      <w:pPr>
        <w:adjustRightInd w:val="0"/>
        <w:snapToGrid w:val="0"/>
        <w:spacing w:line="360" w:lineRule="auto"/>
        <w:jc w:val="center"/>
        <w:rPr>
          <w:rFonts w:hint="default"/>
          <w:color w:val="auto"/>
          <w:sz w:val="24"/>
          <w:szCs w:val="24"/>
          <w:highlight w:val="none"/>
        </w:rPr>
      </w:pPr>
      <w:r>
        <w:rPr>
          <w:rFonts w:hint="eastAsia" w:ascii="宋体" w:hAnsi="宋体" w:cs="宋体"/>
          <w:color w:val="auto"/>
          <w:sz w:val="24"/>
          <w:szCs w:val="24"/>
          <w:highlight w:val="none"/>
        </w:rPr>
        <w:t>日期：</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华文宋体">
    <w:altName w:val="宋体"/>
    <w:panose1 w:val="02010600040101010101"/>
    <w:charset w:val="86"/>
    <w:family w:val="auto"/>
    <w:pitch w:val="default"/>
    <w:sig w:usb0="00000000" w:usb1="00000000" w:usb2="00000000" w:usb3="00000000" w:csb0="0004009F" w:csb1="DFD70000"/>
  </w:font>
  <w:font w:name="monospace">
    <w:altName w:val="Segoe Print"/>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auto"/>
    <w:pitch w:val="default"/>
    <w:sig w:usb0="00000000" w:usb1="00000000" w:usb2="00000010" w:usb3="00000000" w:csb0="00040000" w:csb1="00000000"/>
  </w:font>
  <w:font w:name="Cambria">
    <w:panose1 w:val="02040503050406030204"/>
    <w:charset w:val="00"/>
    <w:family w:val="auto"/>
    <w:pitch w:val="default"/>
    <w:sig w:usb0="E00002FF" w:usb1="400004FF" w:usb2="00000000" w:usb3="00000000" w:csb0="2000019F" w:csb1="00000000"/>
  </w:font>
  <w:font w:name="Wingdings 2">
    <w:altName w:val="Wingdings"/>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2EF3B4"/>
    <w:multiLevelType w:val="singleLevel"/>
    <w:tmpl w:val="FD2EF3B4"/>
    <w:lvl w:ilvl="0" w:tentative="0">
      <w:start w:val="26"/>
      <w:numFmt w:val="decimal"/>
      <w:suff w:val="nothing"/>
      <w:lvlText w:val="%1、"/>
      <w:lvlJc w:val="left"/>
    </w:lvl>
  </w:abstractNum>
  <w:abstractNum w:abstractNumId="1">
    <w:nsid w:val="00000002"/>
    <w:multiLevelType w:val="multilevel"/>
    <w:tmpl w:val="00000002"/>
    <w:lvl w:ilvl="0" w:tentative="0">
      <w:start w:val="1"/>
      <w:numFmt w:val="japaneseCounting"/>
      <w:pStyle w:val="48"/>
      <w:lvlText w:val="第%1章"/>
      <w:lvlJc w:val="left"/>
      <w:pPr>
        <w:tabs>
          <w:tab w:val="left" w:pos="1080"/>
        </w:tabs>
        <w:ind w:left="1080" w:hanging="1080"/>
      </w:pPr>
      <w:rPr>
        <w:rFonts w:hint="default"/>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614623B"/>
    <w:multiLevelType w:val="singleLevel"/>
    <w:tmpl w:val="4614623B"/>
    <w:lvl w:ilvl="0" w:tentative="0">
      <w:start w:val="36"/>
      <w:numFmt w:val="decimal"/>
      <w:suff w:val="nothing"/>
      <w:lvlText w:val="%1、"/>
      <w:lvlJc w:val="left"/>
    </w:lvl>
  </w:abstractNum>
  <w:abstractNum w:abstractNumId="3">
    <w:nsid w:val="59127DA8"/>
    <w:multiLevelType w:val="singleLevel"/>
    <w:tmpl w:val="59127DA8"/>
    <w:lvl w:ilvl="0" w:tentative="0">
      <w:start w:val="1"/>
      <w:numFmt w:val="decimal"/>
      <w:lvlText w:val="%1."/>
      <w:lvlJc w:val="left"/>
      <w:pPr>
        <w:ind w:left="425" w:hanging="425"/>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iYTA1YWNmYmEwMTFhY2VkZjFmMzY2OWMzYzU2Y2UifQ=="/>
  </w:docVars>
  <w:rsids>
    <w:rsidRoot w:val="00896371"/>
    <w:rsid w:val="00000AE8"/>
    <w:rsid w:val="0001410B"/>
    <w:rsid w:val="0002193E"/>
    <w:rsid w:val="00032E82"/>
    <w:rsid w:val="000525FE"/>
    <w:rsid w:val="00054D6E"/>
    <w:rsid w:val="00081D55"/>
    <w:rsid w:val="0008369B"/>
    <w:rsid w:val="00086235"/>
    <w:rsid w:val="000A408A"/>
    <w:rsid w:val="000B37AD"/>
    <w:rsid w:val="000B37F6"/>
    <w:rsid w:val="000B52FD"/>
    <w:rsid w:val="000F0C5F"/>
    <w:rsid w:val="000F3781"/>
    <w:rsid w:val="000F5ED4"/>
    <w:rsid w:val="000F7DE8"/>
    <w:rsid w:val="00100144"/>
    <w:rsid w:val="001029D3"/>
    <w:rsid w:val="00104B0E"/>
    <w:rsid w:val="00107388"/>
    <w:rsid w:val="00112299"/>
    <w:rsid w:val="00130EA6"/>
    <w:rsid w:val="001337A7"/>
    <w:rsid w:val="00133DB5"/>
    <w:rsid w:val="00135785"/>
    <w:rsid w:val="001376FC"/>
    <w:rsid w:val="001431F2"/>
    <w:rsid w:val="00147752"/>
    <w:rsid w:val="0015006C"/>
    <w:rsid w:val="001540D3"/>
    <w:rsid w:val="00157AE5"/>
    <w:rsid w:val="00163B56"/>
    <w:rsid w:val="00183083"/>
    <w:rsid w:val="001874C1"/>
    <w:rsid w:val="0019443F"/>
    <w:rsid w:val="001A5548"/>
    <w:rsid w:val="001A6A89"/>
    <w:rsid w:val="001B63AA"/>
    <w:rsid w:val="001D198A"/>
    <w:rsid w:val="001D26D4"/>
    <w:rsid w:val="001D36D9"/>
    <w:rsid w:val="001E3006"/>
    <w:rsid w:val="00201EA4"/>
    <w:rsid w:val="00216AE6"/>
    <w:rsid w:val="00217302"/>
    <w:rsid w:val="002273A6"/>
    <w:rsid w:val="002336E3"/>
    <w:rsid w:val="00244CD6"/>
    <w:rsid w:val="00245A23"/>
    <w:rsid w:val="00261150"/>
    <w:rsid w:val="00261A51"/>
    <w:rsid w:val="00263945"/>
    <w:rsid w:val="00266DB7"/>
    <w:rsid w:val="0028484B"/>
    <w:rsid w:val="0029755A"/>
    <w:rsid w:val="00297A97"/>
    <w:rsid w:val="002A72F4"/>
    <w:rsid w:val="002C2B28"/>
    <w:rsid w:val="002C4EDC"/>
    <w:rsid w:val="002D292D"/>
    <w:rsid w:val="002D3F17"/>
    <w:rsid w:val="002E3EE7"/>
    <w:rsid w:val="003107A0"/>
    <w:rsid w:val="00320A8A"/>
    <w:rsid w:val="003579A5"/>
    <w:rsid w:val="003665BE"/>
    <w:rsid w:val="00376B3D"/>
    <w:rsid w:val="00381A5A"/>
    <w:rsid w:val="00383F0C"/>
    <w:rsid w:val="0038720F"/>
    <w:rsid w:val="003924E9"/>
    <w:rsid w:val="00394DA0"/>
    <w:rsid w:val="003A3842"/>
    <w:rsid w:val="003A71B5"/>
    <w:rsid w:val="003C27A1"/>
    <w:rsid w:val="003D23D1"/>
    <w:rsid w:val="003E02AF"/>
    <w:rsid w:val="003E38A8"/>
    <w:rsid w:val="003E4E8F"/>
    <w:rsid w:val="003E7122"/>
    <w:rsid w:val="003F3DCE"/>
    <w:rsid w:val="00400E38"/>
    <w:rsid w:val="00402690"/>
    <w:rsid w:val="004029A7"/>
    <w:rsid w:val="004058A3"/>
    <w:rsid w:val="00412574"/>
    <w:rsid w:val="00417F1C"/>
    <w:rsid w:val="00421F19"/>
    <w:rsid w:val="00423FD3"/>
    <w:rsid w:val="00432D68"/>
    <w:rsid w:val="00433D8A"/>
    <w:rsid w:val="00437EA8"/>
    <w:rsid w:val="004408C0"/>
    <w:rsid w:val="00444FD5"/>
    <w:rsid w:val="0045040C"/>
    <w:rsid w:val="004557AF"/>
    <w:rsid w:val="004624E6"/>
    <w:rsid w:val="004670BE"/>
    <w:rsid w:val="00467F70"/>
    <w:rsid w:val="00473063"/>
    <w:rsid w:val="00485D1E"/>
    <w:rsid w:val="00493341"/>
    <w:rsid w:val="004934DB"/>
    <w:rsid w:val="0049571C"/>
    <w:rsid w:val="00495D8F"/>
    <w:rsid w:val="004A4B81"/>
    <w:rsid w:val="004B13C8"/>
    <w:rsid w:val="004B3B9C"/>
    <w:rsid w:val="004B428C"/>
    <w:rsid w:val="004D0F84"/>
    <w:rsid w:val="004D7141"/>
    <w:rsid w:val="004E0A4A"/>
    <w:rsid w:val="004F72AF"/>
    <w:rsid w:val="005133DE"/>
    <w:rsid w:val="00522AC5"/>
    <w:rsid w:val="00527C92"/>
    <w:rsid w:val="00530C58"/>
    <w:rsid w:val="00535BBB"/>
    <w:rsid w:val="005378FB"/>
    <w:rsid w:val="00543AC4"/>
    <w:rsid w:val="0054773C"/>
    <w:rsid w:val="00547C13"/>
    <w:rsid w:val="005500C1"/>
    <w:rsid w:val="005704F0"/>
    <w:rsid w:val="0057584C"/>
    <w:rsid w:val="00582316"/>
    <w:rsid w:val="00586709"/>
    <w:rsid w:val="00586F87"/>
    <w:rsid w:val="00596C73"/>
    <w:rsid w:val="005A3F59"/>
    <w:rsid w:val="005B0D54"/>
    <w:rsid w:val="005B0F4D"/>
    <w:rsid w:val="005B3FDB"/>
    <w:rsid w:val="005B4E98"/>
    <w:rsid w:val="005D5020"/>
    <w:rsid w:val="005E24E4"/>
    <w:rsid w:val="005F3053"/>
    <w:rsid w:val="005F3CB6"/>
    <w:rsid w:val="006051F8"/>
    <w:rsid w:val="0062492B"/>
    <w:rsid w:val="006275E7"/>
    <w:rsid w:val="00633588"/>
    <w:rsid w:val="00643D79"/>
    <w:rsid w:val="006442BB"/>
    <w:rsid w:val="0066243E"/>
    <w:rsid w:val="00670DDD"/>
    <w:rsid w:val="006831AA"/>
    <w:rsid w:val="006837EB"/>
    <w:rsid w:val="00684FE8"/>
    <w:rsid w:val="0069788C"/>
    <w:rsid w:val="006B2BA7"/>
    <w:rsid w:val="006B6D8A"/>
    <w:rsid w:val="006C2285"/>
    <w:rsid w:val="006D61D5"/>
    <w:rsid w:val="006E13CE"/>
    <w:rsid w:val="006F00E7"/>
    <w:rsid w:val="00700BFD"/>
    <w:rsid w:val="00703546"/>
    <w:rsid w:val="0070676D"/>
    <w:rsid w:val="0070781B"/>
    <w:rsid w:val="00712613"/>
    <w:rsid w:val="00714A9D"/>
    <w:rsid w:val="007220C0"/>
    <w:rsid w:val="00725936"/>
    <w:rsid w:val="00764718"/>
    <w:rsid w:val="007655A2"/>
    <w:rsid w:val="00766079"/>
    <w:rsid w:val="00774C86"/>
    <w:rsid w:val="007823E5"/>
    <w:rsid w:val="00787F5C"/>
    <w:rsid w:val="0079129B"/>
    <w:rsid w:val="007A1D0D"/>
    <w:rsid w:val="007A27EF"/>
    <w:rsid w:val="007A2F7C"/>
    <w:rsid w:val="007A46F9"/>
    <w:rsid w:val="007A5D48"/>
    <w:rsid w:val="007B3834"/>
    <w:rsid w:val="007B58D6"/>
    <w:rsid w:val="007D14A6"/>
    <w:rsid w:val="007D6390"/>
    <w:rsid w:val="007E2969"/>
    <w:rsid w:val="007F4C91"/>
    <w:rsid w:val="00804BCA"/>
    <w:rsid w:val="00814BFB"/>
    <w:rsid w:val="0081793E"/>
    <w:rsid w:val="00823EFE"/>
    <w:rsid w:val="008316A1"/>
    <w:rsid w:val="00836B86"/>
    <w:rsid w:val="0084372C"/>
    <w:rsid w:val="008513A2"/>
    <w:rsid w:val="00855F58"/>
    <w:rsid w:val="008629AD"/>
    <w:rsid w:val="00862D91"/>
    <w:rsid w:val="00874D57"/>
    <w:rsid w:val="00880F28"/>
    <w:rsid w:val="008838FD"/>
    <w:rsid w:val="00896371"/>
    <w:rsid w:val="008A15D7"/>
    <w:rsid w:val="008A4660"/>
    <w:rsid w:val="008A6E55"/>
    <w:rsid w:val="008A6EF2"/>
    <w:rsid w:val="008B1A3F"/>
    <w:rsid w:val="008B7980"/>
    <w:rsid w:val="008D0878"/>
    <w:rsid w:val="00911A40"/>
    <w:rsid w:val="0091388E"/>
    <w:rsid w:val="00916B0E"/>
    <w:rsid w:val="009213D5"/>
    <w:rsid w:val="0092202C"/>
    <w:rsid w:val="00927FF7"/>
    <w:rsid w:val="00940ED5"/>
    <w:rsid w:val="009418A2"/>
    <w:rsid w:val="00944690"/>
    <w:rsid w:val="0094750C"/>
    <w:rsid w:val="00967376"/>
    <w:rsid w:val="00975AC6"/>
    <w:rsid w:val="00980E12"/>
    <w:rsid w:val="00985099"/>
    <w:rsid w:val="009947E0"/>
    <w:rsid w:val="009C062A"/>
    <w:rsid w:val="009C4A6B"/>
    <w:rsid w:val="009C68E2"/>
    <w:rsid w:val="009D601E"/>
    <w:rsid w:val="009F2DF6"/>
    <w:rsid w:val="009F3D9D"/>
    <w:rsid w:val="00A12BAD"/>
    <w:rsid w:val="00A27CD8"/>
    <w:rsid w:val="00A31C6B"/>
    <w:rsid w:val="00A420C5"/>
    <w:rsid w:val="00A62653"/>
    <w:rsid w:val="00A644B0"/>
    <w:rsid w:val="00A65E4A"/>
    <w:rsid w:val="00A67D36"/>
    <w:rsid w:val="00A80211"/>
    <w:rsid w:val="00A81D9E"/>
    <w:rsid w:val="00A85169"/>
    <w:rsid w:val="00AA4F41"/>
    <w:rsid w:val="00AC46F9"/>
    <w:rsid w:val="00AC625D"/>
    <w:rsid w:val="00AD0775"/>
    <w:rsid w:val="00AD3A57"/>
    <w:rsid w:val="00AE1F9A"/>
    <w:rsid w:val="00B127F6"/>
    <w:rsid w:val="00B20638"/>
    <w:rsid w:val="00B37EF1"/>
    <w:rsid w:val="00B413F7"/>
    <w:rsid w:val="00B520C8"/>
    <w:rsid w:val="00B617E3"/>
    <w:rsid w:val="00B62D49"/>
    <w:rsid w:val="00B745D2"/>
    <w:rsid w:val="00B75743"/>
    <w:rsid w:val="00B87A94"/>
    <w:rsid w:val="00B9158C"/>
    <w:rsid w:val="00B94D8D"/>
    <w:rsid w:val="00BA02AA"/>
    <w:rsid w:val="00BA735C"/>
    <w:rsid w:val="00BA7FFA"/>
    <w:rsid w:val="00BC1B7D"/>
    <w:rsid w:val="00BC5950"/>
    <w:rsid w:val="00BE4BB4"/>
    <w:rsid w:val="00BE71A3"/>
    <w:rsid w:val="00BF678E"/>
    <w:rsid w:val="00C10A73"/>
    <w:rsid w:val="00C13B05"/>
    <w:rsid w:val="00C22875"/>
    <w:rsid w:val="00C23042"/>
    <w:rsid w:val="00C23953"/>
    <w:rsid w:val="00C316B3"/>
    <w:rsid w:val="00C36CC9"/>
    <w:rsid w:val="00C37411"/>
    <w:rsid w:val="00C40451"/>
    <w:rsid w:val="00C50E05"/>
    <w:rsid w:val="00C64EC1"/>
    <w:rsid w:val="00C657A2"/>
    <w:rsid w:val="00C73FF7"/>
    <w:rsid w:val="00C757CF"/>
    <w:rsid w:val="00C809BB"/>
    <w:rsid w:val="00C82A8E"/>
    <w:rsid w:val="00C871A4"/>
    <w:rsid w:val="00C95796"/>
    <w:rsid w:val="00CA07BA"/>
    <w:rsid w:val="00CA4BE6"/>
    <w:rsid w:val="00CB05BB"/>
    <w:rsid w:val="00CB33A8"/>
    <w:rsid w:val="00CB4272"/>
    <w:rsid w:val="00CB51FE"/>
    <w:rsid w:val="00CB55C8"/>
    <w:rsid w:val="00CC1895"/>
    <w:rsid w:val="00CC25C4"/>
    <w:rsid w:val="00CC507E"/>
    <w:rsid w:val="00CD2807"/>
    <w:rsid w:val="00CD3A91"/>
    <w:rsid w:val="00CE447C"/>
    <w:rsid w:val="00CF4EB1"/>
    <w:rsid w:val="00D05EB3"/>
    <w:rsid w:val="00D170B2"/>
    <w:rsid w:val="00D22479"/>
    <w:rsid w:val="00D23901"/>
    <w:rsid w:val="00D506CC"/>
    <w:rsid w:val="00D715D2"/>
    <w:rsid w:val="00D77677"/>
    <w:rsid w:val="00D81536"/>
    <w:rsid w:val="00DA3E2F"/>
    <w:rsid w:val="00DB547F"/>
    <w:rsid w:val="00DB5DB4"/>
    <w:rsid w:val="00DB6F96"/>
    <w:rsid w:val="00DC04C5"/>
    <w:rsid w:val="00DC2216"/>
    <w:rsid w:val="00E1487F"/>
    <w:rsid w:val="00E3065B"/>
    <w:rsid w:val="00E36C29"/>
    <w:rsid w:val="00E53E20"/>
    <w:rsid w:val="00E55101"/>
    <w:rsid w:val="00E73DB3"/>
    <w:rsid w:val="00E767A8"/>
    <w:rsid w:val="00E92AA8"/>
    <w:rsid w:val="00EB1ADC"/>
    <w:rsid w:val="00EB782C"/>
    <w:rsid w:val="00EC75C0"/>
    <w:rsid w:val="00ED1251"/>
    <w:rsid w:val="00ED17FC"/>
    <w:rsid w:val="00ED1805"/>
    <w:rsid w:val="00EE3623"/>
    <w:rsid w:val="00EF5C9B"/>
    <w:rsid w:val="00EF7D55"/>
    <w:rsid w:val="00F00945"/>
    <w:rsid w:val="00F00A8C"/>
    <w:rsid w:val="00F04552"/>
    <w:rsid w:val="00F05385"/>
    <w:rsid w:val="00F1465D"/>
    <w:rsid w:val="00F27C13"/>
    <w:rsid w:val="00F32089"/>
    <w:rsid w:val="00F3660B"/>
    <w:rsid w:val="00F4506E"/>
    <w:rsid w:val="00F45C8A"/>
    <w:rsid w:val="00F5087F"/>
    <w:rsid w:val="00F62282"/>
    <w:rsid w:val="00F66F4D"/>
    <w:rsid w:val="00F715DE"/>
    <w:rsid w:val="00FC12D4"/>
    <w:rsid w:val="00FC136D"/>
    <w:rsid w:val="00FC6694"/>
    <w:rsid w:val="00FE6B95"/>
    <w:rsid w:val="00FF6239"/>
    <w:rsid w:val="01125632"/>
    <w:rsid w:val="0117661E"/>
    <w:rsid w:val="01333E4D"/>
    <w:rsid w:val="01640E61"/>
    <w:rsid w:val="01794F02"/>
    <w:rsid w:val="01FE7070"/>
    <w:rsid w:val="02275409"/>
    <w:rsid w:val="02292235"/>
    <w:rsid w:val="022E45C0"/>
    <w:rsid w:val="028E0804"/>
    <w:rsid w:val="02961FB6"/>
    <w:rsid w:val="02B0440F"/>
    <w:rsid w:val="02BC6112"/>
    <w:rsid w:val="031C5633"/>
    <w:rsid w:val="032952D3"/>
    <w:rsid w:val="035C73CA"/>
    <w:rsid w:val="036771A4"/>
    <w:rsid w:val="03A76515"/>
    <w:rsid w:val="03E240CD"/>
    <w:rsid w:val="03E811C6"/>
    <w:rsid w:val="03F177C1"/>
    <w:rsid w:val="0403011E"/>
    <w:rsid w:val="04085C33"/>
    <w:rsid w:val="041732ED"/>
    <w:rsid w:val="042C60C1"/>
    <w:rsid w:val="0457754F"/>
    <w:rsid w:val="04943F9A"/>
    <w:rsid w:val="049F0866"/>
    <w:rsid w:val="04A1050D"/>
    <w:rsid w:val="04C21DBB"/>
    <w:rsid w:val="04EE0852"/>
    <w:rsid w:val="052E7648"/>
    <w:rsid w:val="05401779"/>
    <w:rsid w:val="05BD7399"/>
    <w:rsid w:val="0601146F"/>
    <w:rsid w:val="064A6DFC"/>
    <w:rsid w:val="06695FBE"/>
    <w:rsid w:val="066B3BB4"/>
    <w:rsid w:val="069D0F0C"/>
    <w:rsid w:val="06A40A3C"/>
    <w:rsid w:val="06AC687E"/>
    <w:rsid w:val="06AE1257"/>
    <w:rsid w:val="06E136FF"/>
    <w:rsid w:val="06FC75EC"/>
    <w:rsid w:val="071B1607"/>
    <w:rsid w:val="0750548C"/>
    <w:rsid w:val="076A747E"/>
    <w:rsid w:val="076E3009"/>
    <w:rsid w:val="077D2638"/>
    <w:rsid w:val="077E64FD"/>
    <w:rsid w:val="077F2221"/>
    <w:rsid w:val="07DD03B4"/>
    <w:rsid w:val="07EA291A"/>
    <w:rsid w:val="07F74BA3"/>
    <w:rsid w:val="080F6C95"/>
    <w:rsid w:val="0864229A"/>
    <w:rsid w:val="08955F20"/>
    <w:rsid w:val="08D57166"/>
    <w:rsid w:val="08EB4CAF"/>
    <w:rsid w:val="090E0630"/>
    <w:rsid w:val="09132F50"/>
    <w:rsid w:val="09197C67"/>
    <w:rsid w:val="09216DBA"/>
    <w:rsid w:val="09386AB9"/>
    <w:rsid w:val="095A157E"/>
    <w:rsid w:val="095F2F6B"/>
    <w:rsid w:val="09930C21"/>
    <w:rsid w:val="099C358D"/>
    <w:rsid w:val="09CB0274"/>
    <w:rsid w:val="0A7A1C33"/>
    <w:rsid w:val="0B3938D3"/>
    <w:rsid w:val="0B427B9F"/>
    <w:rsid w:val="0B4E6D12"/>
    <w:rsid w:val="0B590332"/>
    <w:rsid w:val="0B8C0887"/>
    <w:rsid w:val="0B9545F6"/>
    <w:rsid w:val="0BC307F9"/>
    <w:rsid w:val="0BCD3A83"/>
    <w:rsid w:val="0BEB4338"/>
    <w:rsid w:val="0BF64ED7"/>
    <w:rsid w:val="0BF86073"/>
    <w:rsid w:val="0C2915E9"/>
    <w:rsid w:val="0C480ABE"/>
    <w:rsid w:val="0C5B4D83"/>
    <w:rsid w:val="0C7C59F8"/>
    <w:rsid w:val="0C867F7A"/>
    <w:rsid w:val="0CAA3263"/>
    <w:rsid w:val="0CDD3D28"/>
    <w:rsid w:val="0D061930"/>
    <w:rsid w:val="0D1A0F10"/>
    <w:rsid w:val="0D4E70A1"/>
    <w:rsid w:val="0D612E9C"/>
    <w:rsid w:val="0D6F02F0"/>
    <w:rsid w:val="0D7E7FDC"/>
    <w:rsid w:val="0DA37093"/>
    <w:rsid w:val="0DB10E2F"/>
    <w:rsid w:val="0DC13EF9"/>
    <w:rsid w:val="0DF15137"/>
    <w:rsid w:val="0E24517B"/>
    <w:rsid w:val="0E4C7B19"/>
    <w:rsid w:val="0E5670E6"/>
    <w:rsid w:val="0E5711BA"/>
    <w:rsid w:val="0E5D685F"/>
    <w:rsid w:val="0E7321D2"/>
    <w:rsid w:val="0E7620BF"/>
    <w:rsid w:val="0E8C43BD"/>
    <w:rsid w:val="0EA10063"/>
    <w:rsid w:val="0EE90C91"/>
    <w:rsid w:val="0EFA3B00"/>
    <w:rsid w:val="0EFF67DA"/>
    <w:rsid w:val="0F0C06A7"/>
    <w:rsid w:val="0F2E104D"/>
    <w:rsid w:val="0F30071C"/>
    <w:rsid w:val="0F4F1F85"/>
    <w:rsid w:val="0F602CA5"/>
    <w:rsid w:val="0F6543FB"/>
    <w:rsid w:val="0F8746E0"/>
    <w:rsid w:val="0FA82BF5"/>
    <w:rsid w:val="0FA834C5"/>
    <w:rsid w:val="0FF80573"/>
    <w:rsid w:val="100408A2"/>
    <w:rsid w:val="1019318B"/>
    <w:rsid w:val="10355855"/>
    <w:rsid w:val="10367A07"/>
    <w:rsid w:val="10414C67"/>
    <w:rsid w:val="106D2BCE"/>
    <w:rsid w:val="106E1E40"/>
    <w:rsid w:val="10712710"/>
    <w:rsid w:val="10870CC5"/>
    <w:rsid w:val="10972F73"/>
    <w:rsid w:val="10CC48A3"/>
    <w:rsid w:val="11520161"/>
    <w:rsid w:val="115A08A6"/>
    <w:rsid w:val="117E1970"/>
    <w:rsid w:val="118B6F43"/>
    <w:rsid w:val="11AA29F9"/>
    <w:rsid w:val="11C6558D"/>
    <w:rsid w:val="11D43DB6"/>
    <w:rsid w:val="11EC3ECC"/>
    <w:rsid w:val="123D36C4"/>
    <w:rsid w:val="127D0CBC"/>
    <w:rsid w:val="128B4EA3"/>
    <w:rsid w:val="129C56DC"/>
    <w:rsid w:val="129F4CCD"/>
    <w:rsid w:val="131F6C4E"/>
    <w:rsid w:val="13380BAF"/>
    <w:rsid w:val="134D4FCE"/>
    <w:rsid w:val="13900757"/>
    <w:rsid w:val="13D009E9"/>
    <w:rsid w:val="13E36A0D"/>
    <w:rsid w:val="13E43713"/>
    <w:rsid w:val="13E866F6"/>
    <w:rsid w:val="13EF0BCF"/>
    <w:rsid w:val="14262D0C"/>
    <w:rsid w:val="14324730"/>
    <w:rsid w:val="14366A8E"/>
    <w:rsid w:val="14457BED"/>
    <w:rsid w:val="14491882"/>
    <w:rsid w:val="145758B1"/>
    <w:rsid w:val="146D6583"/>
    <w:rsid w:val="1470236D"/>
    <w:rsid w:val="147171CD"/>
    <w:rsid w:val="148F076C"/>
    <w:rsid w:val="14A6417D"/>
    <w:rsid w:val="14BB4CD5"/>
    <w:rsid w:val="14F1529A"/>
    <w:rsid w:val="14F95196"/>
    <w:rsid w:val="15044A66"/>
    <w:rsid w:val="1532218F"/>
    <w:rsid w:val="153B469B"/>
    <w:rsid w:val="155141EB"/>
    <w:rsid w:val="15713050"/>
    <w:rsid w:val="15A52B9C"/>
    <w:rsid w:val="15D10DDC"/>
    <w:rsid w:val="15DE2C1A"/>
    <w:rsid w:val="15EA6B55"/>
    <w:rsid w:val="15F64408"/>
    <w:rsid w:val="16387072"/>
    <w:rsid w:val="164731E3"/>
    <w:rsid w:val="166434FC"/>
    <w:rsid w:val="16690F9B"/>
    <w:rsid w:val="1674664B"/>
    <w:rsid w:val="168B3B0C"/>
    <w:rsid w:val="169B7DBA"/>
    <w:rsid w:val="169E0F62"/>
    <w:rsid w:val="16A2102F"/>
    <w:rsid w:val="16D01FC3"/>
    <w:rsid w:val="16E75916"/>
    <w:rsid w:val="16E86F3F"/>
    <w:rsid w:val="17087A0E"/>
    <w:rsid w:val="172018D7"/>
    <w:rsid w:val="174273FF"/>
    <w:rsid w:val="17507922"/>
    <w:rsid w:val="17651357"/>
    <w:rsid w:val="17C60750"/>
    <w:rsid w:val="17CD2E9F"/>
    <w:rsid w:val="17F4092A"/>
    <w:rsid w:val="17F57CFA"/>
    <w:rsid w:val="18104805"/>
    <w:rsid w:val="181178D7"/>
    <w:rsid w:val="183E3F71"/>
    <w:rsid w:val="18576002"/>
    <w:rsid w:val="185B3483"/>
    <w:rsid w:val="185E76B0"/>
    <w:rsid w:val="18612293"/>
    <w:rsid w:val="18687FBD"/>
    <w:rsid w:val="186E74E4"/>
    <w:rsid w:val="1870161C"/>
    <w:rsid w:val="187022C8"/>
    <w:rsid w:val="18884DF1"/>
    <w:rsid w:val="1890792B"/>
    <w:rsid w:val="189E0447"/>
    <w:rsid w:val="18FD2C02"/>
    <w:rsid w:val="19081EB4"/>
    <w:rsid w:val="193B35D5"/>
    <w:rsid w:val="19623520"/>
    <w:rsid w:val="196A0D79"/>
    <w:rsid w:val="199F4E58"/>
    <w:rsid w:val="19B97CBC"/>
    <w:rsid w:val="19BD52BE"/>
    <w:rsid w:val="19CB7BF3"/>
    <w:rsid w:val="19D20838"/>
    <w:rsid w:val="19F42B96"/>
    <w:rsid w:val="1A08123B"/>
    <w:rsid w:val="1A16144F"/>
    <w:rsid w:val="1A223DBB"/>
    <w:rsid w:val="1A2B7206"/>
    <w:rsid w:val="1A373E42"/>
    <w:rsid w:val="1A3E5C92"/>
    <w:rsid w:val="1A4214D9"/>
    <w:rsid w:val="1A4451F8"/>
    <w:rsid w:val="1A5F683F"/>
    <w:rsid w:val="1A812E55"/>
    <w:rsid w:val="1AAC5E5A"/>
    <w:rsid w:val="1AB21776"/>
    <w:rsid w:val="1AD96720"/>
    <w:rsid w:val="1B0E6E16"/>
    <w:rsid w:val="1B361401"/>
    <w:rsid w:val="1B3C4638"/>
    <w:rsid w:val="1B430721"/>
    <w:rsid w:val="1B590757"/>
    <w:rsid w:val="1B7B4FED"/>
    <w:rsid w:val="1B991A3F"/>
    <w:rsid w:val="1BA60C68"/>
    <w:rsid w:val="1BBF0758"/>
    <w:rsid w:val="1BD13AC7"/>
    <w:rsid w:val="1BED7395"/>
    <w:rsid w:val="1BF90B16"/>
    <w:rsid w:val="1C48086D"/>
    <w:rsid w:val="1C574427"/>
    <w:rsid w:val="1CA97AA3"/>
    <w:rsid w:val="1CEA6000"/>
    <w:rsid w:val="1CF64350"/>
    <w:rsid w:val="1D146CEA"/>
    <w:rsid w:val="1D413019"/>
    <w:rsid w:val="1D455ABE"/>
    <w:rsid w:val="1D484724"/>
    <w:rsid w:val="1D4D1D7A"/>
    <w:rsid w:val="1D913BCC"/>
    <w:rsid w:val="1DCC4996"/>
    <w:rsid w:val="1DE01807"/>
    <w:rsid w:val="1DE548A2"/>
    <w:rsid w:val="1DE759AA"/>
    <w:rsid w:val="1DE83D1F"/>
    <w:rsid w:val="1DFC6B4F"/>
    <w:rsid w:val="1E064C8B"/>
    <w:rsid w:val="1E10412A"/>
    <w:rsid w:val="1E134478"/>
    <w:rsid w:val="1E17174B"/>
    <w:rsid w:val="1E2A1040"/>
    <w:rsid w:val="1EAF3ECC"/>
    <w:rsid w:val="1EBF5573"/>
    <w:rsid w:val="1F0A72C1"/>
    <w:rsid w:val="1F165D96"/>
    <w:rsid w:val="1F1F0FC8"/>
    <w:rsid w:val="1F236D40"/>
    <w:rsid w:val="1F315EB1"/>
    <w:rsid w:val="1F5749FD"/>
    <w:rsid w:val="1F5864C3"/>
    <w:rsid w:val="1F8E037F"/>
    <w:rsid w:val="1F9C6B58"/>
    <w:rsid w:val="1FAD02B1"/>
    <w:rsid w:val="1FC625A4"/>
    <w:rsid w:val="1FD87875"/>
    <w:rsid w:val="1FEB7CC7"/>
    <w:rsid w:val="200106EA"/>
    <w:rsid w:val="20062CDD"/>
    <w:rsid w:val="201E59E4"/>
    <w:rsid w:val="20236E77"/>
    <w:rsid w:val="2026531D"/>
    <w:rsid w:val="202B4CCD"/>
    <w:rsid w:val="20742ED5"/>
    <w:rsid w:val="20B74618"/>
    <w:rsid w:val="20F83542"/>
    <w:rsid w:val="2113419A"/>
    <w:rsid w:val="217E29AD"/>
    <w:rsid w:val="219C3FF1"/>
    <w:rsid w:val="21AB63C8"/>
    <w:rsid w:val="21D87DF4"/>
    <w:rsid w:val="21EE55BB"/>
    <w:rsid w:val="22B77057"/>
    <w:rsid w:val="22BC5266"/>
    <w:rsid w:val="22C60884"/>
    <w:rsid w:val="22CA6C23"/>
    <w:rsid w:val="22FD1FDE"/>
    <w:rsid w:val="2323577C"/>
    <w:rsid w:val="237B256D"/>
    <w:rsid w:val="2392014C"/>
    <w:rsid w:val="23AF3CBB"/>
    <w:rsid w:val="23D47F37"/>
    <w:rsid w:val="24045060"/>
    <w:rsid w:val="24150C4D"/>
    <w:rsid w:val="24255F03"/>
    <w:rsid w:val="243E60FA"/>
    <w:rsid w:val="24523542"/>
    <w:rsid w:val="24666852"/>
    <w:rsid w:val="248D4820"/>
    <w:rsid w:val="24C9482B"/>
    <w:rsid w:val="24CA628D"/>
    <w:rsid w:val="24F82FAF"/>
    <w:rsid w:val="24FE3C72"/>
    <w:rsid w:val="25081BB6"/>
    <w:rsid w:val="25140A11"/>
    <w:rsid w:val="2516191E"/>
    <w:rsid w:val="25465AA1"/>
    <w:rsid w:val="25957CB7"/>
    <w:rsid w:val="2597479D"/>
    <w:rsid w:val="25B35962"/>
    <w:rsid w:val="25BE4319"/>
    <w:rsid w:val="25CB2802"/>
    <w:rsid w:val="25CD127A"/>
    <w:rsid w:val="26085CC2"/>
    <w:rsid w:val="26126DE5"/>
    <w:rsid w:val="26271A91"/>
    <w:rsid w:val="26855D66"/>
    <w:rsid w:val="26B31E3D"/>
    <w:rsid w:val="26BD183E"/>
    <w:rsid w:val="26F31A02"/>
    <w:rsid w:val="26F6303B"/>
    <w:rsid w:val="26F913AE"/>
    <w:rsid w:val="270102D7"/>
    <w:rsid w:val="27052F06"/>
    <w:rsid w:val="270912B2"/>
    <w:rsid w:val="27730D9F"/>
    <w:rsid w:val="277A3DC6"/>
    <w:rsid w:val="27932072"/>
    <w:rsid w:val="27A00D79"/>
    <w:rsid w:val="27B0664D"/>
    <w:rsid w:val="27BB02FA"/>
    <w:rsid w:val="27D312BE"/>
    <w:rsid w:val="282C18EC"/>
    <w:rsid w:val="2841408F"/>
    <w:rsid w:val="284C15DE"/>
    <w:rsid w:val="28520B05"/>
    <w:rsid w:val="286B5195"/>
    <w:rsid w:val="287A7E8C"/>
    <w:rsid w:val="288E0818"/>
    <w:rsid w:val="28D35F01"/>
    <w:rsid w:val="28E23F36"/>
    <w:rsid w:val="28EB2525"/>
    <w:rsid w:val="28F14D5F"/>
    <w:rsid w:val="28FA05F4"/>
    <w:rsid w:val="291546E5"/>
    <w:rsid w:val="29251F77"/>
    <w:rsid w:val="29583E9D"/>
    <w:rsid w:val="296033A1"/>
    <w:rsid w:val="296E41CB"/>
    <w:rsid w:val="297705EB"/>
    <w:rsid w:val="297A15E9"/>
    <w:rsid w:val="29A3343E"/>
    <w:rsid w:val="29A437B8"/>
    <w:rsid w:val="29A51116"/>
    <w:rsid w:val="29AA6A5F"/>
    <w:rsid w:val="29B771BC"/>
    <w:rsid w:val="29B87F77"/>
    <w:rsid w:val="29DE308B"/>
    <w:rsid w:val="29ED0764"/>
    <w:rsid w:val="29F639D6"/>
    <w:rsid w:val="2A1B606F"/>
    <w:rsid w:val="2A4A26B6"/>
    <w:rsid w:val="2A596300"/>
    <w:rsid w:val="2A5C3512"/>
    <w:rsid w:val="2A9A47FE"/>
    <w:rsid w:val="2ABF23BA"/>
    <w:rsid w:val="2AD4286D"/>
    <w:rsid w:val="2AD7022B"/>
    <w:rsid w:val="2AD72325"/>
    <w:rsid w:val="2AE43D26"/>
    <w:rsid w:val="2AFC760D"/>
    <w:rsid w:val="2B0F1027"/>
    <w:rsid w:val="2B0F238C"/>
    <w:rsid w:val="2B490455"/>
    <w:rsid w:val="2B566288"/>
    <w:rsid w:val="2B580559"/>
    <w:rsid w:val="2B665686"/>
    <w:rsid w:val="2B9E20B3"/>
    <w:rsid w:val="2BA70277"/>
    <w:rsid w:val="2BB76DBC"/>
    <w:rsid w:val="2BEE1CE6"/>
    <w:rsid w:val="2C050D01"/>
    <w:rsid w:val="2C142F9C"/>
    <w:rsid w:val="2C1B1AEC"/>
    <w:rsid w:val="2C1E29AB"/>
    <w:rsid w:val="2C280B1A"/>
    <w:rsid w:val="2C3A5BB1"/>
    <w:rsid w:val="2C6A0207"/>
    <w:rsid w:val="2CA727EF"/>
    <w:rsid w:val="2CCB7057"/>
    <w:rsid w:val="2CFD49C0"/>
    <w:rsid w:val="2D28328D"/>
    <w:rsid w:val="2D2F3879"/>
    <w:rsid w:val="2D3F772E"/>
    <w:rsid w:val="2D422599"/>
    <w:rsid w:val="2D4570DF"/>
    <w:rsid w:val="2D4E7109"/>
    <w:rsid w:val="2D8B2992"/>
    <w:rsid w:val="2D975783"/>
    <w:rsid w:val="2DAC5697"/>
    <w:rsid w:val="2DC86869"/>
    <w:rsid w:val="2DCD0879"/>
    <w:rsid w:val="2DCE0BB4"/>
    <w:rsid w:val="2E132D36"/>
    <w:rsid w:val="2E370CBE"/>
    <w:rsid w:val="2E4A1DEA"/>
    <w:rsid w:val="2E6C50C7"/>
    <w:rsid w:val="2E794548"/>
    <w:rsid w:val="2E88100D"/>
    <w:rsid w:val="2EB31BC4"/>
    <w:rsid w:val="2EC31EFB"/>
    <w:rsid w:val="2ED378EE"/>
    <w:rsid w:val="2EDD0F98"/>
    <w:rsid w:val="2F133A99"/>
    <w:rsid w:val="2F2939CF"/>
    <w:rsid w:val="2F2C7816"/>
    <w:rsid w:val="2FAD7949"/>
    <w:rsid w:val="2FD906E2"/>
    <w:rsid w:val="2FDB2BE7"/>
    <w:rsid w:val="2FE857C4"/>
    <w:rsid w:val="2FE85A5D"/>
    <w:rsid w:val="2FF55D3B"/>
    <w:rsid w:val="300A3482"/>
    <w:rsid w:val="30172307"/>
    <w:rsid w:val="301F5039"/>
    <w:rsid w:val="302108CC"/>
    <w:rsid w:val="305665BC"/>
    <w:rsid w:val="306972EF"/>
    <w:rsid w:val="30955E61"/>
    <w:rsid w:val="309C03A1"/>
    <w:rsid w:val="30AB4C04"/>
    <w:rsid w:val="30B67007"/>
    <w:rsid w:val="30BD2902"/>
    <w:rsid w:val="30DB20FA"/>
    <w:rsid w:val="313B356E"/>
    <w:rsid w:val="316454D4"/>
    <w:rsid w:val="319F3796"/>
    <w:rsid w:val="31B3487D"/>
    <w:rsid w:val="31DB01B2"/>
    <w:rsid w:val="31E4561D"/>
    <w:rsid w:val="31EB3DBE"/>
    <w:rsid w:val="31F44C4E"/>
    <w:rsid w:val="32340A40"/>
    <w:rsid w:val="327D6BA0"/>
    <w:rsid w:val="32BA7335"/>
    <w:rsid w:val="32C76A49"/>
    <w:rsid w:val="32D70E9F"/>
    <w:rsid w:val="33140BFF"/>
    <w:rsid w:val="331D0B62"/>
    <w:rsid w:val="33222B94"/>
    <w:rsid w:val="335C513B"/>
    <w:rsid w:val="336C75C0"/>
    <w:rsid w:val="33976A8F"/>
    <w:rsid w:val="33A637F6"/>
    <w:rsid w:val="33C450F7"/>
    <w:rsid w:val="33E044BD"/>
    <w:rsid w:val="33E5375D"/>
    <w:rsid w:val="33E811AF"/>
    <w:rsid w:val="34105946"/>
    <w:rsid w:val="34AF6DE2"/>
    <w:rsid w:val="34E73036"/>
    <w:rsid w:val="34E73B5B"/>
    <w:rsid w:val="35053B7E"/>
    <w:rsid w:val="351C2261"/>
    <w:rsid w:val="351F0820"/>
    <w:rsid w:val="35265A64"/>
    <w:rsid w:val="352E178E"/>
    <w:rsid w:val="353D5A6C"/>
    <w:rsid w:val="356640B6"/>
    <w:rsid w:val="358068B6"/>
    <w:rsid w:val="35923EB6"/>
    <w:rsid w:val="35A7022B"/>
    <w:rsid w:val="35A73001"/>
    <w:rsid w:val="35AE26C0"/>
    <w:rsid w:val="35D51758"/>
    <w:rsid w:val="35E23227"/>
    <w:rsid w:val="35E57456"/>
    <w:rsid w:val="35EC42FC"/>
    <w:rsid w:val="360363ED"/>
    <w:rsid w:val="361A6252"/>
    <w:rsid w:val="362221D6"/>
    <w:rsid w:val="36441538"/>
    <w:rsid w:val="36441A72"/>
    <w:rsid w:val="36480DC1"/>
    <w:rsid w:val="364D7F18"/>
    <w:rsid w:val="365E000D"/>
    <w:rsid w:val="366525B3"/>
    <w:rsid w:val="368956F0"/>
    <w:rsid w:val="369D0C69"/>
    <w:rsid w:val="36A929CD"/>
    <w:rsid w:val="36B81132"/>
    <w:rsid w:val="36EB34D2"/>
    <w:rsid w:val="36FA77DA"/>
    <w:rsid w:val="36FE35B9"/>
    <w:rsid w:val="370B0416"/>
    <w:rsid w:val="37692AD8"/>
    <w:rsid w:val="376C219A"/>
    <w:rsid w:val="37B81A8B"/>
    <w:rsid w:val="37B861E9"/>
    <w:rsid w:val="37DB2008"/>
    <w:rsid w:val="380419B1"/>
    <w:rsid w:val="38254E0B"/>
    <w:rsid w:val="382770C8"/>
    <w:rsid w:val="382E6857"/>
    <w:rsid w:val="384B5CF1"/>
    <w:rsid w:val="38A558C0"/>
    <w:rsid w:val="38B35573"/>
    <w:rsid w:val="38BE6B80"/>
    <w:rsid w:val="394C63D6"/>
    <w:rsid w:val="395917E3"/>
    <w:rsid w:val="396E2C53"/>
    <w:rsid w:val="396F2D59"/>
    <w:rsid w:val="39816AAD"/>
    <w:rsid w:val="39872DA3"/>
    <w:rsid w:val="399C3736"/>
    <w:rsid w:val="39B26477"/>
    <w:rsid w:val="39D23E9E"/>
    <w:rsid w:val="39E24ACA"/>
    <w:rsid w:val="3A396684"/>
    <w:rsid w:val="3A4859D4"/>
    <w:rsid w:val="3A8D3977"/>
    <w:rsid w:val="3A8D526B"/>
    <w:rsid w:val="3A8F472D"/>
    <w:rsid w:val="3AC74892"/>
    <w:rsid w:val="3B133C60"/>
    <w:rsid w:val="3B276000"/>
    <w:rsid w:val="3B5D6656"/>
    <w:rsid w:val="3B78080C"/>
    <w:rsid w:val="3B971F67"/>
    <w:rsid w:val="3BF62160"/>
    <w:rsid w:val="3C386752"/>
    <w:rsid w:val="3C495DFB"/>
    <w:rsid w:val="3C730555"/>
    <w:rsid w:val="3C795CCE"/>
    <w:rsid w:val="3C9575CA"/>
    <w:rsid w:val="3CA706DF"/>
    <w:rsid w:val="3CA978B3"/>
    <w:rsid w:val="3CC636BD"/>
    <w:rsid w:val="3CF46160"/>
    <w:rsid w:val="3D1B5C7D"/>
    <w:rsid w:val="3D3207C2"/>
    <w:rsid w:val="3D502F92"/>
    <w:rsid w:val="3D553769"/>
    <w:rsid w:val="3D5F645A"/>
    <w:rsid w:val="3D846871"/>
    <w:rsid w:val="3D8F471C"/>
    <w:rsid w:val="3D927B0E"/>
    <w:rsid w:val="3D942879"/>
    <w:rsid w:val="3D967217"/>
    <w:rsid w:val="3DD94828"/>
    <w:rsid w:val="3DE076E9"/>
    <w:rsid w:val="3E2758EC"/>
    <w:rsid w:val="3E4F5388"/>
    <w:rsid w:val="3E63382E"/>
    <w:rsid w:val="3E662483"/>
    <w:rsid w:val="3F011C01"/>
    <w:rsid w:val="3F121B31"/>
    <w:rsid w:val="3F3A726B"/>
    <w:rsid w:val="3F5604EF"/>
    <w:rsid w:val="3F604DE8"/>
    <w:rsid w:val="3F6A75EA"/>
    <w:rsid w:val="3F9E4518"/>
    <w:rsid w:val="40611A5F"/>
    <w:rsid w:val="406B07E2"/>
    <w:rsid w:val="409C765C"/>
    <w:rsid w:val="40A348DE"/>
    <w:rsid w:val="40C7275A"/>
    <w:rsid w:val="40DF7FBC"/>
    <w:rsid w:val="40F76E51"/>
    <w:rsid w:val="40FF4938"/>
    <w:rsid w:val="41466617"/>
    <w:rsid w:val="41766430"/>
    <w:rsid w:val="417B4011"/>
    <w:rsid w:val="419F3F72"/>
    <w:rsid w:val="41B94D1B"/>
    <w:rsid w:val="41DB3FAE"/>
    <w:rsid w:val="422B5287"/>
    <w:rsid w:val="42631A7E"/>
    <w:rsid w:val="427D25E4"/>
    <w:rsid w:val="428C23FC"/>
    <w:rsid w:val="42B924EE"/>
    <w:rsid w:val="42DF4633"/>
    <w:rsid w:val="42E83D3D"/>
    <w:rsid w:val="42F301D9"/>
    <w:rsid w:val="43263FA8"/>
    <w:rsid w:val="43D230AF"/>
    <w:rsid w:val="43EF23E4"/>
    <w:rsid w:val="440B6D1B"/>
    <w:rsid w:val="442072B8"/>
    <w:rsid w:val="44386A73"/>
    <w:rsid w:val="443F072C"/>
    <w:rsid w:val="444C3F2F"/>
    <w:rsid w:val="446F234B"/>
    <w:rsid w:val="446F6C3E"/>
    <w:rsid w:val="447D31CB"/>
    <w:rsid w:val="44817C91"/>
    <w:rsid w:val="44901136"/>
    <w:rsid w:val="44951712"/>
    <w:rsid w:val="44A62337"/>
    <w:rsid w:val="44B31A73"/>
    <w:rsid w:val="450C3565"/>
    <w:rsid w:val="450F5EDC"/>
    <w:rsid w:val="4555752C"/>
    <w:rsid w:val="455616DA"/>
    <w:rsid w:val="4564102E"/>
    <w:rsid w:val="458D655E"/>
    <w:rsid w:val="459554BA"/>
    <w:rsid w:val="45977CB9"/>
    <w:rsid w:val="45C06143"/>
    <w:rsid w:val="45F3120A"/>
    <w:rsid w:val="46036040"/>
    <w:rsid w:val="465B6A87"/>
    <w:rsid w:val="467A10D5"/>
    <w:rsid w:val="468B7B0D"/>
    <w:rsid w:val="46A3759E"/>
    <w:rsid w:val="46A9346A"/>
    <w:rsid w:val="46C47A5E"/>
    <w:rsid w:val="46E26B3D"/>
    <w:rsid w:val="47351B81"/>
    <w:rsid w:val="47382254"/>
    <w:rsid w:val="475529E2"/>
    <w:rsid w:val="47EF31A0"/>
    <w:rsid w:val="480F3A16"/>
    <w:rsid w:val="4828657E"/>
    <w:rsid w:val="48403CA2"/>
    <w:rsid w:val="48456BF4"/>
    <w:rsid w:val="4857023D"/>
    <w:rsid w:val="48676D13"/>
    <w:rsid w:val="487C4820"/>
    <w:rsid w:val="488D0C4B"/>
    <w:rsid w:val="489270BD"/>
    <w:rsid w:val="489608EB"/>
    <w:rsid w:val="4899426D"/>
    <w:rsid w:val="48A81985"/>
    <w:rsid w:val="48B93570"/>
    <w:rsid w:val="48DC495B"/>
    <w:rsid w:val="49032F11"/>
    <w:rsid w:val="4931482F"/>
    <w:rsid w:val="49374BE2"/>
    <w:rsid w:val="49385D21"/>
    <w:rsid w:val="49387CCE"/>
    <w:rsid w:val="493D46F3"/>
    <w:rsid w:val="493E2876"/>
    <w:rsid w:val="49440899"/>
    <w:rsid w:val="49612519"/>
    <w:rsid w:val="49731E05"/>
    <w:rsid w:val="497D311D"/>
    <w:rsid w:val="498D1FF3"/>
    <w:rsid w:val="498E17A2"/>
    <w:rsid w:val="49940F6B"/>
    <w:rsid w:val="49C6088D"/>
    <w:rsid w:val="49D906BB"/>
    <w:rsid w:val="49FD50B3"/>
    <w:rsid w:val="4A103A2F"/>
    <w:rsid w:val="4A125791"/>
    <w:rsid w:val="4A4C77BD"/>
    <w:rsid w:val="4AAF746A"/>
    <w:rsid w:val="4AF81754"/>
    <w:rsid w:val="4B1A25DD"/>
    <w:rsid w:val="4B42581C"/>
    <w:rsid w:val="4B5B7A23"/>
    <w:rsid w:val="4B785893"/>
    <w:rsid w:val="4B86761E"/>
    <w:rsid w:val="4BAE0CC8"/>
    <w:rsid w:val="4BB52788"/>
    <w:rsid w:val="4BE82E21"/>
    <w:rsid w:val="4BED5A2F"/>
    <w:rsid w:val="4C306F9B"/>
    <w:rsid w:val="4C333D49"/>
    <w:rsid w:val="4C4446DC"/>
    <w:rsid w:val="4C4A57B7"/>
    <w:rsid w:val="4C51641C"/>
    <w:rsid w:val="4C667F7E"/>
    <w:rsid w:val="4C7C35D8"/>
    <w:rsid w:val="4C7E3657"/>
    <w:rsid w:val="4CE32C86"/>
    <w:rsid w:val="4CF75A53"/>
    <w:rsid w:val="4D181A4B"/>
    <w:rsid w:val="4D221445"/>
    <w:rsid w:val="4D435326"/>
    <w:rsid w:val="4D8118E5"/>
    <w:rsid w:val="4DCC14C5"/>
    <w:rsid w:val="4DD94F4A"/>
    <w:rsid w:val="4DDE47CE"/>
    <w:rsid w:val="4DF0388A"/>
    <w:rsid w:val="4E42596C"/>
    <w:rsid w:val="4EA231DD"/>
    <w:rsid w:val="4EAC2A23"/>
    <w:rsid w:val="4F611C19"/>
    <w:rsid w:val="4F674150"/>
    <w:rsid w:val="4F940F1B"/>
    <w:rsid w:val="4F941534"/>
    <w:rsid w:val="4F9A02A1"/>
    <w:rsid w:val="4FA24E54"/>
    <w:rsid w:val="4FA83DC1"/>
    <w:rsid w:val="4FB452A2"/>
    <w:rsid w:val="4FB603E3"/>
    <w:rsid w:val="4FD85A97"/>
    <w:rsid w:val="50167CCC"/>
    <w:rsid w:val="50402E32"/>
    <w:rsid w:val="50501D1C"/>
    <w:rsid w:val="50DE1FA2"/>
    <w:rsid w:val="50E33188"/>
    <w:rsid w:val="50E50541"/>
    <w:rsid w:val="50F52DB8"/>
    <w:rsid w:val="50FF35E1"/>
    <w:rsid w:val="51146A3D"/>
    <w:rsid w:val="51457BCF"/>
    <w:rsid w:val="516721C0"/>
    <w:rsid w:val="516F3C14"/>
    <w:rsid w:val="516F4BBF"/>
    <w:rsid w:val="519625DB"/>
    <w:rsid w:val="521A28BD"/>
    <w:rsid w:val="52271741"/>
    <w:rsid w:val="523B62D5"/>
    <w:rsid w:val="5256176B"/>
    <w:rsid w:val="526F5BF0"/>
    <w:rsid w:val="52AF0FB4"/>
    <w:rsid w:val="531D15FF"/>
    <w:rsid w:val="53403742"/>
    <w:rsid w:val="53466BEA"/>
    <w:rsid w:val="537613A4"/>
    <w:rsid w:val="537C1074"/>
    <w:rsid w:val="537F330C"/>
    <w:rsid w:val="53B25FEF"/>
    <w:rsid w:val="53C2194E"/>
    <w:rsid w:val="540123EB"/>
    <w:rsid w:val="54127825"/>
    <w:rsid w:val="542B1D5D"/>
    <w:rsid w:val="542C1BD8"/>
    <w:rsid w:val="544E53C8"/>
    <w:rsid w:val="546D6D56"/>
    <w:rsid w:val="54854947"/>
    <w:rsid w:val="54A724F8"/>
    <w:rsid w:val="54C40ED6"/>
    <w:rsid w:val="54CC75AF"/>
    <w:rsid w:val="54E91385"/>
    <w:rsid w:val="5503351F"/>
    <w:rsid w:val="55580A5F"/>
    <w:rsid w:val="55595388"/>
    <w:rsid w:val="556A350D"/>
    <w:rsid w:val="5582723B"/>
    <w:rsid w:val="55827DEC"/>
    <w:rsid w:val="5583670F"/>
    <w:rsid w:val="55891CAE"/>
    <w:rsid w:val="559752C9"/>
    <w:rsid w:val="55A65ECB"/>
    <w:rsid w:val="55A807F0"/>
    <w:rsid w:val="55AB7583"/>
    <w:rsid w:val="55DC124E"/>
    <w:rsid w:val="55DF3947"/>
    <w:rsid w:val="560E2726"/>
    <w:rsid w:val="5610086D"/>
    <w:rsid w:val="56224C83"/>
    <w:rsid w:val="56565824"/>
    <w:rsid w:val="56651F73"/>
    <w:rsid w:val="566A116F"/>
    <w:rsid w:val="566B7005"/>
    <w:rsid w:val="567273F2"/>
    <w:rsid w:val="567A567E"/>
    <w:rsid w:val="56840335"/>
    <w:rsid w:val="568A7336"/>
    <w:rsid w:val="568C53F7"/>
    <w:rsid w:val="56E06A49"/>
    <w:rsid w:val="570B27DA"/>
    <w:rsid w:val="5731723F"/>
    <w:rsid w:val="57865766"/>
    <w:rsid w:val="5795608D"/>
    <w:rsid w:val="57FD2D0E"/>
    <w:rsid w:val="5852542F"/>
    <w:rsid w:val="58582FFA"/>
    <w:rsid w:val="586561FC"/>
    <w:rsid w:val="586F63D2"/>
    <w:rsid w:val="587762A4"/>
    <w:rsid w:val="58B24BCB"/>
    <w:rsid w:val="58EB42C4"/>
    <w:rsid w:val="59021A1B"/>
    <w:rsid w:val="59054AAD"/>
    <w:rsid w:val="592A5DAE"/>
    <w:rsid w:val="5948690A"/>
    <w:rsid w:val="596516DA"/>
    <w:rsid w:val="598009E4"/>
    <w:rsid w:val="59BB0C30"/>
    <w:rsid w:val="59BC29EA"/>
    <w:rsid w:val="59C54A2C"/>
    <w:rsid w:val="59D20A77"/>
    <w:rsid w:val="59DB353C"/>
    <w:rsid w:val="59E65E64"/>
    <w:rsid w:val="5A0D7C13"/>
    <w:rsid w:val="5A1F389C"/>
    <w:rsid w:val="5A922953"/>
    <w:rsid w:val="5A9F2DDA"/>
    <w:rsid w:val="5AC1140F"/>
    <w:rsid w:val="5AC24F47"/>
    <w:rsid w:val="5AFD5105"/>
    <w:rsid w:val="5B5515FB"/>
    <w:rsid w:val="5B5D0BD7"/>
    <w:rsid w:val="5BBA7208"/>
    <w:rsid w:val="5BC67AA5"/>
    <w:rsid w:val="5C1078AC"/>
    <w:rsid w:val="5C1E1BE0"/>
    <w:rsid w:val="5C310E4B"/>
    <w:rsid w:val="5C6066E7"/>
    <w:rsid w:val="5C6D7958"/>
    <w:rsid w:val="5C6F7E4A"/>
    <w:rsid w:val="5CAF649B"/>
    <w:rsid w:val="5CC57DA3"/>
    <w:rsid w:val="5CCA0A70"/>
    <w:rsid w:val="5D0D7748"/>
    <w:rsid w:val="5D174AC9"/>
    <w:rsid w:val="5D406BF2"/>
    <w:rsid w:val="5D51696F"/>
    <w:rsid w:val="5D5A3ABE"/>
    <w:rsid w:val="5D68600E"/>
    <w:rsid w:val="5D6C0993"/>
    <w:rsid w:val="5D777C27"/>
    <w:rsid w:val="5DA4006E"/>
    <w:rsid w:val="5DBB20D6"/>
    <w:rsid w:val="5DC36024"/>
    <w:rsid w:val="5DE826C8"/>
    <w:rsid w:val="5DF7399D"/>
    <w:rsid w:val="5E031DD2"/>
    <w:rsid w:val="5E4C589C"/>
    <w:rsid w:val="5E933630"/>
    <w:rsid w:val="5E9F634F"/>
    <w:rsid w:val="5EB5257A"/>
    <w:rsid w:val="5EFD2936"/>
    <w:rsid w:val="5F011092"/>
    <w:rsid w:val="5F144B90"/>
    <w:rsid w:val="5F2009D0"/>
    <w:rsid w:val="5F200A27"/>
    <w:rsid w:val="5F213CEA"/>
    <w:rsid w:val="5F2336A4"/>
    <w:rsid w:val="5F39687B"/>
    <w:rsid w:val="5F584C2B"/>
    <w:rsid w:val="5F5B0157"/>
    <w:rsid w:val="5F5E39C8"/>
    <w:rsid w:val="5F622550"/>
    <w:rsid w:val="5F697A8A"/>
    <w:rsid w:val="5F6D16D1"/>
    <w:rsid w:val="5F71015B"/>
    <w:rsid w:val="5F893918"/>
    <w:rsid w:val="5F894D68"/>
    <w:rsid w:val="5FCC7A3B"/>
    <w:rsid w:val="5FE01C41"/>
    <w:rsid w:val="5FE50594"/>
    <w:rsid w:val="5FEB1308"/>
    <w:rsid w:val="60291AA9"/>
    <w:rsid w:val="60432177"/>
    <w:rsid w:val="605E6665"/>
    <w:rsid w:val="606F48FF"/>
    <w:rsid w:val="60776D70"/>
    <w:rsid w:val="60AD0C49"/>
    <w:rsid w:val="60E44884"/>
    <w:rsid w:val="614B3F6E"/>
    <w:rsid w:val="61522F0E"/>
    <w:rsid w:val="615D7EA5"/>
    <w:rsid w:val="61673D9A"/>
    <w:rsid w:val="61743F18"/>
    <w:rsid w:val="617A6558"/>
    <w:rsid w:val="617B720F"/>
    <w:rsid w:val="618D2DC1"/>
    <w:rsid w:val="61A50D0D"/>
    <w:rsid w:val="61BA6334"/>
    <w:rsid w:val="61C8469D"/>
    <w:rsid w:val="61CB5EE1"/>
    <w:rsid w:val="61EB5D42"/>
    <w:rsid w:val="624760C4"/>
    <w:rsid w:val="624F3E5A"/>
    <w:rsid w:val="62673C69"/>
    <w:rsid w:val="627D6809"/>
    <w:rsid w:val="62812830"/>
    <w:rsid w:val="629F135A"/>
    <w:rsid w:val="62A169B2"/>
    <w:rsid w:val="62A478BD"/>
    <w:rsid w:val="62B617BE"/>
    <w:rsid w:val="62BE41C7"/>
    <w:rsid w:val="62C5593A"/>
    <w:rsid w:val="62CC7628"/>
    <w:rsid w:val="63174DB1"/>
    <w:rsid w:val="632D283C"/>
    <w:rsid w:val="6345739D"/>
    <w:rsid w:val="634B3E06"/>
    <w:rsid w:val="635D5FDE"/>
    <w:rsid w:val="63797761"/>
    <w:rsid w:val="637C6263"/>
    <w:rsid w:val="63CC2A3B"/>
    <w:rsid w:val="63F37D00"/>
    <w:rsid w:val="63F74002"/>
    <w:rsid w:val="645116FA"/>
    <w:rsid w:val="64537DE5"/>
    <w:rsid w:val="648151E6"/>
    <w:rsid w:val="64961D77"/>
    <w:rsid w:val="64B43329"/>
    <w:rsid w:val="650252B0"/>
    <w:rsid w:val="65472A70"/>
    <w:rsid w:val="65693CC8"/>
    <w:rsid w:val="65D07306"/>
    <w:rsid w:val="660962BE"/>
    <w:rsid w:val="661C6851"/>
    <w:rsid w:val="66345640"/>
    <w:rsid w:val="665F2957"/>
    <w:rsid w:val="66A902F7"/>
    <w:rsid w:val="66B43AA4"/>
    <w:rsid w:val="66C1492F"/>
    <w:rsid w:val="66ED1D96"/>
    <w:rsid w:val="67097A13"/>
    <w:rsid w:val="67146F33"/>
    <w:rsid w:val="673D3A6E"/>
    <w:rsid w:val="67403F4E"/>
    <w:rsid w:val="67556708"/>
    <w:rsid w:val="676B4841"/>
    <w:rsid w:val="67BF47A0"/>
    <w:rsid w:val="67F36B9E"/>
    <w:rsid w:val="67F72898"/>
    <w:rsid w:val="68235C32"/>
    <w:rsid w:val="68362B37"/>
    <w:rsid w:val="684B1F3B"/>
    <w:rsid w:val="68730E4A"/>
    <w:rsid w:val="688E5A87"/>
    <w:rsid w:val="68BC1891"/>
    <w:rsid w:val="68E41F6B"/>
    <w:rsid w:val="68FC4360"/>
    <w:rsid w:val="691461D1"/>
    <w:rsid w:val="691530B2"/>
    <w:rsid w:val="691E12D0"/>
    <w:rsid w:val="69667F09"/>
    <w:rsid w:val="696A0789"/>
    <w:rsid w:val="698656F5"/>
    <w:rsid w:val="698F237E"/>
    <w:rsid w:val="69A175B6"/>
    <w:rsid w:val="69A901D2"/>
    <w:rsid w:val="69BC30F5"/>
    <w:rsid w:val="69C73A7D"/>
    <w:rsid w:val="69E01D6E"/>
    <w:rsid w:val="69EF7A6A"/>
    <w:rsid w:val="6A34617A"/>
    <w:rsid w:val="6A89589F"/>
    <w:rsid w:val="6A91237F"/>
    <w:rsid w:val="6AA31016"/>
    <w:rsid w:val="6AB1531E"/>
    <w:rsid w:val="6ADB6D80"/>
    <w:rsid w:val="6AF42549"/>
    <w:rsid w:val="6AF86E37"/>
    <w:rsid w:val="6B0A0D12"/>
    <w:rsid w:val="6B191C6F"/>
    <w:rsid w:val="6B335ECA"/>
    <w:rsid w:val="6B681FA8"/>
    <w:rsid w:val="6B85794F"/>
    <w:rsid w:val="6B935A8D"/>
    <w:rsid w:val="6B97752C"/>
    <w:rsid w:val="6BC7432D"/>
    <w:rsid w:val="6BD4495F"/>
    <w:rsid w:val="6BE96EF3"/>
    <w:rsid w:val="6C1E21B7"/>
    <w:rsid w:val="6C3935CC"/>
    <w:rsid w:val="6C3C112D"/>
    <w:rsid w:val="6C491A41"/>
    <w:rsid w:val="6C58434B"/>
    <w:rsid w:val="6C676B04"/>
    <w:rsid w:val="6C7C3CA9"/>
    <w:rsid w:val="6C8E7671"/>
    <w:rsid w:val="6CAF04B7"/>
    <w:rsid w:val="6CDE412B"/>
    <w:rsid w:val="6CEE45B8"/>
    <w:rsid w:val="6CF44D66"/>
    <w:rsid w:val="6D1D2A31"/>
    <w:rsid w:val="6D2252C3"/>
    <w:rsid w:val="6D2C44D6"/>
    <w:rsid w:val="6D403AF8"/>
    <w:rsid w:val="6D43594F"/>
    <w:rsid w:val="6D506D14"/>
    <w:rsid w:val="6D7F05E4"/>
    <w:rsid w:val="6DDF2508"/>
    <w:rsid w:val="6DE87916"/>
    <w:rsid w:val="6E021177"/>
    <w:rsid w:val="6E1F5EA4"/>
    <w:rsid w:val="6E553B67"/>
    <w:rsid w:val="6E86677A"/>
    <w:rsid w:val="6EC16D6C"/>
    <w:rsid w:val="6EC1762A"/>
    <w:rsid w:val="6EC3055D"/>
    <w:rsid w:val="6ECB1FA8"/>
    <w:rsid w:val="6F036518"/>
    <w:rsid w:val="6F5E6986"/>
    <w:rsid w:val="6F5F550D"/>
    <w:rsid w:val="6F6A1192"/>
    <w:rsid w:val="6F7B1653"/>
    <w:rsid w:val="6FB54A0B"/>
    <w:rsid w:val="6FEC1B08"/>
    <w:rsid w:val="6FF63F62"/>
    <w:rsid w:val="700547D6"/>
    <w:rsid w:val="70220C64"/>
    <w:rsid w:val="702228BD"/>
    <w:rsid w:val="702E20C6"/>
    <w:rsid w:val="70490117"/>
    <w:rsid w:val="706976CE"/>
    <w:rsid w:val="70A47C74"/>
    <w:rsid w:val="70B44DE2"/>
    <w:rsid w:val="70C40BD9"/>
    <w:rsid w:val="70F76A5C"/>
    <w:rsid w:val="71007DDA"/>
    <w:rsid w:val="71847222"/>
    <w:rsid w:val="719E03CE"/>
    <w:rsid w:val="71A30C78"/>
    <w:rsid w:val="71A53B21"/>
    <w:rsid w:val="71E03D12"/>
    <w:rsid w:val="71E95F40"/>
    <w:rsid w:val="71EE39CC"/>
    <w:rsid w:val="71F4155A"/>
    <w:rsid w:val="72280CA5"/>
    <w:rsid w:val="725152A9"/>
    <w:rsid w:val="72524758"/>
    <w:rsid w:val="72570A48"/>
    <w:rsid w:val="72584CC4"/>
    <w:rsid w:val="7259233E"/>
    <w:rsid w:val="727637FC"/>
    <w:rsid w:val="72A04DD8"/>
    <w:rsid w:val="72B45C84"/>
    <w:rsid w:val="72DB46C9"/>
    <w:rsid w:val="72F908C2"/>
    <w:rsid w:val="7303161D"/>
    <w:rsid w:val="73201698"/>
    <w:rsid w:val="73591AC2"/>
    <w:rsid w:val="735B226D"/>
    <w:rsid w:val="736440CE"/>
    <w:rsid w:val="737D075D"/>
    <w:rsid w:val="737F06A0"/>
    <w:rsid w:val="7382386B"/>
    <w:rsid w:val="73B937A9"/>
    <w:rsid w:val="73BE6F90"/>
    <w:rsid w:val="73DA6870"/>
    <w:rsid w:val="74154DC0"/>
    <w:rsid w:val="742B4D90"/>
    <w:rsid w:val="74627532"/>
    <w:rsid w:val="74831071"/>
    <w:rsid w:val="74A112C6"/>
    <w:rsid w:val="74AD0632"/>
    <w:rsid w:val="74D15233"/>
    <w:rsid w:val="752663E4"/>
    <w:rsid w:val="7527224C"/>
    <w:rsid w:val="75281471"/>
    <w:rsid w:val="752A11CA"/>
    <w:rsid w:val="752B0F0A"/>
    <w:rsid w:val="75597AB4"/>
    <w:rsid w:val="759D44A0"/>
    <w:rsid w:val="75A5039A"/>
    <w:rsid w:val="75BA1D45"/>
    <w:rsid w:val="75CB4662"/>
    <w:rsid w:val="75CC1A7D"/>
    <w:rsid w:val="75CD37DD"/>
    <w:rsid w:val="75F3105F"/>
    <w:rsid w:val="76425F97"/>
    <w:rsid w:val="767A7078"/>
    <w:rsid w:val="767B091F"/>
    <w:rsid w:val="76866005"/>
    <w:rsid w:val="76944EC1"/>
    <w:rsid w:val="76960907"/>
    <w:rsid w:val="76B945A5"/>
    <w:rsid w:val="76D675F1"/>
    <w:rsid w:val="76DA7443"/>
    <w:rsid w:val="76DF3010"/>
    <w:rsid w:val="773C34FD"/>
    <w:rsid w:val="77591CAA"/>
    <w:rsid w:val="7759293D"/>
    <w:rsid w:val="776D6B40"/>
    <w:rsid w:val="77B27533"/>
    <w:rsid w:val="77D703F3"/>
    <w:rsid w:val="77D9066E"/>
    <w:rsid w:val="78016E0C"/>
    <w:rsid w:val="7809756E"/>
    <w:rsid w:val="780E1ECE"/>
    <w:rsid w:val="78111BE2"/>
    <w:rsid w:val="78AF6CAF"/>
    <w:rsid w:val="78B91D16"/>
    <w:rsid w:val="78CB6E0D"/>
    <w:rsid w:val="78CD200C"/>
    <w:rsid w:val="790D0BCD"/>
    <w:rsid w:val="79143724"/>
    <w:rsid w:val="793072BF"/>
    <w:rsid w:val="793B2E97"/>
    <w:rsid w:val="79516F8F"/>
    <w:rsid w:val="796A481C"/>
    <w:rsid w:val="79752749"/>
    <w:rsid w:val="798D2F29"/>
    <w:rsid w:val="79AE2B37"/>
    <w:rsid w:val="7A717C49"/>
    <w:rsid w:val="7A942AB9"/>
    <w:rsid w:val="7AF46ADE"/>
    <w:rsid w:val="7AFC0841"/>
    <w:rsid w:val="7B643EBB"/>
    <w:rsid w:val="7B6B2995"/>
    <w:rsid w:val="7B797106"/>
    <w:rsid w:val="7B8D3DEA"/>
    <w:rsid w:val="7B9D1BEA"/>
    <w:rsid w:val="7BB0532E"/>
    <w:rsid w:val="7BC325F4"/>
    <w:rsid w:val="7BEF574A"/>
    <w:rsid w:val="7BF43093"/>
    <w:rsid w:val="7C0870B5"/>
    <w:rsid w:val="7C0A0D00"/>
    <w:rsid w:val="7C156C61"/>
    <w:rsid w:val="7C2A0A1B"/>
    <w:rsid w:val="7C3A40F8"/>
    <w:rsid w:val="7C56269A"/>
    <w:rsid w:val="7C5A5AC4"/>
    <w:rsid w:val="7C6F5FAD"/>
    <w:rsid w:val="7C843E24"/>
    <w:rsid w:val="7C901D54"/>
    <w:rsid w:val="7CC26961"/>
    <w:rsid w:val="7CC90D0F"/>
    <w:rsid w:val="7CE6062F"/>
    <w:rsid w:val="7CE7177D"/>
    <w:rsid w:val="7D1E05A2"/>
    <w:rsid w:val="7D2255FC"/>
    <w:rsid w:val="7D702E4D"/>
    <w:rsid w:val="7DBA71D3"/>
    <w:rsid w:val="7DF51760"/>
    <w:rsid w:val="7E111524"/>
    <w:rsid w:val="7E231C0D"/>
    <w:rsid w:val="7E297F9D"/>
    <w:rsid w:val="7E3C2525"/>
    <w:rsid w:val="7E5E4639"/>
    <w:rsid w:val="7E706D27"/>
    <w:rsid w:val="7E7D3DCB"/>
    <w:rsid w:val="7E7F60BF"/>
    <w:rsid w:val="7EAC2FB7"/>
    <w:rsid w:val="7ED13315"/>
    <w:rsid w:val="7EF76ABA"/>
    <w:rsid w:val="7F3945BF"/>
    <w:rsid w:val="7F4878E3"/>
    <w:rsid w:val="7F4B01D5"/>
    <w:rsid w:val="7F501476"/>
    <w:rsid w:val="7F5167A9"/>
    <w:rsid w:val="7F55681D"/>
    <w:rsid w:val="7F68339E"/>
    <w:rsid w:val="7F747052"/>
    <w:rsid w:val="7FA569DC"/>
    <w:rsid w:val="7FBB2517"/>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nhideWhenUsed="0" w:uiPriority="99"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qFormat="1" w:unhideWhenUsed="0" w:uiPriority="0" w:semiHidden="0"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0" w:semiHidden="0" w:name="Normal Indent" w:locked="1"/>
    <w:lsdException w:uiPriority="0" w:name="footnote text" w:locked="1"/>
    <w:lsdException w:qFormat="1" w:unhideWhenUsed="0" w:uiPriority="99" w:name="annotation text" w:locked="1"/>
    <w:lsdException w:qFormat="1" w:unhideWhenUsed="0" w:uiPriority="99" w:name="header"/>
    <w:lsdException w:qFormat="1" w:unhideWhenUsed="0" w:uiPriority="99" w:name="footer"/>
    <w:lsdException w:uiPriority="0" w:name="index heading" w:locked="1"/>
    <w:lsdException w:qFormat="1" w:uiPriority="35" w:name="caption" w:locked="1"/>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99" w:name="annotation reference" w:locked="1"/>
    <w:lsdException w:uiPriority="0" w:name="line number" w:locked="1"/>
    <w:lsdException w:uiPriority="0" w:name="page number" w:locked="1"/>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uiPriority="0" w:name="List" w:locked="1"/>
    <w:lsdException w:uiPriority="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10" w:semiHidden="0" w:name="Title" w:locked="1"/>
    <w:lsdException w:uiPriority="0" w:name="Closing" w:locked="1"/>
    <w:lsdException w:uiPriority="0" w:name="Signature" w:locked="1"/>
    <w:lsdException w:qFormat="1" w:uiPriority="1" w:semiHidden="0" w:name="Default Paragraph Font"/>
    <w:lsdException w:qFormat="1" w:unhideWhenUsed="0" w:uiPriority="99" w:semiHidden="0" w:name="Body Text"/>
    <w:lsdException w:qFormat="1" w:unhideWhenUsed="0" w:uiPriority="0" w:semiHidden="0" w:name="Body Text Indent" w:locked="1"/>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11" w:semiHidden="0" w:name="Subtitle" w:locked="1"/>
    <w:lsdException w:uiPriority="0" w:name="Salutation" w:locked="1"/>
    <w:lsdException w:qFormat="1" w:unhideWhenUsed="0" w:uiPriority="99" w:semiHidden="0" w:name="Date"/>
    <w:lsdException w:uiPriority="0" w:name="Body Text First Indent" w:locked="1"/>
    <w:lsdException w:qFormat="1" w:unhideWhenUsed="0" w:uiPriority="0" w:semiHidden="0" w:name="Body Text First Indent 2" w:locked="1"/>
    <w:lsdException w:uiPriority="0" w:name="Note Heading" w:locked="1"/>
    <w:lsdException w:uiPriority="0" w:name="Body Text 2" w:locked="1"/>
    <w:lsdException w:uiPriority="0" w:name="Body Text 3" w:locked="1"/>
    <w:lsdException w:qFormat="1" w:unhideWhenUsed="0" w:uiPriority="0" w:semiHidden="0" w:name="Body Text Indent 2" w:locked="1"/>
    <w:lsdException w:uiPriority="0" w:name="Body Text Indent 3" w:locked="1"/>
    <w:lsdException w:uiPriority="0" w:name="Block Text" w:locked="1"/>
    <w:lsdException w:qFormat="1" w:uiPriority="99" w:semiHidden="0" w:name="Hyperlink" w:locked="1"/>
    <w:lsdException w:qFormat="1" w:uiPriority="99" w:semiHidden="0" w:name="FollowedHyperlink" w:locked="1"/>
    <w:lsdException w:qFormat="1" w:unhideWhenUsed="0" w:uiPriority="99" w:semiHidden="0" w:name="Strong"/>
    <w:lsdException w:qFormat="1" w:unhideWhenUsed="0" w:uiPriority="20" w:semiHidden="0" w:name="Emphasis" w:locked="1"/>
    <w:lsdException w:uiPriority="0" w:name="Document Map" w:locked="1"/>
    <w:lsdException w:qFormat="1" w:unhideWhenUsed="0" w:uiPriority="0" w:semiHidden="0" w:name="Plain Text"/>
    <w:lsdException w:uiPriority="0" w:name="E-mail Signature" w:locked="1"/>
    <w:lsdException w:qFormat="1" w:unhideWhenUsed="0" w:uiPriority="99" w:semiHidden="0" w:name="Normal (Web)"/>
    <w:lsdException w:qFormat="1" w:uiPriority="99" w:semiHidden="0" w:name="HTML Acronym" w:locked="1"/>
    <w:lsdException w:uiPriority="0" w:name="HTML Address" w:locked="1"/>
    <w:lsdException w:qFormat="1" w:uiPriority="99" w:semiHidden="0" w:name="HTML Cite" w:locked="1"/>
    <w:lsdException w:qFormat="1" w:uiPriority="99" w:semiHidden="0" w:name="HTML Code" w:locked="1"/>
    <w:lsdException w:qFormat="1" w:uiPriority="99" w:semiHidden="0" w:name="HTML Definition" w:locked="1"/>
    <w:lsdException w:qFormat="1" w:uiPriority="99" w:semiHidden="0" w:name="HTML Keyboard" w:locked="1"/>
    <w:lsdException w:uiPriority="0" w:name="HTML Preformatted" w:locked="1"/>
    <w:lsdException w:qFormat="1" w:uiPriority="99" w:semiHidden="0" w:name="HTML Sample" w:locked="1"/>
    <w:lsdException w:qFormat="1" w:uiPriority="99" w:semiHidden="0" w:name="HTML Typewriter" w:locked="1"/>
    <w:lsdException w:qFormat="1" w:uiPriority="99" w:semiHidden="0" w:name="HTML Variable" w:locked="1"/>
    <w:lsdException w:qFormat="1" w:uiPriority="99" w:semiHidden="0" w:name="Normal Table"/>
    <w:lsdException w:uiPriority="0" w:name="annotation subject" w:locked="1"/>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ocked="1"/>
    <w:lsdException w:unhideWhenUsed="0" w:uiPriority="59" w:semiHidden="0" w:name="Table Grid" w:locked="1"/>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locked/>
    <w:uiPriority w:val="0"/>
    <w:pPr>
      <w:keepNext/>
      <w:keepLines/>
      <w:spacing w:line="578" w:lineRule="auto"/>
      <w:outlineLvl w:val="0"/>
    </w:pPr>
    <w:rPr>
      <w:b/>
      <w:bCs/>
      <w:kern w:val="44"/>
      <w:sz w:val="44"/>
      <w:szCs w:val="44"/>
    </w:rPr>
  </w:style>
  <w:style w:type="paragraph" w:styleId="4">
    <w:name w:val="heading 2"/>
    <w:basedOn w:val="1"/>
    <w:next w:val="1"/>
    <w:link w:val="53"/>
    <w:qFormat/>
    <w:locked/>
    <w:uiPriority w:val="99"/>
    <w:pPr>
      <w:keepNext/>
      <w:keepLines/>
      <w:spacing w:line="416" w:lineRule="auto"/>
      <w:outlineLvl w:val="1"/>
    </w:pPr>
    <w:rPr>
      <w:rFonts w:ascii="Arial" w:hAnsi="Arial" w:eastAsia="黑体" w:cs="Arial"/>
      <w:b/>
      <w:bCs/>
      <w:sz w:val="32"/>
      <w:szCs w:val="32"/>
    </w:rPr>
  </w:style>
  <w:style w:type="paragraph" w:styleId="5">
    <w:name w:val="heading 3"/>
    <w:basedOn w:val="1"/>
    <w:next w:val="1"/>
    <w:link w:val="54"/>
    <w:qFormat/>
    <w:locked/>
    <w:uiPriority w:val="99"/>
    <w:pPr>
      <w:keepNext/>
      <w:keepLines/>
      <w:spacing w:line="413" w:lineRule="auto"/>
      <w:outlineLvl w:val="2"/>
    </w:pPr>
    <w:rPr>
      <w:b/>
      <w:bCs/>
      <w:sz w:val="32"/>
      <w:szCs w:val="32"/>
    </w:rPr>
  </w:style>
  <w:style w:type="character" w:default="1" w:styleId="19">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Body Text Indent 2"/>
    <w:basedOn w:val="1"/>
    <w:qFormat/>
    <w:locked/>
    <w:uiPriority w:val="0"/>
    <w:pPr>
      <w:spacing w:after="120" w:afterLines="0" w:line="480" w:lineRule="auto"/>
      <w:ind w:left="420" w:leftChars="200"/>
    </w:pPr>
  </w:style>
  <w:style w:type="paragraph" w:styleId="6">
    <w:name w:val="Normal Indent"/>
    <w:basedOn w:val="1"/>
    <w:next w:val="7"/>
    <w:qFormat/>
    <w:locked/>
    <w:uiPriority w:val="0"/>
    <w:pPr>
      <w:ind w:firstLine="420" w:firstLineChars="200"/>
    </w:pPr>
  </w:style>
  <w:style w:type="paragraph" w:styleId="7">
    <w:name w:val="Body Text First Indent 2"/>
    <w:basedOn w:val="8"/>
    <w:qFormat/>
    <w:locked/>
    <w:uiPriority w:val="0"/>
    <w:pPr>
      <w:ind w:firstLine="420" w:firstLineChars="200"/>
    </w:pPr>
  </w:style>
  <w:style w:type="paragraph" w:styleId="8">
    <w:name w:val="Body Text Indent"/>
    <w:basedOn w:val="1"/>
    <w:qFormat/>
    <w:locked/>
    <w:uiPriority w:val="0"/>
    <w:pPr>
      <w:ind w:firstLine="630"/>
    </w:pPr>
    <w:rPr>
      <w:sz w:val="32"/>
      <w:szCs w:val="20"/>
    </w:rPr>
  </w:style>
  <w:style w:type="paragraph" w:styleId="9">
    <w:name w:val="annotation text"/>
    <w:basedOn w:val="1"/>
    <w:link w:val="55"/>
    <w:semiHidden/>
    <w:qFormat/>
    <w:locked/>
    <w:uiPriority w:val="99"/>
    <w:pPr>
      <w:jc w:val="left"/>
    </w:pPr>
    <w:rPr>
      <w:rFonts w:ascii="等线" w:hAnsi="等线" w:eastAsia="等线" w:cs="等线"/>
      <w:sz w:val="22"/>
      <w:szCs w:val="22"/>
    </w:rPr>
  </w:style>
  <w:style w:type="paragraph" w:styleId="10">
    <w:name w:val="Body Text"/>
    <w:basedOn w:val="1"/>
    <w:link w:val="56"/>
    <w:qFormat/>
    <w:uiPriority w:val="99"/>
    <w:rPr>
      <w:sz w:val="22"/>
      <w:szCs w:val="22"/>
    </w:rPr>
  </w:style>
  <w:style w:type="paragraph" w:styleId="11">
    <w:name w:val="Plain Text"/>
    <w:basedOn w:val="1"/>
    <w:link w:val="57"/>
    <w:qFormat/>
    <w:uiPriority w:val="0"/>
    <w:rPr>
      <w:rFonts w:ascii="宋体" w:hAnsi="Courier New" w:eastAsia="华文宋体" w:cs="宋体"/>
      <w:sz w:val="28"/>
      <w:szCs w:val="28"/>
    </w:rPr>
  </w:style>
  <w:style w:type="paragraph" w:styleId="12">
    <w:name w:val="Date"/>
    <w:basedOn w:val="1"/>
    <w:next w:val="1"/>
    <w:link w:val="58"/>
    <w:qFormat/>
    <w:uiPriority w:val="99"/>
    <w:pPr>
      <w:ind w:left="100" w:leftChars="2500"/>
    </w:pPr>
  </w:style>
  <w:style w:type="paragraph" w:styleId="13">
    <w:name w:val="Balloon Text"/>
    <w:basedOn w:val="1"/>
    <w:link w:val="59"/>
    <w:semiHidden/>
    <w:qFormat/>
    <w:locked/>
    <w:uiPriority w:val="99"/>
    <w:rPr>
      <w:sz w:val="18"/>
      <w:szCs w:val="18"/>
    </w:rPr>
  </w:style>
  <w:style w:type="paragraph" w:styleId="14">
    <w:name w:val="footer"/>
    <w:basedOn w:val="1"/>
    <w:link w:val="60"/>
    <w:semiHidden/>
    <w:qFormat/>
    <w:uiPriority w:val="99"/>
    <w:pPr>
      <w:tabs>
        <w:tab w:val="center" w:pos="4153"/>
        <w:tab w:val="right" w:pos="8306"/>
      </w:tabs>
      <w:snapToGrid w:val="0"/>
      <w:jc w:val="left"/>
    </w:pPr>
    <w:rPr>
      <w:sz w:val="18"/>
      <w:szCs w:val="18"/>
    </w:rPr>
  </w:style>
  <w:style w:type="paragraph" w:styleId="15">
    <w:name w:val="header"/>
    <w:basedOn w:val="1"/>
    <w:link w:val="61"/>
    <w:semiHidden/>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locked/>
    <w:uiPriority w:val="0"/>
    <w:pPr>
      <w:tabs>
        <w:tab w:val="right" w:leader="dot" w:pos="9345"/>
      </w:tabs>
      <w:spacing w:before="120" w:after="120" w:line="360" w:lineRule="auto"/>
      <w:jc w:val="left"/>
    </w:pPr>
    <w:rPr>
      <w:rFonts w:ascii="宋体" w:hAnsi="宋体" w:cs="Courier New"/>
      <w:bCs/>
      <w:caps/>
      <w:kern w:val="44"/>
      <w:sz w:val="32"/>
      <w:szCs w:val="32"/>
    </w:rPr>
  </w:style>
  <w:style w:type="paragraph" w:styleId="17">
    <w:name w:val="Normal (Web)"/>
    <w:basedOn w:val="1"/>
    <w:qFormat/>
    <w:uiPriority w:val="99"/>
    <w:pPr>
      <w:widowControl/>
      <w:spacing w:beforeAutospacing="1" w:afterAutospacing="1"/>
      <w:jc w:val="left"/>
    </w:pPr>
    <w:rPr>
      <w:rFonts w:ascii="宋体" w:hAnsi="宋体" w:cs="宋体"/>
      <w:kern w:val="0"/>
      <w:sz w:val="24"/>
      <w:szCs w:val="24"/>
    </w:rPr>
  </w:style>
  <w:style w:type="character" w:styleId="20">
    <w:name w:val="Strong"/>
    <w:basedOn w:val="19"/>
    <w:qFormat/>
    <w:uiPriority w:val="99"/>
    <w:rPr>
      <w:b/>
      <w:bCs/>
    </w:rPr>
  </w:style>
  <w:style w:type="character" w:styleId="21">
    <w:name w:val="FollowedHyperlink"/>
    <w:basedOn w:val="19"/>
    <w:unhideWhenUsed/>
    <w:qFormat/>
    <w:locked/>
    <w:uiPriority w:val="99"/>
    <w:rPr>
      <w:color w:val="800080"/>
      <w:u w:val="none"/>
    </w:rPr>
  </w:style>
  <w:style w:type="character" w:styleId="22">
    <w:name w:val="Emphasis"/>
    <w:basedOn w:val="19"/>
    <w:qFormat/>
    <w:locked/>
    <w:uiPriority w:val="20"/>
  </w:style>
  <w:style w:type="character" w:styleId="23">
    <w:name w:val="HTML Definition"/>
    <w:basedOn w:val="19"/>
    <w:unhideWhenUsed/>
    <w:qFormat/>
    <w:locked/>
    <w:uiPriority w:val="99"/>
  </w:style>
  <w:style w:type="character" w:styleId="24">
    <w:name w:val="HTML Typewriter"/>
    <w:basedOn w:val="19"/>
    <w:unhideWhenUsed/>
    <w:qFormat/>
    <w:locked/>
    <w:uiPriority w:val="99"/>
    <w:rPr>
      <w:rFonts w:ascii="monospace" w:hAnsi="monospace" w:eastAsia="monospace" w:cs="monospace"/>
      <w:sz w:val="20"/>
    </w:rPr>
  </w:style>
  <w:style w:type="character" w:styleId="25">
    <w:name w:val="HTML Acronym"/>
    <w:basedOn w:val="19"/>
    <w:unhideWhenUsed/>
    <w:qFormat/>
    <w:locked/>
    <w:uiPriority w:val="99"/>
  </w:style>
  <w:style w:type="character" w:styleId="26">
    <w:name w:val="HTML Variable"/>
    <w:basedOn w:val="19"/>
    <w:unhideWhenUsed/>
    <w:qFormat/>
    <w:locked/>
    <w:uiPriority w:val="99"/>
  </w:style>
  <w:style w:type="character" w:styleId="27">
    <w:name w:val="Hyperlink"/>
    <w:basedOn w:val="19"/>
    <w:unhideWhenUsed/>
    <w:qFormat/>
    <w:locked/>
    <w:uiPriority w:val="99"/>
    <w:rPr>
      <w:color w:val="0000FF"/>
      <w:u w:val="none"/>
    </w:rPr>
  </w:style>
  <w:style w:type="character" w:styleId="28">
    <w:name w:val="HTML Code"/>
    <w:basedOn w:val="19"/>
    <w:unhideWhenUsed/>
    <w:qFormat/>
    <w:locked/>
    <w:uiPriority w:val="99"/>
    <w:rPr>
      <w:rFonts w:hint="default" w:ascii="monospace" w:hAnsi="monospace" w:eastAsia="monospace" w:cs="monospace"/>
      <w:sz w:val="20"/>
    </w:rPr>
  </w:style>
  <w:style w:type="character" w:styleId="29">
    <w:name w:val="annotation reference"/>
    <w:basedOn w:val="19"/>
    <w:semiHidden/>
    <w:qFormat/>
    <w:locked/>
    <w:uiPriority w:val="99"/>
    <w:rPr>
      <w:sz w:val="21"/>
      <w:szCs w:val="21"/>
    </w:rPr>
  </w:style>
  <w:style w:type="character" w:styleId="30">
    <w:name w:val="HTML Cite"/>
    <w:basedOn w:val="19"/>
    <w:unhideWhenUsed/>
    <w:qFormat/>
    <w:locked/>
    <w:uiPriority w:val="99"/>
  </w:style>
  <w:style w:type="character" w:styleId="31">
    <w:name w:val="HTML Keyboard"/>
    <w:basedOn w:val="19"/>
    <w:unhideWhenUsed/>
    <w:qFormat/>
    <w:locked/>
    <w:uiPriority w:val="99"/>
    <w:rPr>
      <w:rFonts w:hint="default" w:ascii="monospace" w:hAnsi="monospace" w:eastAsia="monospace" w:cs="monospace"/>
      <w:sz w:val="20"/>
    </w:rPr>
  </w:style>
  <w:style w:type="character" w:styleId="32">
    <w:name w:val="HTML Sample"/>
    <w:basedOn w:val="19"/>
    <w:unhideWhenUsed/>
    <w:qFormat/>
    <w:locked/>
    <w:uiPriority w:val="99"/>
    <w:rPr>
      <w:rFonts w:hint="default" w:ascii="monospace" w:hAnsi="monospace" w:eastAsia="monospace" w:cs="monospace"/>
    </w:rPr>
  </w:style>
  <w:style w:type="paragraph" w:customStyle="1" w:styleId="33">
    <w:name w:val="样式 ！正文 + 首行缩进:  2 字符"/>
    <w:basedOn w:val="1"/>
    <w:next w:val="1"/>
    <w:qFormat/>
    <w:uiPriority w:val="0"/>
    <w:pPr>
      <w:ind w:firstLine="480" w:firstLineChars="200"/>
    </w:pPr>
    <w:rPr>
      <w:rFonts w:hint="eastAsia" w:ascii="Arial" w:hAnsi="Arial" w:cs="宋体"/>
    </w:rPr>
  </w:style>
  <w:style w:type="paragraph" w:customStyle="1" w:styleId="34">
    <w:name w:val="Char Char Char Char Char Char5"/>
    <w:basedOn w:val="1"/>
    <w:qFormat/>
    <w:uiPriority w:val="99"/>
    <w:rPr>
      <w:rFonts w:ascii="Times New Roman" w:hAnsi="Times New Roman" w:cs="Times New Roman"/>
    </w:rPr>
  </w:style>
  <w:style w:type="paragraph" w:customStyle="1" w:styleId="35">
    <w:name w:val="Char Char Char Char Char Char4"/>
    <w:basedOn w:val="1"/>
    <w:qFormat/>
    <w:uiPriority w:val="99"/>
    <w:rPr>
      <w:rFonts w:ascii="Times New Roman" w:hAnsi="Times New Roman" w:cs="Times New Roman"/>
    </w:rPr>
  </w:style>
  <w:style w:type="paragraph" w:customStyle="1" w:styleId="36">
    <w:name w:val="Char Char Char Char Char Char"/>
    <w:basedOn w:val="1"/>
    <w:qFormat/>
    <w:uiPriority w:val="99"/>
    <w:rPr>
      <w:rFonts w:ascii="Times New Roman" w:hAnsi="Times New Roman" w:cs="Times New Roman"/>
    </w:rPr>
  </w:style>
  <w:style w:type="paragraph" w:customStyle="1" w:styleId="37">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38">
    <w:name w:val="正文_0"/>
    <w:qFormat/>
    <w:uiPriority w:val="99"/>
    <w:pPr>
      <w:widowControl w:val="0"/>
      <w:jc w:val="both"/>
    </w:pPr>
    <w:rPr>
      <w:rFonts w:ascii="Calibri" w:hAnsi="Calibri" w:eastAsia="宋体" w:cs="Calibri"/>
      <w:kern w:val="2"/>
      <w:sz w:val="21"/>
      <w:szCs w:val="21"/>
      <w:lang w:val="en-US" w:eastAsia="zh-CN" w:bidi="ar-SA"/>
    </w:rPr>
  </w:style>
  <w:style w:type="paragraph" w:customStyle="1" w:styleId="39">
    <w:name w:val="02标题二"/>
    <w:basedOn w:val="1"/>
    <w:qFormat/>
    <w:uiPriority w:val="99"/>
    <w:pPr>
      <w:ind w:firstLine="562" w:firstLineChars="200"/>
    </w:pPr>
    <w:rPr>
      <w:b/>
      <w:bCs/>
      <w:sz w:val="28"/>
      <w:szCs w:val="28"/>
    </w:rPr>
  </w:style>
  <w:style w:type="paragraph" w:customStyle="1" w:styleId="40">
    <w:name w:val="正文_1"/>
    <w:qFormat/>
    <w:uiPriority w:val="99"/>
    <w:pPr>
      <w:widowControl w:val="0"/>
      <w:jc w:val="both"/>
    </w:pPr>
    <w:rPr>
      <w:rFonts w:ascii="Calibri" w:hAnsi="Calibri" w:eastAsia="宋体" w:cs="Calibri"/>
      <w:kern w:val="2"/>
      <w:sz w:val="21"/>
      <w:szCs w:val="21"/>
      <w:lang w:val="en-US" w:eastAsia="zh-CN" w:bidi="ar-SA"/>
    </w:rPr>
  </w:style>
  <w:style w:type="paragraph" w:customStyle="1" w:styleId="41">
    <w:name w:val="列出段落1"/>
    <w:basedOn w:val="1"/>
    <w:qFormat/>
    <w:uiPriority w:val="99"/>
    <w:pPr>
      <w:ind w:firstLine="420" w:firstLineChars="200"/>
    </w:pPr>
  </w:style>
  <w:style w:type="paragraph" w:customStyle="1" w:styleId="42">
    <w:name w:val="正文文本缩进_0"/>
    <w:basedOn w:val="40"/>
    <w:link w:val="62"/>
    <w:qFormat/>
    <w:uiPriority w:val="99"/>
    <w:pPr>
      <w:ind w:firstLine="645"/>
    </w:pPr>
    <w:rPr>
      <w:rFonts w:ascii="楷体_GB2312" w:eastAsia="楷体_GB2312" w:cs="Times New Roman"/>
      <w:sz w:val="32"/>
      <w:szCs w:val="32"/>
    </w:rPr>
  </w:style>
  <w:style w:type="paragraph" w:customStyle="1" w:styleId="43">
    <w:name w:val="纯文本1"/>
    <w:basedOn w:val="1"/>
    <w:qFormat/>
    <w:uiPriority w:val="99"/>
    <w:rPr>
      <w:rFonts w:ascii="宋体" w:hAnsi="Courier New" w:cs="宋体"/>
    </w:rPr>
  </w:style>
  <w:style w:type="paragraph" w:customStyle="1" w:styleId="44">
    <w:name w:val="节标题"/>
    <w:basedOn w:val="1"/>
    <w:next w:val="1"/>
    <w:qFormat/>
    <w:uiPriority w:val="99"/>
    <w:pPr>
      <w:widowControl/>
      <w:spacing w:line="289" w:lineRule="atLeast"/>
      <w:jc w:val="center"/>
      <w:textAlignment w:val="baseline"/>
    </w:pPr>
    <w:rPr>
      <w:color w:val="000000"/>
      <w:kern w:val="0"/>
      <w:sz w:val="28"/>
      <w:szCs w:val="28"/>
      <w:u w:val="none" w:color="000000"/>
    </w:rPr>
  </w:style>
  <w:style w:type="paragraph" w:customStyle="1" w:styleId="45">
    <w:name w:val="_Style 22"/>
    <w:basedOn w:val="1"/>
    <w:qFormat/>
    <w:uiPriority w:val="99"/>
    <w:rPr>
      <w:rFonts w:ascii="Times New Roman" w:hAnsi="Times New Roman" w:cs="Times New Roman"/>
    </w:rPr>
  </w:style>
  <w:style w:type="paragraph" w:customStyle="1" w:styleId="46">
    <w:name w:val="Char Char Char Char Char Char1"/>
    <w:basedOn w:val="1"/>
    <w:qFormat/>
    <w:uiPriority w:val="99"/>
    <w:rPr>
      <w:rFonts w:ascii="Times New Roman" w:hAnsi="Times New Roman" w:cs="Times New Roman"/>
    </w:rPr>
  </w:style>
  <w:style w:type="paragraph" w:customStyle="1" w:styleId="47">
    <w:name w:val="002标题"/>
    <w:basedOn w:val="1"/>
    <w:qFormat/>
    <w:uiPriority w:val="99"/>
    <w:pPr>
      <w:jc w:val="center"/>
    </w:pPr>
    <w:rPr>
      <w:sz w:val="30"/>
      <w:szCs w:val="30"/>
    </w:rPr>
  </w:style>
  <w:style w:type="paragraph" w:customStyle="1" w:styleId="48">
    <w:name w:val="001大标题"/>
    <w:basedOn w:val="1"/>
    <w:qFormat/>
    <w:uiPriority w:val="99"/>
    <w:pPr>
      <w:numPr>
        <w:ilvl w:val="0"/>
        <w:numId w:val="1"/>
      </w:numPr>
      <w:jc w:val="center"/>
    </w:pPr>
    <w:rPr>
      <w:rFonts w:ascii="宋体" w:hAnsi="宋体" w:cs="宋体"/>
      <w:b/>
      <w:bCs/>
      <w:sz w:val="30"/>
      <w:szCs w:val="30"/>
    </w:rPr>
  </w:style>
  <w:style w:type="paragraph" w:customStyle="1" w:styleId="49">
    <w:name w:val="trs_edito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0">
    <w:name w:val="GW-正文"/>
    <w:basedOn w:val="1"/>
    <w:link w:val="63"/>
    <w:qFormat/>
    <w:uiPriority w:val="99"/>
    <w:pPr>
      <w:spacing w:line="360" w:lineRule="auto"/>
      <w:ind w:firstLine="200" w:firstLineChars="200"/>
    </w:pPr>
    <w:rPr>
      <w:rFonts w:ascii="Times New Roman" w:hAnsi="Times New Roman" w:cs="Times New Roman"/>
      <w:sz w:val="24"/>
      <w:szCs w:val="24"/>
    </w:rPr>
  </w:style>
  <w:style w:type="paragraph" w:customStyle="1" w:styleId="51">
    <w:name w:val="Char Char Char Char Char Char2"/>
    <w:basedOn w:val="1"/>
    <w:qFormat/>
    <w:uiPriority w:val="99"/>
    <w:rPr>
      <w:rFonts w:ascii="Times New Roman" w:hAnsi="Times New Roman" w:cs="Times New Roman"/>
    </w:rPr>
  </w:style>
  <w:style w:type="paragraph" w:customStyle="1" w:styleId="52">
    <w:name w:val="Char Char Char Char Char Char3"/>
    <w:basedOn w:val="1"/>
    <w:qFormat/>
    <w:uiPriority w:val="99"/>
    <w:rPr>
      <w:rFonts w:ascii="Times New Roman" w:hAnsi="Times New Roman" w:cs="Times New Roman"/>
    </w:rPr>
  </w:style>
  <w:style w:type="character" w:customStyle="1" w:styleId="53">
    <w:name w:val="标题 2 Char"/>
    <w:basedOn w:val="19"/>
    <w:link w:val="4"/>
    <w:semiHidden/>
    <w:qFormat/>
    <w:locked/>
    <w:uiPriority w:val="99"/>
    <w:rPr>
      <w:rFonts w:ascii="Cambria" w:hAnsi="Cambria" w:eastAsia="宋体" w:cs="Cambria"/>
      <w:b/>
      <w:bCs/>
      <w:sz w:val="32"/>
      <w:szCs w:val="32"/>
    </w:rPr>
  </w:style>
  <w:style w:type="character" w:customStyle="1" w:styleId="54">
    <w:name w:val="标题 3 Char"/>
    <w:basedOn w:val="19"/>
    <w:link w:val="5"/>
    <w:semiHidden/>
    <w:qFormat/>
    <w:locked/>
    <w:uiPriority w:val="99"/>
    <w:rPr>
      <w:b/>
      <w:bCs/>
      <w:sz w:val="32"/>
      <w:szCs w:val="32"/>
    </w:rPr>
  </w:style>
  <w:style w:type="character" w:customStyle="1" w:styleId="55">
    <w:name w:val="批注文字 Char"/>
    <w:basedOn w:val="19"/>
    <w:link w:val="9"/>
    <w:semiHidden/>
    <w:qFormat/>
    <w:locked/>
    <w:uiPriority w:val="99"/>
    <w:rPr>
      <w:rFonts w:ascii="Calibri" w:hAnsi="Calibri" w:cs="Calibri"/>
      <w:sz w:val="21"/>
      <w:szCs w:val="21"/>
    </w:rPr>
  </w:style>
  <w:style w:type="character" w:customStyle="1" w:styleId="56">
    <w:name w:val="正文文本 Char"/>
    <w:basedOn w:val="19"/>
    <w:link w:val="10"/>
    <w:semiHidden/>
    <w:qFormat/>
    <w:locked/>
    <w:uiPriority w:val="99"/>
    <w:rPr>
      <w:sz w:val="21"/>
      <w:szCs w:val="21"/>
    </w:rPr>
  </w:style>
  <w:style w:type="character" w:customStyle="1" w:styleId="57">
    <w:name w:val="纯文本 Char"/>
    <w:basedOn w:val="19"/>
    <w:link w:val="11"/>
    <w:qFormat/>
    <w:locked/>
    <w:uiPriority w:val="0"/>
    <w:rPr>
      <w:rFonts w:ascii="宋体" w:hAnsi="Courier New" w:cs="宋体"/>
      <w:sz w:val="21"/>
      <w:szCs w:val="21"/>
    </w:rPr>
  </w:style>
  <w:style w:type="character" w:customStyle="1" w:styleId="58">
    <w:name w:val="日期 Char"/>
    <w:basedOn w:val="19"/>
    <w:link w:val="12"/>
    <w:semiHidden/>
    <w:qFormat/>
    <w:locked/>
    <w:uiPriority w:val="99"/>
    <w:rPr>
      <w:sz w:val="21"/>
      <w:szCs w:val="21"/>
    </w:rPr>
  </w:style>
  <w:style w:type="character" w:customStyle="1" w:styleId="59">
    <w:name w:val="批注框文本 Char"/>
    <w:basedOn w:val="19"/>
    <w:link w:val="13"/>
    <w:semiHidden/>
    <w:qFormat/>
    <w:locked/>
    <w:uiPriority w:val="99"/>
    <w:rPr>
      <w:rFonts w:ascii="Calibri" w:hAnsi="Calibri" w:cs="Calibri"/>
      <w:sz w:val="2"/>
      <w:szCs w:val="2"/>
    </w:rPr>
  </w:style>
  <w:style w:type="character" w:customStyle="1" w:styleId="60">
    <w:name w:val="页脚 Char"/>
    <w:basedOn w:val="19"/>
    <w:link w:val="14"/>
    <w:semiHidden/>
    <w:qFormat/>
    <w:locked/>
    <w:uiPriority w:val="99"/>
    <w:rPr>
      <w:sz w:val="18"/>
      <w:szCs w:val="18"/>
    </w:rPr>
  </w:style>
  <w:style w:type="character" w:customStyle="1" w:styleId="61">
    <w:name w:val="页眉 Char"/>
    <w:basedOn w:val="19"/>
    <w:link w:val="15"/>
    <w:semiHidden/>
    <w:qFormat/>
    <w:locked/>
    <w:uiPriority w:val="99"/>
    <w:rPr>
      <w:sz w:val="18"/>
      <w:szCs w:val="18"/>
    </w:rPr>
  </w:style>
  <w:style w:type="character" w:customStyle="1" w:styleId="62">
    <w:name w:val="正文文本缩进 Char Char"/>
    <w:link w:val="42"/>
    <w:qFormat/>
    <w:locked/>
    <w:uiPriority w:val="99"/>
    <w:rPr>
      <w:rFonts w:ascii="楷体_GB2312" w:hAnsi="Calibri" w:eastAsia="楷体_GB2312" w:cs="楷体_GB2312"/>
      <w:kern w:val="2"/>
      <w:sz w:val="32"/>
      <w:szCs w:val="32"/>
      <w:lang w:val="en-US" w:eastAsia="zh-CN"/>
    </w:rPr>
  </w:style>
  <w:style w:type="character" w:customStyle="1" w:styleId="63">
    <w:name w:val="GW-正文 Char"/>
    <w:link w:val="50"/>
    <w:qFormat/>
    <w:locked/>
    <w:uiPriority w:val="99"/>
    <w:rPr>
      <w:kern w:val="2"/>
      <w:sz w:val="24"/>
      <w:szCs w:val="24"/>
    </w:rPr>
  </w:style>
  <w:style w:type="character" w:customStyle="1" w:styleId="64">
    <w:name w:val="Comment Text Char1"/>
    <w:semiHidden/>
    <w:qFormat/>
    <w:locked/>
    <w:uiPriority w:val="99"/>
    <w:rPr>
      <w:rFonts w:ascii="等线" w:hAnsi="等线" w:eastAsia="等线" w:cs="等线"/>
      <w:kern w:val="2"/>
      <w:sz w:val="22"/>
      <w:szCs w:val="22"/>
      <w:lang w:val="en-US" w:eastAsia="zh-CN"/>
    </w:rPr>
  </w:style>
  <w:style w:type="character" w:customStyle="1" w:styleId="65">
    <w:name w:val="正文文本缩进 Char Char Char"/>
    <w:qFormat/>
    <w:uiPriority w:val="0"/>
    <w:rPr>
      <w:rFonts w:ascii="楷体_GB2312" w:hAnsi="Calibri" w:eastAsia="楷体_GB2312"/>
      <w:kern w:val="2"/>
      <w:sz w:val="32"/>
      <w:lang w:val="en-US" w:eastAsia="zh-CN"/>
    </w:rPr>
  </w:style>
  <w:style w:type="character" w:customStyle="1" w:styleId="66">
    <w:name w:val="bds_more2"/>
    <w:basedOn w:val="19"/>
    <w:qFormat/>
    <w:uiPriority w:val="0"/>
    <w:rPr>
      <w:rFonts w:hint="eastAsia" w:ascii="宋体" w:hAnsi="宋体" w:eastAsia="宋体" w:cs="宋体"/>
    </w:rPr>
  </w:style>
  <w:style w:type="character" w:customStyle="1" w:styleId="67">
    <w:name w:val="bds_more3"/>
    <w:basedOn w:val="19"/>
    <w:qFormat/>
    <w:uiPriority w:val="0"/>
  </w:style>
  <w:style w:type="character" w:customStyle="1" w:styleId="68">
    <w:name w:val="bds_more4"/>
    <w:basedOn w:val="19"/>
    <w:qFormat/>
    <w:uiPriority w:val="0"/>
  </w:style>
  <w:style w:type="character" w:customStyle="1" w:styleId="69">
    <w:name w:val="bds_nopic"/>
    <w:basedOn w:val="19"/>
    <w:qFormat/>
    <w:uiPriority w:val="0"/>
  </w:style>
  <w:style w:type="character" w:customStyle="1" w:styleId="70">
    <w:name w:val="bds_nopic1"/>
    <w:basedOn w:val="19"/>
    <w:qFormat/>
    <w:uiPriority w:val="0"/>
  </w:style>
  <w:style w:type="character" w:customStyle="1" w:styleId="71">
    <w:name w:val="bds_nopic2"/>
    <w:basedOn w:val="19"/>
    <w:qFormat/>
    <w:uiPriority w:val="0"/>
  </w:style>
  <w:style w:type="paragraph" w:customStyle="1" w:styleId="72">
    <w:name w:val="Table Paragraph"/>
    <w:basedOn w:val="1"/>
    <w:qFormat/>
    <w:uiPriority w:val="0"/>
    <w:pPr>
      <w:autoSpaceDE w:val="0"/>
      <w:autoSpaceDN w:val="0"/>
      <w:adjustRightInd w:val="0"/>
      <w:jc w:val="left"/>
    </w:pPr>
    <w:rPr>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glj</Company>
  <Pages>31</Pages>
  <Words>16053</Words>
  <Characters>17197</Characters>
  <Lines>136</Lines>
  <Paragraphs>38</Paragraphs>
  <TotalTime>0</TotalTime>
  <ScaleCrop>false</ScaleCrop>
  <LinksUpToDate>false</LinksUpToDate>
  <CharactersWithSpaces>17676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2017-08-24T03:08:00Z</dcterms:created>
  <dc:creator>zyjy</dc:creator>
  <cp:lastModifiedBy>WPS_1683679694</cp:lastModifiedBy>
  <cp:lastPrinted>2022-07-29T02:21:00Z</cp:lastPrinted>
  <dcterms:modified xsi:type="dcterms:W3CDTF">2023-06-25T06:38:30Z</dcterms:modified>
  <dc:title>项目编号：20××-CG-H-××</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CF87A16793C644FF8E4AB65EB38E3C8A</vt:lpwstr>
  </property>
</Properties>
</file>