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afterLines="100" w:line="360" w:lineRule="auto"/>
        <w:ind w:firstLine="422" w:firstLineChars="150"/>
        <w:jc w:val="center"/>
        <w:outlineLvl w:val="1"/>
        <w:rPr>
          <w:rFonts w:ascii="宋体" w:hAnsi="宋体"/>
          <w:b/>
          <w:sz w:val="28"/>
          <w:szCs w:val="28"/>
        </w:rPr>
      </w:pPr>
      <w:bookmarkStart w:id="0" w:name="_Toc377506683"/>
      <w:r>
        <w:rPr>
          <w:rFonts w:hint="eastAsia" w:ascii="宋体" w:hAnsi="宋体"/>
          <w:b/>
          <w:bCs/>
          <w:sz w:val="28"/>
          <w:szCs w:val="28"/>
        </w:rPr>
        <w:t>铜陵学院小型基本建设项目设计</w:t>
      </w:r>
      <w:bookmarkEnd w:id="0"/>
      <w:r>
        <w:rPr>
          <w:rFonts w:hint="eastAsia" w:ascii="宋体" w:hAnsi="宋体"/>
          <w:b/>
          <w:bCs/>
          <w:sz w:val="28"/>
          <w:szCs w:val="28"/>
        </w:rPr>
        <w:t>服务建库采购公告（第二次）</w:t>
      </w:r>
      <w:r>
        <w:rPr>
          <w:rFonts w:hint="eastAsia" w:ascii="宋体" w:hAnsi="宋体" w:cstheme="majorEastAsia"/>
          <w:b/>
          <w:bCs/>
          <w:sz w:val="28"/>
          <w:szCs w:val="28"/>
        </w:rPr>
        <w:t>项目采购需求</w:t>
      </w:r>
    </w:p>
    <w:p>
      <w:pPr>
        <w:pStyle w:val="20"/>
        <w:ind w:firstLineChars="0"/>
        <w:rPr>
          <w:rFonts w:ascii="宋体" w:hAnsi="宋体" w:eastAsia="宋体" w:cstheme="minorEastAsia"/>
        </w:rPr>
      </w:pPr>
      <w:r>
        <w:rPr>
          <w:rFonts w:hint="eastAsia" w:ascii="宋体" w:hAnsi="宋体" w:eastAsia="宋体" w:cstheme="minorEastAsia"/>
        </w:rPr>
        <w:t>一、项目的现状、招标内容等</w:t>
      </w:r>
    </w:p>
    <w:p>
      <w:pPr>
        <w:pStyle w:val="20"/>
        <w:ind w:firstLine="480"/>
        <w:rPr>
          <w:rFonts w:ascii="宋体" w:hAnsi="宋体" w:eastAsia="宋体" w:cstheme="minorEastAsia"/>
        </w:rPr>
      </w:pPr>
      <w:r>
        <w:rPr>
          <w:rFonts w:hint="eastAsia" w:ascii="宋体" w:hAnsi="宋体" w:eastAsia="宋体" w:cstheme="minorEastAsia"/>
        </w:rPr>
        <w:t>截止到2020年12月31日铜陵学院投资造价500万元以内的新建、改扩建、修缮、装修、水电改造（含节能、智能化）、市政环</w:t>
      </w:r>
      <w:bookmarkStart w:id="1" w:name="_GoBack"/>
      <w:bookmarkEnd w:id="1"/>
      <w:r>
        <w:rPr>
          <w:rFonts w:hint="eastAsia" w:ascii="宋体" w:hAnsi="宋体" w:eastAsia="宋体" w:cstheme="minorEastAsia"/>
        </w:rPr>
        <w:t>境等工程设计。</w:t>
      </w:r>
    </w:p>
    <w:p>
      <w:pPr>
        <w:pStyle w:val="20"/>
        <w:ind w:firstLine="480"/>
        <w:rPr>
          <w:rFonts w:ascii="宋体" w:hAnsi="宋体" w:eastAsia="宋体" w:cstheme="minorEastAsia"/>
        </w:rPr>
      </w:pPr>
      <w:r>
        <w:rPr>
          <w:rFonts w:hint="eastAsia" w:ascii="宋体" w:hAnsi="宋体" w:eastAsia="宋体" w:cstheme="minorEastAsia"/>
        </w:rPr>
        <w:t>方案设计阶段：根据招标人要求完成方案设计。</w:t>
      </w:r>
    </w:p>
    <w:p>
      <w:pPr>
        <w:pStyle w:val="20"/>
        <w:ind w:firstLine="480"/>
        <w:rPr>
          <w:rFonts w:ascii="宋体" w:hAnsi="宋体" w:eastAsia="宋体" w:cstheme="minorEastAsia"/>
        </w:rPr>
      </w:pPr>
      <w:r>
        <w:rPr>
          <w:rFonts w:hint="eastAsia" w:ascii="宋体" w:hAnsi="宋体" w:eastAsia="宋体" w:cstheme="minorEastAsia"/>
        </w:rPr>
        <w:t>施工图设计阶段：根据甲方确定的方案，在招标人规定的期限内完成项目的所有各个专业的施工图设计。</w:t>
      </w:r>
    </w:p>
    <w:p>
      <w:pPr>
        <w:pStyle w:val="20"/>
        <w:ind w:firstLine="480"/>
        <w:rPr>
          <w:rFonts w:ascii="宋体" w:hAnsi="宋体" w:eastAsia="宋体" w:cstheme="minorEastAsia"/>
        </w:rPr>
      </w:pPr>
      <w:r>
        <w:rPr>
          <w:rFonts w:hint="eastAsia" w:ascii="宋体" w:hAnsi="宋体" w:eastAsia="宋体" w:cstheme="minorEastAsia"/>
        </w:rPr>
        <w:t>提供工程施工全过程的跟踪设计服务。</w:t>
      </w:r>
    </w:p>
    <w:p>
      <w:pPr>
        <w:pStyle w:val="20"/>
        <w:ind w:firstLine="480"/>
        <w:rPr>
          <w:rFonts w:ascii="宋体" w:hAnsi="宋体" w:eastAsia="宋体" w:cstheme="minorEastAsia"/>
        </w:rPr>
      </w:pPr>
      <w:r>
        <w:rPr>
          <w:rFonts w:hint="eastAsia" w:ascii="宋体" w:hAnsi="宋体" w:eastAsia="宋体" w:cstheme="minorEastAsia"/>
        </w:rPr>
        <w:t>二、建设工程设计文件的编制与实施要求</w:t>
      </w:r>
    </w:p>
    <w:p>
      <w:pPr>
        <w:pStyle w:val="20"/>
        <w:ind w:firstLine="480"/>
        <w:rPr>
          <w:rFonts w:ascii="宋体" w:hAnsi="宋体" w:eastAsia="宋体" w:cstheme="minorEastAsia"/>
        </w:rPr>
      </w:pPr>
      <w:r>
        <w:rPr>
          <w:rFonts w:hint="eastAsia" w:ascii="宋体" w:hAnsi="宋体" w:eastAsia="宋体" w:cstheme="minorEastAsia"/>
        </w:rPr>
        <w:t>（一）建设工程设计单位必须依法进行建设工程设计，严格执行工程建设强制性标准，并对建设工程设计的质量负责。</w:t>
      </w:r>
    </w:p>
    <w:p>
      <w:pPr>
        <w:pStyle w:val="20"/>
        <w:ind w:firstLine="480"/>
        <w:rPr>
          <w:rFonts w:ascii="宋体" w:hAnsi="宋体" w:eastAsia="宋体" w:cstheme="minorEastAsia"/>
        </w:rPr>
      </w:pPr>
      <w:r>
        <w:rPr>
          <w:rFonts w:hint="eastAsia" w:ascii="宋体" w:hAnsi="宋体" w:eastAsia="宋体" w:cstheme="minorEastAsia"/>
        </w:rPr>
        <w:t>（二）编制建设工程设计文件，应当真实、准确，满足建设工程规划、施工的需要。</w:t>
      </w:r>
    </w:p>
    <w:p>
      <w:pPr>
        <w:pStyle w:val="20"/>
        <w:numPr>
          <w:ilvl w:val="0"/>
          <w:numId w:val="1"/>
        </w:numPr>
        <w:ind w:firstLine="480"/>
        <w:rPr>
          <w:rFonts w:ascii="宋体" w:hAnsi="宋体" w:eastAsia="宋体" w:cstheme="minorEastAsia"/>
        </w:rPr>
      </w:pPr>
      <w:r>
        <w:rPr>
          <w:rFonts w:hint="eastAsia" w:ascii="宋体" w:hAnsi="宋体" w:eastAsia="宋体" w:cstheme="minorEastAsia"/>
        </w:rPr>
        <w:t>编制方案设计文件：应当满足编制设计文件和控制概算的需要，各专业设计人员应充分了解现场及校方建设意图。</w:t>
      </w:r>
    </w:p>
    <w:p>
      <w:pPr>
        <w:pStyle w:val="20"/>
        <w:numPr>
          <w:ilvl w:val="0"/>
          <w:numId w:val="1"/>
        </w:numPr>
        <w:ind w:firstLine="480"/>
        <w:rPr>
          <w:rFonts w:ascii="宋体" w:hAnsi="宋体" w:eastAsia="宋体" w:cstheme="minorEastAsia"/>
        </w:rPr>
      </w:pPr>
      <w:r>
        <w:rPr>
          <w:rFonts w:hint="eastAsia" w:ascii="宋体" w:hAnsi="宋体" w:eastAsia="宋体" w:cstheme="minorEastAsia"/>
        </w:rPr>
        <w:t>编制施工图设计文件，应当满足编制施工招标文件、设备材料采购、非标准设备制作和施工的需要，并注明建设工程合理使用年限。</w:t>
      </w:r>
    </w:p>
    <w:p>
      <w:pPr>
        <w:pStyle w:val="20"/>
        <w:numPr>
          <w:ilvl w:val="0"/>
          <w:numId w:val="2"/>
        </w:numPr>
        <w:ind w:firstLine="450" w:firstLineChars="0"/>
        <w:rPr>
          <w:rFonts w:ascii="宋体" w:hAnsi="宋体" w:eastAsia="宋体" w:cstheme="minorEastAsia"/>
        </w:rPr>
      </w:pPr>
      <w:r>
        <w:rPr>
          <w:rFonts w:hint="eastAsia" w:ascii="宋体" w:hAnsi="宋体" w:eastAsia="宋体" w:cstheme="minorEastAsia"/>
        </w:rPr>
        <w:t>设计文件中选用的材料、构配件、设备，应当注明其规格、型号、性能等技术指标，其质量要求必须符合国家规定的标准。除有特殊要求的建筑材料、专用设备和工艺生产线等外，设计单位不得指定生产厂、供应商。</w:t>
      </w:r>
    </w:p>
    <w:p>
      <w:pPr>
        <w:pStyle w:val="20"/>
        <w:numPr>
          <w:ilvl w:val="0"/>
          <w:numId w:val="2"/>
        </w:numPr>
        <w:ind w:firstLine="450" w:firstLineChars="0"/>
        <w:rPr>
          <w:rFonts w:ascii="宋体" w:hAnsi="宋体" w:eastAsia="宋体" w:cstheme="minorEastAsia"/>
        </w:rPr>
      </w:pPr>
      <w:r>
        <w:rPr>
          <w:rFonts w:hint="eastAsia" w:ascii="宋体" w:hAnsi="宋体" w:eastAsia="宋体" w:cstheme="minorEastAsia"/>
        </w:rPr>
        <w:t>设计单位在建设工程施工前，向施工单位说明建设工程设计意图，解释建设工程勘察、设计文件，及时解决施工中出现的设计问题，参加分部分项的隐蔽工程及阶段性的验收和工程结束竣工验收。</w:t>
      </w:r>
    </w:p>
    <w:p>
      <w:pPr>
        <w:pStyle w:val="20"/>
        <w:numPr>
          <w:ilvl w:val="0"/>
          <w:numId w:val="2"/>
        </w:numPr>
        <w:ind w:firstLine="450" w:firstLineChars="0"/>
        <w:rPr>
          <w:rFonts w:ascii="宋体" w:hAnsi="宋体" w:eastAsia="宋体" w:cstheme="minorEastAsia"/>
        </w:rPr>
      </w:pPr>
      <w:r>
        <w:rPr>
          <w:rFonts w:hint="eastAsia" w:ascii="宋体" w:hAnsi="宋体" w:eastAsia="宋体" w:cstheme="minorEastAsia"/>
        </w:rPr>
        <w:t>我校修缮改造项目比较零散，点多面广，部分基建、能源、绿化等修缮改造项目缺少原始数据和纸质电子图纸，设计单位在报价时要充分考虑此类因素。凡设计项目涉及水电部分，设计时应考虑与学校能耗监管平台对接。</w:t>
      </w:r>
    </w:p>
    <w:p>
      <w:pPr>
        <w:pStyle w:val="20"/>
        <w:ind w:firstLineChars="175"/>
        <w:rPr>
          <w:rFonts w:ascii="宋体" w:hAnsi="宋体" w:eastAsia="宋体" w:cstheme="minorEastAsia"/>
        </w:rPr>
      </w:pPr>
      <w:r>
        <w:rPr>
          <w:rFonts w:hint="eastAsia" w:ascii="宋体" w:hAnsi="宋体" w:eastAsia="宋体" w:cstheme="minorEastAsia"/>
        </w:rPr>
        <w:t xml:space="preserve">三、质量要求 </w:t>
      </w:r>
    </w:p>
    <w:p>
      <w:pPr>
        <w:pStyle w:val="20"/>
        <w:ind w:firstLine="480"/>
        <w:rPr>
          <w:rFonts w:ascii="宋体" w:hAnsi="宋体" w:eastAsia="宋体" w:cstheme="minorEastAsia"/>
        </w:rPr>
      </w:pPr>
      <w:r>
        <w:rPr>
          <w:rFonts w:hint="eastAsia" w:ascii="宋体" w:hAnsi="宋体" w:eastAsia="宋体" w:cstheme="minorEastAsia"/>
        </w:rPr>
        <w:t>本工程要求的质量标准为：符合国家有关标准、规范、规程和招标文件要求，达到合格标准。设计质量控制要求如下：</w:t>
      </w:r>
    </w:p>
    <w:p>
      <w:pPr>
        <w:pStyle w:val="20"/>
        <w:ind w:firstLine="600" w:firstLineChars="250"/>
        <w:rPr>
          <w:rFonts w:ascii="宋体" w:hAnsi="宋体" w:eastAsia="宋体" w:cstheme="minorEastAsia"/>
        </w:rPr>
      </w:pPr>
      <w:r>
        <w:rPr>
          <w:rFonts w:hint="eastAsia" w:ascii="宋体" w:hAnsi="宋体" w:eastAsia="宋体" w:cstheme="minorEastAsia"/>
        </w:rPr>
        <w:t>1.各阶段设计图纸须达到的深度要求。</w:t>
      </w:r>
    </w:p>
    <w:p>
      <w:pPr>
        <w:pStyle w:val="20"/>
        <w:ind w:firstLine="480"/>
        <w:rPr>
          <w:rFonts w:ascii="宋体" w:hAnsi="宋体" w:eastAsia="宋体" w:cstheme="minorEastAsia"/>
        </w:rPr>
      </w:pPr>
      <w:r>
        <w:rPr>
          <w:rFonts w:hint="eastAsia" w:ascii="宋体" w:hAnsi="宋体" w:eastAsia="宋体" w:cstheme="minorEastAsia"/>
        </w:rPr>
        <w:t>（1）方案设计阶段，要体现方案的合理性，建设方要求的质量标准以及概算文件编制的深度要求。</w:t>
      </w:r>
    </w:p>
    <w:p>
      <w:pPr>
        <w:pStyle w:val="20"/>
        <w:ind w:firstLine="480"/>
        <w:rPr>
          <w:rFonts w:ascii="宋体" w:hAnsi="宋体" w:eastAsia="宋体" w:cstheme="minorEastAsia"/>
        </w:rPr>
      </w:pPr>
      <w:r>
        <w:rPr>
          <w:rFonts w:hint="eastAsia" w:ascii="宋体" w:hAnsi="宋体" w:eastAsia="宋体" w:cstheme="minorEastAsia"/>
        </w:rPr>
        <w:t>（2）施工图设计阶段，设计必须满足使用功能及质量的要求，以及其深度要满足施工条件的要求；杜绝各专业图纸之间的错、漏、碰、缺和彼此矛盾以及各专业设计人员不相互配合协调；确保施工图设计在投资不超过限额的前提下符合预定的质量要求。学校有权对中标人设计原因造成的经济损失对中标人进行处罚，给予扣除该项目设计费、解除合同等处理。</w:t>
      </w:r>
    </w:p>
    <w:p>
      <w:pPr>
        <w:pStyle w:val="20"/>
        <w:ind w:firstLine="480"/>
        <w:rPr>
          <w:rFonts w:ascii="宋体" w:hAnsi="宋体" w:eastAsia="宋体" w:cstheme="minorEastAsia"/>
        </w:rPr>
      </w:pPr>
      <w:r>
        <w:rPr>
          <w:rFonts w:hint="eastAsia" w:ascii="宋体" w:hAnsi="宋体" w:eastAsia="宋体" w:cstheme="minorEastAsia"/>
        </w:rPr>
        <w:t>2.设计投资控制</w:t>
      </w:r>
    </w:p>
    <w:p>
      <w:pPr>
        <w:pStyle w:val="20"/>
        <w:ind w:firstLine="480"/>
        <w:rPr>
          <w:rFonts w:ascii="宋体" w:hAnsi="宋体" w:eastAsia="宋体" w:cstheme="minorEastAsia"/>
        </w:rPr>
      </w:pPr>
      <w:r>
        <w:rPr>
          <w:rFonts w:hint="eastAsia" w:ascii="宋体" w:hAnsi="宋体" w:eastAsia="宋体" w:cstheme="minorEastAsia"/>
        </w:rPr>
        <w:t>设计投资控制的基本思想是以预控为主，各专业按分配的投资额进行设计，使设计在满足功能及质量要求的前提下，不超过计划投资。对由于中标人的原因造成的设计变更而产生的投资失控，中标人应承担相应责任。新增投资额在工程合同额的5%-10%，扣50%设计费；新增投资额在工程合同额的10%以上，扣100%设计费；如中标人累计三个项目设计变更增加投资额在工程合同额的5%-10%之间或单个项目设计变更增加投资额超工程合同额的10%，招标人有权终止中标人设计合同，且中标人三年内不得参与招标人组织的招标、设计。</w:t>
      </w:r>
    </w:p>
    <w:p>
      <w:pPr>
        <w:pStyle w:val="20"/>
        <w:numPr>
          <w:ilvl w:val="255"/>
          <w:numId w:val="0"/>
        </w:numPr>
        <w:rPr>
          <w:rFonts w:ascii="宋体" w:hAnsi="宋体" w:eastAsia="宋体" w:cstheme="minorEastAsia"/>
          <w:bCs/>
        </w:rPr>
      </w:pPr>
      <w:r>
        <w:rPr>
          <w:rFonts w:hint="eastAsia" w:ascii="宋体" w:hAnsi="宋体" w:eastAsia="宋体" w:cstheme="minorEastAsia"/>
          <w:bCs/>
        </w:rPr>
        <w:t xml:space="preserve">    注：由于非中标人的原因造成的设计变更，不在上述责任之内。</w:t>
      </w:r>
    </w:p>
    <w:p>
      <w:pPr>
        <w:pStyle w:val="20"/>
        <w:ind w:firstLine="600" w:firstLineChars="250"/>
        <w:rPr>
          <w:rFonts w:ascii="宋体" w:hAnsi="宋体" w:eastAsia="宋体" w:cstheme="minorEastAsia"/>
          <w:bCs/>
        </w:rPr>
      </w:pPr>
      <w:r>
        <w:rPr>
          <w:rFonts w:hint="eastAsia" w:ascii="宋体" w:hAnsi="宋体" w:eastAsia="宋体" w:cstheme="minorEastAsia"/>
        </w:rPr>
        <w:t>3.设计进度控制</w:t>
      </w:r>
    </w:p>
    <w:p>
      <w:pPr>
        <w:pStyle w:val="20"/>
        <w:ind w:firstLine="480"/>
        <w:rPr>
          <w:rFonts w:ascii="宋体" w:hAnsi="宋体" w:eastAsia="宋体" w:cstheme="minorEastAsia"/>
        </w:rPr>
      </w:pPr>
      <w:r>
        <w:rPr>
          <w:rFonts w:hint="eastAsia" w:ascii="宋体" w:hAnsi="宋体" w:eastAsia="宋体" w:cstheme="minorEastAsia"/>
        </w:rPr>
        <w:t>（1）中标人要主动配合，使设计图纸能满足建设方需求。要采取有效措施使设计人员如期完成初步设计、技术设计和施工图设计。中标人要提供确切的工作计划和各工种的出图时间安排表以及服务承诺，并使工作周期满足《设计合同》、建质函[2016]295号《全国建筑设计周期定额（2016版）》（改建、扩建工程周期增加按下限记取）及相关国家标准的要求。对由于中标人原因造成的设计超期，中标人应承担相应责任。</w:t>
      </w:r>
    </w:p>
    <w:p>
      <w:pPr>
        <w:pStyle w:val="20"/>
        <w:ind w:firstLine="480"/>
        <w:rPr>
          <w:rFonts w:ascii="宋体" w:hAnsi="宋体" w:eastAsia="宋体" w:cstheme="minorEastAsia"/>
        </w:rPr>
      </w:pPr>
      <w:r>
        <w:rPr>
          <w:rFonts w:hint="eastAsia" w:ascii="宋体" w:hAnsi="宋体" w:eastAsia="宋体" w:cstheme="minorEastAsia"/>
        </w:rPr>
        <w:t>（2）中标人设计成果完成时间超过约定周期，每超一天扣1%设计费，最高扣100%设计费。如中标人累计三个项目未按期完成，招标人有权终止中标人设计合同，且中标人三年内不得参与招标人组织的招标、设计。</w:t>
      </w:r>
    </w:p>
    <w:p>
      <w:pPr>
        <w:pStyle w:val="20"/>
        <w:numPr>
          <w:ilvl w:val="255"/>
          <w:numId w:val="0"/>
        </w:numPr>
        <w:ind w:firstLine="480"/>
        <w:rPr>
          <w:rFonts w:ascii="宋体" w:hAnsi="宋体" w:eastAsia="宋体" w:cstheme="minorEastAsia"/>
        </w:rPr>
      </w:pPr>
      <w:r>
        <w:rPr>
          <w:rFonts w:hint="eastAsia" w:ascii="宋体" w:hAnsi="宋体" w:eastAsia="宋体" w:cstheme="minorEastAsia"/>
          <w:bCs/>
        </w:rPr>
        <w:t xml:space="preserve"> 注：由于非中标人的原因造成的设计超期，不在上述责任之内。</w:t>
      </w:r>
    </w:p>
    <w:p>
      <w:pPr>
        <w:pStyle w:val="20"/>
        <w:ind w:firstLine="450" w:firstLineChars="0"/>
        <w:rPr>
          <w:rFonts w:ascii="宋体" w:hAnsi="宋体" w:eastAsia="宋体" w:cstheme="minorEastAsia"/>
        </w:rPr>
      </w:pPr>
      <w:r>
        <w:rPr>
          <w:rFonts w:hint="eastAsia" w:ascii="宋体" w:hAnsi="宋体" w:eastAsia="宋体" w:cstheme="minorEastAsia"/>
        </w:rPr>
        <w:t>（3）在服务期内，如存在非因招标人原因导致项目清单编制、招标工作及项目执行延误，招标人有权终止委托。项目将委托其他中标单位。</w:t>
      </w:r>
    </w:p>
    <w:p>
      <w:pPr>
        <w:pStyle w:val="20"/>
        <w:numPr>
          <w:ilvl w:val="255"/>
          <w:numId w:val="0"/>
        </w:numPr>
        <w:ind w:firstLine="450"/>
        <w:rPr>
          <w:rFonts w:ascii="宋体" w:hAnsi="宋体" w:eastAsia="宋体" w:cstheme="minorEastAsia"/>
        </w:rPr>
      </w:pPr>
      <w:r>
        <w:rPr>
          <w:rFonts w:hint="eastAsia" w:ascii="宋体" w:hAnsi="宋体" w:eastAsia="宋体" w:cstheme="minorEastAsia"/>
        </w:rPr>
        <w:t>（4）在服务期内，如存在非因招标人原因延误设计期限，方案设计及施工图设计不能按期交付，招标人有权终止委托。项目将委托其他中标单位。</w:t>
      </w:r>
    </w:p>
    <w:p>
      <w:pPr>
        <w:pStyle w:val="20"/>
        <w:ind w:firstLine="720" w:firstLineChars="300"/>
        <w:rPr>
          <w:rFonts w:ascii="宋体" w:hAnsi="宋体" w:eastAsia="宋体" w:cstheme="minorEastAsia"/>
        </w:rPr>
      </w:pPr>
      <w:r>
        <w:rPr>
          <w:rFonts w:hint="eastAsia" w:ascii="宋体" w:hAnsi="宋体" w:eastAsia="宋体" w:cstheme="minorEastAsia"/>
        </w:rPr>
        <w:t>4.要求中标人最终提供给招标人的设计文件包含以下内容：</w:t>
      </w:r>
    </w:p>
    <w:p>
      <w:pPr>
        <w:pStyle w:val="20"/>
        <w:ind w:left="480" w:firstLine="0" w:firstLineChars="0"/>
        <w:rPr>
          <w:rFonts w:ascii="宋体" w:hAnsi="宋体" w:eastAsia="宋体" w:cstheme="minorEastAsia"/>
        </w:rPr>
      </w:pPr>
      <w:r>
        <w:rPr>
          <w:rFonts w:hint="eastAsia" w:ascii="宋体" w:hAnsi="宋体" w:eastAsia="宋体" w:cstheme="minorEastAsia"/>
        </w:rPr>
        <w:t>（1）方案设计阶段，提供三套完整的方案图纸及效果图等配套图纸。</w:t>
      </w:r>
    </w:p>
    <w:p>
      <w:pPr>
        <w:pStyle w:val="20"/>
        <w:ind w:left="480" w:firstLine="0" w:firstLineChars="0"/>
        <w:rPr>
          <w:rFonts w:ascii="宋体" w:hAnsi="宋体" w:eastAsia="宋体" w:cstheme="minorEastAsia"/>
        </w:rPr>
      </w:pPr>
      <w:r>
        <w:rPr>
          <w:rFonts w:hint="eastAsia" w:ascii="宋体" w:hAnsi="宋体" w:eastAsia="宋体" w:cstheme="minorEastAsia"/>
        </w:rPr>
        <w:t>（2）施工图设计阶段，提供八套完整的施工图设计蓝图。</w:t>
      </w:r>
    </w:p>
    <w:p>
      <w:pPr>
        <w:pStyle w:val="20"/>
        <w:ind w:left="480" w:firstLine="0" w:firstLineChars="0"/>
        <w:rPr>
          <w:rFonts w:ascii="宋体" w:hAnsi="宋体" w:eastAsia="宋体" w:cstheme="minorEastAsia"/>
        </w:rPr>
      </w:pPr>
      <w:r>
        <w:rPr>
          <w:rFonts w:hint="eastAsia" w:ascii="宋体" w:hAnsi="宋体" w:eastAsia="宋体" w:cstheme="minorEastAsia"/>
        </w:rPr>
        <w:t>（3）提供完整PDF格式施工图及CAD电子版的施工图</w:t>
      </w:r>
    </w:p>
    <w:p>
      <w:pPr>
        <w:pStyle w:val="20"/>
        <w:ind w:firstLineChars="0"/>
        <w:rPr>
          <w:rFonts w:ascii="宋体" w:hAnsi="宋体" w:eastAsia="宋体" w:cstheme="minorEastAsia"/>
        </w:rPr>
      </w:pPr>
      <w:r>
        <w:rPr>
          <w:rFonts w:hint="eastAsia" w:ascii="宋体" w:hAnsi="宋体" w:eastAsia="宋体" w:cstheme="minorEastAsia"/>
        </w:rPr>
        <w:t>四、付款方式</w:t>
      </w:r>
    </w:p>
    <w:p>
      <w:pPr>
        <w:pStyle w:val="20"/>
        <w:ind w:firstLine="450" w:firstLineChars="0"/>
        <w:rPr>
          <w:rFonts w:ascii="宋体" w:hAnsi="宋体" w:eastAsia="宋体" w:cstheme="minorEastAsia"/>
        </w:rPr>
      </w:pPr>
      <w:r>
        <w:rPr>
          <w:rFonts w:hint="eastAsia" w:ascii="宋体" w:hAnsi="宋体" w:eastAsia="宋体" w:cstheme="minorEastAsia"/>
        </w:rPr>
        <w:t>（一）招标人第一轮安排项目会根据项目情况优先委派给让利幅度高的中标人，此后将结合中标人工作水平、表现及让利幅度陆续分配项目。全部设计完成后付合同金额的80%；留合同金额的20%作为设计服务质保金，待工程竣工验收合格后一次付清。对于中途停止推进实施的工程项目的设计费，在招标人正式确定停止推进后一次性付清。</w:t>
      </w:r>
    </w:p>
    <w:p>
      <w:pPr>
        <w:pStyle w:val="20"/>
        <w:ind w:firstLine="360" w:firstLineChars="150"/>
        <w:rPr>
          <w:rFonts w:ascii="宋体" w:hAnsi="宋体" w:eastAsia="宋体" w:cstheme="minorEastAsia"/>
        </w:rPr>
      </w:pPr>
      <w:r>
        <w:rPr>
          <w:rFonts w:hint="eastAsia" w:ascii="宋体" w:hAnsi="宋体" w:eastAsia="宋体" w:cstheme="minorEastAsia"/>
        </w:rPr>
        <w:t>（二）投标人在成为中标人以后不得以任何借口推脱招标人的项目安排，如投标人拒不接受招标人的工程安排，招标人将有权对投标人的中标资格给予取消，对已经实施项目不予付款，并扣罚履约保证金。</w:t>
      </w:r>
    </w:p>
    <w:p>
      <w:pPr>
        <w:pStyle w:val="20"/>
        <w:ind w:firstLineChars="0"/>
        <w:rPr>
          <w:rFonts w:ascii="宋体" w:hAnsi="宋体" w:eastAsia="宋体" w:cstheme="minorEastAsia"/>
        </w:rPr>
      </w:pPr>
      <w:r>
        <w:rPr>
          <w:rFonts w:hint="eastAsia" w:ascii="宋体" w:hAnsi="宋体" w:eastAsia="宋体" w:cstheme="minorEastAsia"/>
        </w:rPr>
        <w:t>五、合同签订文本</w:t>
      </w:r>
    </w:p>
    <w:p>
      <w:pPr>
        <w:pStyle w:val="20"/>
        <w:ind w:firstLine="480"/>
        <w:rPr>
          <w:rFonts w:ascii="宋体" w:hAnsi="宋体" w:eastAsia="宋体" w:cstheme="minorEastAsia"/>
        </w:rPr>
      </w:pPr>
      <w:r>
        <w:rPr>
          <w:rFonts w:hint="eastAsia" w:ascii="宋体" w:hAnsi="宋体" w:eastAsia="宋体" w:cstheme="minorEastAsia"/>
        </w:rPr>
        <w:t>使用住房和城乡建设部发布的《建设工程设计合同示范文本(房屋建筑工程)》(GF-2015-0209)、《建设工程设计合同示范文本(专业建设工程)》(GF-2015-0210)。</w:t>
      </w: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p>
    <w:p>
      <w:pPr>
        <w:spacing w:line="400" w:lineRule="exact"/>
        <w:jc w:val="left"/>
        <w:rPr>
          <w:rFonts w:ascii="宋体" w:hAnsi="宋体"/>
          <w:bCs/>
          <w:sz w:val="28"/>
          <w:szCs w:val="28"/>
        </w:rPr>
      </w:pPr>
      <w:r>
        <w:rPr>
          <w:rFonts w:hint="eastAsia" w:ascii="宋体" w:hAnsi="宋体"/>
          <w:bCs/>
          <w:sz w:val="28"/>
          <w:szCs w:val="28"/>
        </w:rPr>
        <w:t>附件：</w:t>
      </w:r>
    </w:p>
    <w:p>
      <w:pPr>
        <w:jc w:val="center"/>
        <w:rPr>
          <w:rFonts w:ascii="宋体" w:hAnsi="宋体"/>
          <w:sz w:val="30"/>
          <w:szCs w:val="30"/>
        </w:rPr>
      </w:pPr>
    </w:p>
    <w:p>
      <w:pPr>
        <w:jc w:val="center"/>
        <w:rPr>
          <w:rFonts w:ascii="宋体" w:hAnsi="宋体"/>
          <w:sz w:val="32"/>
          <w:szCs w:val="32"/>
        </w:rPr>
      </w:pPr>
      <w:r>
        <w:rPr>
          <w:rFonts w:hint="eastAsia" w:ascii="宋体" w:hAnsi="宋体"/>
          <w:sz w:val="32"/>
          <w:szCs w:val="32"/>
        </w:rPr>
        <w:t>铜陵学院改造（修缮）工程设计项目投标报价表</w:t>
      </w:r>
    </w:p>
    <w:p>
      <w:pPr>
        <w:jc w:val="center"/>
        <w:rPr>
          <w:rFonts w:ascii="宋体" w:hAnsi="宋体"/>
          <w:sz w:val="32"/>
          <w:szCs w:val="32"/>
        </w:rPr>
      </w:pPr>
    </w:p>
    <w:tbl>
      <w:tblPr>
        <w:tblStyle w:val="8"/>
        <w:tblW w:w="9459"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2"/>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782" w:type="dxa"/>
            <w:vAlign w:val="center"/>
          </w:tcPr>
          <w:p>
            <w:pPr>
              <w:autoSpaceDN w:val="0"/>
              <w:spacing w:line="400" w:lineRule="exact"/>
              <w:ind w:firstLine="560" w:firstLineChars="200"/>
              <w:jc w:val="center"/>
              <w:rPr>
                <w:rFonts w:ascii="宋体" w:hAnsi="宋体"/>
                <w:color w:val="000000"/>
                <w:sz w:val="28"/>
                <w:szCs w:val="28"/>
                <w:shd w:val="clear" w:color="auto" w:fill="FFFFFF"/>
              </w:rPr>
            </w:pPr>
            <w:r>
              <w:rPr>
                <w:rFonts w:hint="eastAsia" w:ascii="宋体" w:hAnsi="宋体"/>
                <w:color w:val="000000"/>
                <w:sz w:val="28"/>
                <w:szCs w:val="28"/>
                <w:shd w:val="clear" w:color="auto" w:fill="FFFFFF"/>
              </w:rPr>
              <w:t>工程内容</w:t>
            </w:r>
          </w:p>
        </w:tc>
        <w:tc>
          <w:tcPr>
            <w:tcW w:w="4677" w:type="dxa"/>
            <w:vAlign w:val="center"/>
          </w:tcPr>
          <w:p>
            <w:pPr>
              <w:autoSpaceDN w:val="0"/>
              <w:spacing w:line="400" w:lineRule="exact"/>
              <w:ind w:firstLine="560" w:firstLineChars="200"/>
              <w:jc w:val="center"/>
              <w:rPr>
                <w:rFonts w:ascii="宋体" w:hAnsi="宋体"/>
                <w:sz w:val="28"/>
                <w:szCs w:val="28"/>
                <w:shd w:val="clear" w:color="auto" w:fill="FFFFFF"/>
              </w:rPr>
            </w:pPr>
            <w:r>
              <w:rPr>
                <w:rFonts w:hint="eastAsia" w:ascii="宋体" w:hAnsi="宋体"/>
                <w:sz w:val="28"/>
                <w:szCs w:val="28"/>
                <w:shd w:val="clear" w:color="auto" w:fill="FFFFFF"/>
              </w:rPr>
              <w:t>设计费率报价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trPr>
        <w:tc>
          <w:tcPr>
            <w:tcW w:w="4782" w:type="dxa"/>
            <w:vAlign w:val="center"/>
          </w:tcPr>
          <w:p>
            <w:pPr>
              <w:autoSpaceDN w:val="0"/>
              <w:spacing w:line="400" w:lineRule="exact"/>
              <w:jc w:val="center"/>
              <w:rPr>
                <w:rFonts w:ascii="宋体" w:hAnsi="宋体"/>
                <w:color w:val="000000"/>
                <w:sz w:val="28"/>
                <w:szCs w:val="28"/>
                <w:shd w:val="clear" w:color="auto" w:fill="FFFFFF"/>
              </w:rPr>
            </w:pPr>
            <w:r>
              <w:rPr>
                <w:rFonts w:hint="eastAsia" w:ascii="宋体" w:hAnsi="宋体" w:cs="宋体"/>
                <w:color w:val="000000" w:themeColor="text1"/>
                <w:kern w:val="0"/>
                <w:sz w:val="28"/>
                <w:szCs w:val="28"/>
              </w:rPr>
              <w:t>造价（中标价）在5</w:t>
            </w:r>
            <w:r>
              <w:rPr>
                <w:rFonts w:ascii="宋体" w:hAnsi="宋体" w:cs="宋体"/>
                <w:color w:val="000000" w:themeColor="text1"/>
                <w:kern w:val="0"/>
                <w:sz w:val="28"/>
                <w:szCs w:val="28"/>
              </w:rPr>
              <w:t>0--</w:t>
            </w:r>
            <w:r>
              <w:rPr>
                <w:rFonts w:hint="eastAsia" w:ascii="宋体" w:hAnsi="宋体" w:cs="宋体"/>
                <w:color w:val="000000" w:themeColor="text1"/>
                <w:kern w:val="0"/>
                <w:sz w:val="28"/>
                <w:szCs w:val="28"/>
              </w:rPr>
              <w:t>10</w:t>
            </w:r>
            <w:r>
              <w:rPr>
                <w:rFonts w:ascii="宋体" w:hAnsi="宋体" w:cs="宋体"/>
                <w:color w:val="000000" w:themeColor="text1"/>
                <w:kern w:val="0"/>
                <w:sz w:val="28"/>
                <w:szCs w:val="28"/>
              </w:rPr>
              <w:t>0</w:t>
            </w:r>
            <w:r>
              <w:rPr>
                <w:rFonts w:hint="eastAsia" w:ascii="宋体" w:hAnsi="宋体" w:cs="宋体"/>
                <w:color w:val="000000" w:themeColor="text1"/>
                <w:kern w:val="0"/>
                <w:sz w:val="28"/>
                <w:szCs w:val="28"/>
              </w:rPr>
              <w:t>万元</w:t>
            </w:r>
          </w:p>
        </w:tc>
        <w:tc>
          <w:tcPr>
            <w:tcW w:w="4677" w:type="dxa"/>
            <w:vAlign w:val="center"/>
          </w:tcPr>
          <w:p>
            <w:pPr>
              <w:autoSpaceDN w:val="0"/>
              <w:spacing w:line="400" w:lineRule="exact"/>
              <w:jc w:val="center"/>
              <w:rPr>
                <w:rFonts w:ascii="宋体" w:hAnsi="宋体"/>
                <w:color w:val="000000"/>
                <w:sz w:val="28"/>
                <w:szCs w:val="28"/>
                <w:shd w:val="clear" w:color="auto" w:fill="FFFFFF"/>
              </w:rPr>
            </w:pPr>
            <w:r>
              <w:rPr>
                <w:rFonts w:hint="eastAsia" w:ascii="宋体" w:hAnsi="宋体" w:cs="宋体"/>
                <w:color w:val="000000" w:themeColor="text1"/>
                <w:kern w:val="0"/>
                <w:sz w:val="28"/>
                <w:szCs w:val="28"/>
              </w:rPr>
              <w:t>造价（中标价）</w:t>
            </w:r>
            <w:r>
              <w:rPr>
                <w:rFonts w:hint="eastAsia" w:ascii="宋体" w:hAnsi="宋体"/>
                <w:color w:val="000000"/>
                <w:sz w:val="28"/>
                <w:szCs w:val="28"/>
              </w:rPr>
              <w:t>×</w:t>
            </w:r>
            <w:r>
              <w:rPr>
                <w:rFonts w:hint="eastAsia" w:ascii="宋体" w:hAnsi="宋体"/>
                <w:color w:val="000000"/>
                <w:sz w:val="28"/>
                <w:szCs w:val="28"/>
                <w:u w:val="single"/>
              </w:rPr>
              <w:t xml:space="preserve"> A </w:t>
            </w:r>
            <w:r>
              <w:rPr>
                <w:rFonts w:hint="eastAsia" w:ascii="宋体" w:hAnsi="宋体"/>
                <w:color w:val="000000"/>
                <w:sz w:val="28"/>
                <w:szCs w:val="28"/>
              </w:rPr>
              <w:t>%×调整系数</w:t>
            </w:r>
          </w:p>
        </w:tc>
      </w:tr>
    </w:tbl>
    <w:p>
      <w:pPr>
        <w:shd w:val="solid" w:color="FFFFFF" w:fill="auto"/>
        <w:autoSpaceDN w:val="0"/>
        <w:spacing w:line="400" w:lineRule="exact"/>
        <w:jc w:val="left"/>
        <w:rPr>
          <w:rFonts w:ascii="宋体" w:hAnsi="宋体"/>
          <w:color w:val="000000"/>
          <w:sz w:val="28"/>
          <w:szCs w:val="28"/>
          <w:shd w:val="clear" w:color="auto" w:fill="FFFFFF"/>
        </w:rPr>
      </w:pPr>
    </w:p>
    <w:p>
      <w:pPr>
        <w:shd w:val="solid" w:color="FFFFFF" w:fill="auto"/>
        <w:autoSpaceDN w:val="0"/>
        <w:spacing w:line="400" w:lineRule="exact"/>
        <w:ind w:firstLine="420" w:firstLineChars="150"/>
        <w:jc w:val="left"/>
        <w:rPr>
          <w:rFonts w:ascii="宋体" w:hAnsi="宋体"/>
          <w:color w:val="000000"/>
          <w:sz w:val="28"/>
          <w:szCs w:val="28"/>
        </w:rPr>
      </w:pPr>
      <w:r>
        <w:rPr>
          <w:rFonts w:hint="eastAsia" w:ascii="宋体" w:hAnsi="宋体"/>
          <w:color w:val="000000"/>
          <w:sz w:val="28"/>
          <w:szCs w:val="28"/>
          <w:shd w:val="clear" w:color="auto" w:fill="FFFFFF"/>
        </w:rPr>
        <w:t>注：表中“A”为本次</w:t>
      </w:r>
      <w:r>
        <w:rPr>
          <w:rFonts w:hint="eastAsia" w:ascii="宋体" w:hAnsi="宋体"/>
          <w:sz w:val="28"/>
          <w:szCs w:val="28"/>
          <w:shd w:val="clear" w:color="auto" w:fill="FFFFFF"/>
        </w:rPr>
        <w:t>设计费率报价；</w:t>
      </w:r>
      <w:r>
        <w:rPr>
          <w:rFonts w:hint="eastAsia" w:ascii="宋体" w:hAnsi="宋体"/>
          <w:color w:val="000000"/>
          <w:sz w:val="28"/>
          <w:szCs w:val="28"/>
          <w:shd w:val="clear" w:color="auto" w:fill="FFFFFF"/>
        </w:rPr>
        <w:t>“</w:t>
      </w:r>
      <w:r>
        <w:rPr>
          <w:rFonts w:hint="eastAsia" w:ascii="宋体" w:hAnsi="宋体" w:cs="宋体"/>
          <w:color w:val="000000" w:themeColor="text1"/>
          <w:kern w:val="0"/>
          <w:sz w:val="28"/>
          <w:szCs w:val="28"/>
        </w:rPr>
        <w:t>造价（中标价）</w:t>
      </w:r>
      <w:r>
        <w:rPr>
          <w:rFonts w:hint="eastAsia" w:ascii="宋体" w:hAnsi="宋体"/>
          <w:color w:val="000000"/>
          <w:sz w:val="28"/>
          <w:szCs w:val="28"/>
          <w:shd w:val="clear" w:color="auto" w:fill="FFFFFF"/>
        </w:rPr>
        <w:t>”以建设工程中标通知书或建设工程施工合同为准；“</w:t>
      </w:r>
      <w:r>
        <w:rPr>
          <w:rFonts w:hint="eastAsia" w:ascii="宋体" w:hAnsi="宋体"/>
          <w:color w:val="000000"/>
          <w:sz w:val="28"/>
          <w:szCs w:val="28"/>
        </w:rPr>
        <w:t>调整系数</w:t>
      </w:r>
      <w:r>
        <w:rPr>
          <w:rFonts w:hint="eastAsia" w:ascii="宋体" w:hAnsi="宋体"/>
          <w:color w:val="000000"/>
          <w:sz w:val="28"/>
          <w:szCs w:val="28"/>
          <w:shd w:val="clear" w:color="auto" w:fill="FFFFFF"/>
        </w:rPr>
        <w:t>”</w:t>
      </w:r>
      <w:r>
        <w:rPr>
          <w:rFonts w:hint="eastAsia" w:ascii="宋体" w:hAnsi="宋体"/>
          <w:color w:val="000000"/>
          <w:sz w:val="28"/>
          <w:szCs w:val="28"/>
        </w:rPr>
        <w:t>见询价函中调整系数表。</w:t>
      </w:r>
    </w:p>
    <w:p>
      <w:pPr>
        <w:shd w:val="solid" w:color="FFFFFF" w:fill="auto"/>
        <w:autoSpaceDN w:val="0"/>
        <w:spacing w:line="400" w:lineRule="exact"/>
        <w:jc w:val="left"/>
        <w:rPr>
          <w:rFonts w:ascii="宋体" w:hAnsi="宋体"/>
          <w:color w:val="000000"/>
          <w:sz w:val="28"/>
          <w:szCs w:val="28"/>
          <w:shd w:val="clear" w:color="auto" w:fill="FFFFFF"/>
        </w:rPr>
      </w:pPr>
    </w:p>
    <w:p>
      <w:pPr>
        <w:shd w:val="solid" w:color="FFFFFF" w:fill="auto"/>
        <w:autoSpaceDN w:val="0"/>
        <w:spacing w:line="400" w:lineRule="exact"/>
        <w:jc w:val="left"/>
        <w:rPr>
          <w:rFonts w:ascii="宋体" w:hAnsi="宋体"/>
          <w:color w:val="000000"/>
          <w:sz w:val="28"/>
          <w:szCs w:val="28"/>
          <w:shd w:val="clear" w:color="auto" w:fill="FFFFFF"/>
        </w:rPr>
      </w:pPr>
    </w:p>
    <w:p>
      <w:pPr>
        <w:shd w:val="solid" w:color="FFFFFF" w:fill="auto"/>
        <w:autoSpaceDN w:val="0"/>
        <w:spacing w:line="400" w:lineRule="exact"/>
        <w:ind w:firstLine="137" w:firstLineChars="49"/>
        <w:jc w:val="left"/>
        <w:rPr>
          <w:rFonts w:ascii="宋体" w:hAnsi="宋体"/>
          <w:color w:val="000000"/>
          <w:sz w:val="28"/>
          <w:szCs w:val="28"/>
          <w:shd w:val="clear" w:color="auto" w:fill="FFFFFF"/>
        </w:rPr>
      </w:pPr>
    </w:p>
    <w:p>
      <w:pPr>
        <w:shd w:val="solid" w:color="FFFFFF" w:fill="auto"/>
        <w:autoSpaceDN w:val="0"/>
        <w:spacing w:line="400" w:lineRule="exact"/>
        <w:ind w:firstLine="277" w:firstLineChars="99"/>
        <w:jc w:val="left"/>
        <w:rPr>
          <w:rFonts w:ascii="宋体" w:hAnsi="宋体"/>
          <w:color w:val="000000"/>
          <w:sz w:val="28"/>
          <w:szCs w:val="28"/>
          <w:shd w:val="clear" w:color="auto" w:fill="FFFFFF"/>
        </w:rPr>
      </w:pPr>
      <w:r>
        <w:rPr>
          <w:rFonts w:hint="eastAsia" w:ascii="宋体" w:hAnsi="宋体"/>
          <w:color w:val="000000"/>
          <w:sz w:val="28"/>
          <w:szCs w:val="28"/>
          <w:shd w:val="clear" w:color="auto" w:fill="FFFFFF"/>
        </w:rPr>
        <w:t>法人代表：</w:t>
      </w:r>
      <w:r>
        <w:rPr>
          <w:rFonts w:ascii="宋体" w:hAnsi="宋体"/>
          <w:color w:val="000000"/>
          <w:sz w:val="28"/>
          <w:szCs w:val="28"/>
          <w:shd w:val="clear" w:color="auto" w:fill="FFFFFF"/>
        </w:rPr>
        <w:t xml:space="preserve">          </w:t>
      </w:r>
      <w:r>
        <w:rPr>
          <w:rFonts w:hint="eastAsia" w:ascii="宋体" w:hAnsi="宋体"/>
          <w:color w:val="000000"/>
          <w:sz w:val="28"/>
          <w:szCs w:val="28"/>
          <w:shd w:val="clear" w:color="auto" w:fill="FFFFFF"/>
        </w:rPr>
        <w:t>（签章）</w:t>
      </w:r>
      <w:r>
        <w:rPr>
          <w:rFonts w:ascii="宋体" w:hAnsi="宋体"/>
          <w:color w:val="000000"/>
          <w:sz w:val="28"/>
          <w:szCs w:val="28"/>
          <w:shd w:val="clear" w:color="auto" w:fill="FFFFFF"/>
        </w:rPr>
        <w:t xml:space="preserve">        </w:t>
      </w:r>
      <w:r>
        <w:rPr>
          <w:rFonts w:hint="eastAsia" w:ascii="宋体" w:hAnsi="宋体"/>
          <w:color w:val="000000"/>
          <w:sz w:val="28"/>
          <w:szCs w:val="28"/>
          <w:shd w:val="clear" w:color="auto" w:fill="FFFFFF"/>
        </w:rPr>
        <w:t>手机号码：</w:t>
      </w:r>
    </w:p>
    <w:p>
      <w:pPr>
        <w:shd w:val="solid" w:color="FFFFFF" w:fill="auto"/>
        <w:autoSpaceDN w:val="0"/>
        <w:spacing w:line="400" w:lineRule="exact"/>
        <w:ind w:firstLine="137" w:firstLineChars="49"/>
        <w:jc w:val="left"/>
        <w:rPr>
          <w:rFonts w:ascii="宋体" w:hAnsi="宋体"/>
          <w:color w:val="000000"/>
          <w:sz w:val="28"/>
          <w:szCs w:val="28"/>
          <w:shd w:val="clear" w:color="auto" w:fill="FFFFFF"/>
        </w:rPr>
      </w:pPr>
    </w:p>
    <w:p>
      <w:pPr>
        <w:shd w:val="solid" w:color="FFFFFF" w:fill="auto"/>
        <w:autoSpaceDN w:val="0"/>
        <w:spacing w:line="400" w:lineRule="exact"/>
        <w:ind w:firstLine="280" w:firstLineChars="100"/>
        <w:jc w:val="left"/>
        <w:rPr>
          <w:rFonts w:ascii="宋体" w:hAnsi="宋体"/>
          <w:color w:val="000000"/>
          <w:sz w:val="28"/>
          <w:szCs w:val="28"/>
          <w:shd w:val="clear" w:color="auto" w:fill="FFFFFF"/>
        </w:rPr>
      </w:pPr>
      <w:r>
        <w:rPr>
          <w:rFonts w:hint="eastAsia" w:ascii="宋体" w:hAnsi="宋体"/>
          <w:color w:val="000000"/>
          <w:sz w:val="28"/>
          <w:szCs w:val="28"/>
          <w:shd w:val="clear" w:color="auto" w:fill="FFFFFF"/>
        </w:rPr>
        <w:t>联系人：</w:t>
      </w:r>
      <w:r>
        <w:rPr>
          <w:rFonts w:ascii="宋体" w:hAnsi="宋体"/>
          <w:color w:val="000000"/>
          <w:sz w:val="28"/>
          <w:szCs w:val="28"/>
          <w:shd w:val="clear" w:color="auto" w:fill="FFFFFF"/>
        </w:rPr>
        <w:t xml:space="preserve">             </w:t>
      </w:r>
      <w:r>
        <w:rPr>
          <w:rFonts w:hint="eastAsia" w:ascii="宋体" w:hAnsi="宋体"/>
          <w:color w:val="000000"/>
          <w:sz w:val="28"/>
          <w:szCs w:val="28"/>
          <w:shd w:val="clear" w:color="auto" w:fill="FFFFFF"/>
        </w:rPr>
        <w:t xml:space="preserve">        手机号码：</w:t>
      </w:r>
    </w:p>
    <w:p>
      <w:pPr>
        <w:shd w:val="solid" w:color="FFFFFF" w:fill="auto"/>
        <w:autoSpaceDN w:val="0"/>
        <w:spacing w:line="400" w:lineRule="exact"/>
        <w:ind w:firstLine="418"/>
        <w:jc w:val="left"/>
        <w:rPr>
          <w:rFonts w:ascii="宋体" w:hAnsi="宋体"/>
          <w:color w:val="000000"/>
          <w:sz w:val="28"/>
          <w:szCs w:val="28"/>
          <w:shd w:val="clear" w:color="auto" w:fill="FFFFFF"/>
        </w:rPr>
      </w:pPr>
    </w:p>
    <w:p>
      <w:pPr>
        <w:shd w:val="solid" w:color="FFFFFF" w:fill="auto"/>
        <w:autoSpaceDN w:val="0"/>
        <w:spacing w:line="400" w:lineRule="exact"/>
        <w:ind w:left="9940" w:leftChars="200" w:hanging="9520" w:hangingChars="3400"/>
        <w:jc w:val="left"/>
        <w:rPr>
          <w:rFonts w:ascii="宋体" w:hAnsi="宋体"/>
          <w:sz w:val="28"/>
          <w:szCs w:val="28"/>
          <w:shd w:val="clear" w:color="auto" w:fill="FFFFFF"/>
        </w:rPr>
      </w:pPr>
      <w:r>
        <w:rPr>
          <w:rFonts w:ascii="宋体" w:hAnsi="宋体"/>
          <w:sz w:val="28"/>
          <w:szCs w:val="28"/>
          <w:shd w:val="clear" w:color="auto" w:fill="FFFFFF"/>
        </w:rPr>
        <w:t xml:space="preserve">                         </w:t>
      </w:r>
      <w:r>
        <w:rPr>
          <w:rFonts w:hint="eastAsia" w:ascii="宋体" w:hAnsi="宋体"/>
          <w:sz w:val="28"/>
          <w:szCs w:val="28"/>
          <w:shd w:val="clear" w:color="auto" w:fill="FFFFFF"/>
        </w:rPr>
        <w:t xml:space="preserve">      </w:t>
      </w:r>
      <w:r>
        <w:rPr>
          <w:rFonts w:ascii="宋体" w:hAnsi="宋体"/>
          <w:sz w:val="28"/>
          <w:szCs w:val="28"/>
          <w:shd w:val="clear" w:color="auto" w:fill="FFFFFF"/>
        </w:rPr>
        <w:t xml:space="preserve"> </w:t>
      </w:r>
    </w:p>
    <w:p>
      <w:pPr>
        <w:shd w:val="solid" w:color="FFFFFF" w:fill="auto"/>
        <w:autoSpaceDN w:val="0"/>
        <w:spacing w:line="400" w:lineRule="exact"/>
        <w:ind w:left="9940" w:leftChars="200" w:hanging="9520" w:hangingChars="3400"/>
        <w:jc w:val="left"/>
        <w:rPr>
          <w:rFonts w:ascii="宋体" w:hAnsi="宋体"/>
          <w:sz w:val="28"/>
          <w:szCs w:val="28"/>
          <w:shd w:val="clear" w:color="auto" w:fill="FFFFFF"/>
        </w:rPr>
      </w:pPr>
      <w:r>
        <w:rPr>
          <w:rFonts w:hint="eastAsia" w:ascii="宋体" w:hAnsi="宋体"/>
          <w:sz w:val="28"/>
          <w:szCs w:val="28"/>
          <w:shd w:val="clear" w:color="auto" w:fill="FFFFFF"/>
        </w:rPr>
        <w:t>报价单位：（盖章）</w:t>
      </w:r>
    </w:p>
    <w:p>
      <w:pPr>
        <w:shd w:val="solid" w:color="FFFFFF" w:fill="auto"/>
        <w:autoSpaceDN w:val="0"/>
        <w:spacing w:line="400" w:lineRule="exact"/>
        <w:ind w:firstLine="4200" w:firstLineChars="1500"/>
        <w:jc w:val="left"/>
        <w:rPr>
          <w:rFonts w:ascii="宋体" w:hAnsi="宋体"/>
          <w:color w:val="000000"/>
          <w:sz w:val="28"/>
          <w:szCs w:val="28"/>
          <w:shd w:val="clear" w:color="auto" w:fill="FFFFFF"/>
        </w:rPr>
      </w:pPr>
    </w:p>
    <w:p>
      <w:pPr>
        <w:shd w:val="solid" w:color="FFFFFF" w:fill="auto"/>
        <w:autoSpaceDN w:val="0"/>
        <w:spacing w:line="400" w:lineRule="exact"/>
        <w:ind w:firstLine="5040" w:firstLineChars="1800"/>
        <w:jc w:val="left"/>
        <w:rPr>
          <w:rFonts w:ascii="宋体" w:hAnsi="宋体"/>
          <w:color w:val="000000"/>
          <w:sz w:val="28"/>
          <w:szCs w:val="28"/>
          <w:shd w:val="clear" w:color="auto" w:fill="FFFFFF"/>
        </w:rPr>
      </w:pPr>
      <w:r>
        <w:rPr>
          <w:rFonts w:ascii="宋体" w:hAnsi="宋体"/>
          <w:color w:val="000000"/>
          <w:sz w:val="28"/>
          <w:szCs w:val="28"/>
          <w:shd w:val="clear" w:color="auto" w:fill="FFFFFF"/>
        </w:rPr>
        <w:t xml:space="preserve"> </w:t>
      </w:r>
      <w:r>
        <w:rPr>
          <w:rFonts w:hint="eastAsia" w:ascii="宋体" w:hAnsi="宋体"/>
          <w:color w:val="000000"/>
          <w:sz w:val="28"/>
          <w:szCs w:val="28"/>
          <w:shd w:val="clear" w:color="auto" w:fill="FFFFFF"/>
        </w:rPr>
        <w:t>年</w:t>
      </w:r>
      <w:r>
        <w:rPr>
          <w:rFonts w:ascii="宋体" w:hAnsi="宋体"/>
          <w:color w:val="000000"/>
          <w:sz w:val="28"/>
          <w:szCs w:val="28"/>
          <w:shd w:val="clear" w:color="auto" w:fill="FFFFFF"/>
        </w:rPr>
        <w:t xml:space="preserve">   </w:t>
      </w:r>
      <w:r>
        <w:rPr>
          <w:rFonts w:hint="eastAsia" w:ascii="宋体" w:hAnsi="宋体"/>
          <w:color w:val="000000"/>
          <w:sz w:val="28"/>
          <w:szCs w:val="28"/>
          <w:shd w:val="clear" w:color="auto" w:fill="FFFFFF"/>
        </w:rPr>
        <w:t>月</w:t>
      </w:r>
      <w:r>
        <w:rPr>
          <w:rFonts w:ascii="宋体" w:hAnsi="宋体"/>
          <w:color w:val="000000"/>
          <w:sz w:val="28"/>
          <w:szCs w:val="28"/>
          <w:shd w:val="clear" w:color="auto" w:fill="FFFFFF"/>
        </w:rPr>
        <w:t xml:space="preserve">   </w:t>
      </w:r>
      <w:r>
        <w:rPr>
          <w:rFonts w:hint="eastAsia" w:ascii="宋体" w:hAnsi="宋体"/>
          <w:color w:val="000000"/>
          <w:sz w:val="28"/>
          <w:szCs w:val="28"/>
          <w:shd w:val="clear" w:color="auto" w:fill="FFFFFF"/>
        </w:rPr>
        <w:t>日</w:t>
      </w:r>
      <w:r>
        <w:rPr>
          <w:rFonts w:ascii="宋体" w:hAnsi="宋体"/>
          <w:color w:val="000000"/>
          <w:sz w:val="28"/>
          <w:szCs w:val="28"/>
          <w:shd w:val="clear" w:color="auto" w:fill="FFFFFF"/>
        </w:rPr>
        <w:t xml:space="preserve"> </w:t>
      </w:r>
    </w:p>
    <w:p>
      <w:pPr>
        <w:rPr>
          <w:rFonts w:ascii="宋体" w:hAnsi="宋体"/>
        </w:rPr>
      </w:pPr>
    </w:p>
    <w:p>
      <w:pPr>
        <w:spacing w:line="480" w:lineRule="exact"/>
        <w:ind w:firstLine="420" w:firstLineChars="200"/>
        <w:rPr>
          <w:rFonts w:ascii="宋体" w:hAnsi="宋体" w:cstheme="minorEastAsia"/>
        </w:rPr>
      </w:pPr>
    </w:p>
    <w:p>
      <w:pPr>
        <w:rPr>
          <w:rFonts w:ascii="宋体" w:hAnsi="宋体" w:cstheme="minorEastAsia"/>
        </w:rPr>
      </w:pPr>
    </w:p>
    <w:p>
      <w:pPr>
        <w:spacing w:line="276" w:lineRule="auto"/>
        <w:jc w:val="center"/>
        <w:rPr>
          <w:rFonts w:ascii="宋体" w:hAnsi="宋体"/>
          <w:color w:val="FF0000"/>
          <w:sz w:val="24"/>
          <w:szCs w:val="24"/>
        </w:rPr>
      </w:pPr>
    </w:p>
    <w:sectPr>
      <w:headerReference r:id="rId3" w:type="default"/>
      <w:footerReference r:id="rId4" w:type="default"/>
      <w:pgSz w:w="11906" w:h="16838"/>
      <w:pgMar w:top="1418" w:right="851" w:bottom="1135" w:left="102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37916"/>
      <w:docPartObj>
        <w:docPartGallery w:val="autotext"/>
      </w:docPartObj>
    </w:sdtPr>
    <w:sdtContent>
      <w:sdt>
        <w:sdtPr>
          <w:id w:val="171357217"/>
          <w:docPartObj>
            <w:docPartGallery w:val="autotext"/>
          </w:docPartObj>
        </w:sdtPr>
        <w:sdtContent>
          <w:p>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sdtContent>
      </w:sdt>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B68B02"/>
    <w:multiLevelType w:val="singleLevel"/>
    <w:tmpl w:val="BCB68B02"/>
    <w:lvl w:ilvl="0" w:tentative="0">
      <w:start w:val="3"/>
      <w:numFmt w:val="chineseCounting"/>
      <w:suff w:val="nothing"/>
      <w:lvlText w:val="（%1）"/>
      <w:lvlJc w:val="left"/>
      <w:rPr>
        <w:rFonts w:hint="eastAsia"/>
      </w:rPr>
    </w:lvl>
  </w:abstractNum>
  <w:abstractNum w:abstractNumId="1">
    <w:nsid w:val="5848C9C8"/>
    <w:multiLevelType w:val="singleLevel"/>
    <w:tmpl w:val="5848C9C8"/>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837C2"/>
    <w:rsid w:val="000200FE"/>
    <w:rsid w:val="00027A03"/>
    <w:rsid w:val="00040126"/>
    <w:rsid w:val="00046D31"/>
    <w:rsid w:val="00052D1C"/>
    <w:rsid w:val="00061A67"/>
    <w:rsid w:val="000818C0"/>
    <w:rsid w:val="000841C3"/>
    <w:rsid w:val="000C1D50"/>
    <w:rsid w:val="000D5BFA"/>
    <w:rsid w:val="001005A5"/>
    <w:rsid w:val="00102D14"/>
    <w:rsid w:val="00127946"/>
    <w:rsid w:val="001633AA"/>
    <w:rsid w:val="001A16AE"/>
    <w:rsid w:val="001A4231"/>
    <w:rsid w:val="001D3529"/>
    <w:rsid w:val="001D7528"/>
    <w:rsid w:val="00205A9A"/>
    <w:rsid w:val="002267B5"/>
    <w:rsid w:val="002367E7"/>
    <w:rsid w:val="00252CAE"/>
    <w:rsid w:val="002540FF"/>
    <w:rsid w:val="00261A1E"/>
    <w:rsid w:val="00273A64"/>
    <w:rsid w:val="00283F20"/>
    <w:rsid w:val="00290B77"/>
    <w:rsid w:val="002B1F6E"/>
    <w:rsid w:val="002C3DC3"/>
    <w:rsid w:val="002E0557"/>
    <w:rsid w:val="00321F09"/>
    <w:rsid w:val="00356558"/>
    <w:rsid w:val="003B5A0B"/>
    <w:rsid w:val="004230A0"/>
    <w:rsid w:val="00426FB2"/>
    <w:rsid w:val="00467694"/>
    <w:rsid w:val="004A0BBD"/>
    <w:rsid w:val="004A2CEF"/>
    <w:rsid w:val="004B5836"/>
    <w:rsid w:val="004B6A11"/>
    <w:rsid w:val="004B74B9"/>
    <w:rsid w:val="004F0F84"/>
    <w:rsid w:val="005354FD"/>
    <w:rsid w:val="005732CD"/>
    <w:rsid w:val="005F3BF6"/>
    <w:rsid w:val="00626EB9"/>
    <w:rsid w:val="00634726"/>
    <w:rsid w:val="00655CAD"/>
    <w:rsid w:val="00663C86"/>
    <w:rsid w:val="00667BA4"/>
    <w:rsid w:val="006A0BD7"/>
    <w:rsid w:val="006C3C75"/>
    <w:rsid w:val="006E52B2"/>
    <w:rsid w:val="006F09DB"/>
    <w:rsid w:val="006F5AB6"/>
    <w:rsid w:val="00702583"/>
    <w:rsid w:val="00724313"/>
    <w:rsid w:val="00731C78"/>
    <w:rsid w:val="00743799"/>
    <w:rsid w:val="00771247"/>
    <w:rsid w:val="00774736"/>
    <w:rsid w:val="00784F55"/>
    <w:rsid w:val="0083285D"/>
    <w:rsid w:val="00833FC5"/>
    <w:rsid w:val="00911E26"/>
    <w:rsid w:val="009120D0"/>
    <w:rsid w:val="009C0614"/>
    <w:rsid w:val="009C6BB0"/>
    <w:rsid w:val="009C7114"/>
    <w:rsid w:val="00A34602"/>
    <w:rsid w:val="00A76690"/>
    <w:rsid w:val="00B20B90"/>
    <w:rsid w:val="00B31077"/>
    <w:rsid w:val="00B3382C"/>
    <w:rsid w:val="00B53A14"/>
    <w:rsid w:val="00B56613"/>
    <w:rsid w:val="00B6190C"/>
    <w:rsid w:val="00B823DD"/>
    <w:rsid w:val="00B837C2"/>
    <w:rsid w:val="00BA1F03"/>
    <w:rsid w:val="00BE487A"/>
    <w:rsid w:val="00C146C7"/>
    <w:rsid w:val="00C562D7"/>
    <w:rsid w:val="00C76205"/>
    <w:rsid w:val="00C81399"/>
    <w:rsid w:val="00C92612"/>
    <w:rsid w:val="00CC45EE"/>
    <w:rsid w:val="00CD31D2"/>
    <w:rsid w:val="00CE6685"/>
    <w:rsid w:val="00CF124A"/>
    <w:rsid w:val="00D01C19"/>
    <w:rsid w:val="00D21718"/>
    <w:rsid w:val="00D56550"/>
    <w:rsid w:val="00D6514C"/>
    <w:rsid w:val="00D713CB"/>
    <w:rsid w:val="00D808B0"/>
    <w:rsid w:val="00DB0B8A"/>
    <w:rsid w:val="00DD4CDC"/>
    <w:rsid w:val="00E10BEF"/>
    <w:rsid w:val="00E23358"/>
    <w:rsid w:val="00E61C08"/>
    <w:rsid w:val="00E80F2A"/>
    <w:rsid w:val="00EC5509"/>
    <w:rsid w:val="00EC7242"/>
    <w:rsid w:val="00EF40A8"/>
    <w:rsid w:val="00F000D2"/>
    <w:rsid w:val="00F011DA"/>
    <w:rsid w:val="00FC436F"/>
    <w:rsid w:val="00FF5F1D"/>
    <w:rsid w:val="126651A0"/>
    <w:rsid w:val="141E4B23"/>
    <w:rsid w:val="18D8653E"/>
    <w:rsid w:val="29503406"/>
    <w:rsid w:val="35E0598B"/>
    <w:rsid w:val="49462BEA"/>
    <w:rsid w:val="495679F9"/>
    <w:rsid w:val="4E5245D7"/>
    <w:rsid w:val="5772240E"/>
    <w:rsid w:val="58366201"/>
    <w:rsid w:val="586C2509"/>
    <w:rsid w:val="5B187D60"/>
    <w:rsid w:val="61267B6F"/>
    <w:rsid w:val="6A754134"/>
    <w:rsid w:val="6EEC6BBE"/>
    <w:rsid w:val="7D5B2CF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7"/>
    <w:semiHidden/>
    <w:qFormat/>
    <w:uiPriority w:val="99"/>
    <w:pPr>
      <w:shd w:val="clear" w:color="auto" w:fill="000080"/>
    </w:pPr>
  </w:style>
  <w:style w:type="paragraph" w:styleId="3">
    <w:name w:val="Date"/>
    <w:basedOn w:val="1"/>
    <w:next w:val="1"/>
    <w:link w:val="19"/>
    <w:semiHidden/>
    <w:unhideWhenUsed/>
    <w:qFormat/>
    <w:uiPriority w:val="99"/>
    <w:pPr>
      <w:ind w:left="100" w:leftChars="2500"/>
    </w:pPr>
  </w:style>
  <w:style w:type="paragraph" w:styleId="4">
    <w:name w:val="Balloon Text"/>
    <w:basedOn w:val="1"/>
    <w:link w:val="18"/>
    <w:semiHidden/>
    <w:qFormat/>
    <w:uiPriority w:val="99"/>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5"/>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7">
    <w:name w:val="Normal (Web)"/>
    <w:basedOn w:val="1"/>
    <w:qFormat/>
    <w:uiPriority w:val="99"/>
    <w:pPr>
      <w:widowControl/>
      <w:spacing w:before="100" w:beforeAutospacing="1" w:after="100" w:afterAutospacing="1"/>
      <w:jc w:val="left"/>
    </w:pPr>
    <w:rPr>
      <w:rFonts w:ascii="宋体" w:hAnsi="宋体"/>
      <w:kern w:val="0"/>
      <w:sz w:val="24"/>
      <w:szCs w:val="24"/>
    </w:rPr>
  </w:style>
  <w:style w:type="table" w:styleId="9">
    <w:name w:val="Table Grid"/>
    <w:basedOn w:val="8"/>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FollowedHyperlink"/>
    <w:basedOn w:val="10"/>
    <w:semiHidden/>
    <w:unhideWhenUsed/>
    <w:qFormat/>
    <w:uiPriority w:val="99"/>
    <w:rPr>
      <w:color w:val="262626"/>
      <w:sz w:val="18"/>
      <w:szCs w:val="18"/>
      <w:u w:val="none"/>
    </w:rPr>
  </w:style>
  <w:style w:type="character" w:styleId="12">
    <w:name w:val="Hyperlink"/>
    <w:basedOn w:val="10"/>
    <w:unhideWhenUsed/>
    <w:qFormat/>
    <w:uiPriority w:val="99"/>
    <w:rPr>
      <w:color w:val="262626"/>
      <w:sz w:val="18"/>
      <w:szCs w:val="18"/>
      <w:u w:val="none"/>
    </w:rPr>
  </w:style>
  <w:style w:type="character" w:customStyle="1" w:styleId="13">
    <w:name w:val="页眉 Char"/>
    <w:link w:val="6"/>
    <w:semiHidden/>
    <w:qFormat/>
    <w:locked/>
    <w:uiPriority w:val="99"/>
    <w:rPr>
      <w:sz w:val="18"/>
    </w:rPr>
  </w:style>
  <w:style w:type="character" w:customStyle="1" w:styleId="14">
    <w:name w:val="Header Char1"/>
    <w:basedOn w:val="10"/>
    <w:link w:val="6"/>
    <w:semiHidden/>
    <w:qFormat/>
    <w:locked/>
    <w:uiPriority w:val="99"/>
    <w:rPr>
      <w:rFonts w:cs="Times New Roman"/>
      <w:sz w:val="18"/>
      <w:szCs w:val="18"/>
    </w:rPr>
  </w:style>
  <w:style w:type="character" w:customStyle="1" w:styleId="15">
    <w:name w:val="页眉 Char1"/>
    <w:basedOn w:val="10"/>
    <w:link w:val="6"/>
    <w:semiHidden/>
    <w:qFormat/>
    <w:locked/>
    <w:uiPriority w:val="99"/>
    <w:rPr>
      <w:rFonts w:ascii="Calibri" w:hAnsi="Calibri" w:eastAsia="宋体" w:cs="Times New Roman"/>
      <w:sz w:val="18"/>
      <w:szCs w:val="18"/>
    </w:rPr>
  </w:style>
  <w:style w:type="character" w:customStyle="1" w:styleId="16">
    <w:name w:val="页脚 Char"/>
    <w:basedOn w:val="10"/>
    <w:link w:val="5"/>
    <w:qFormat/>
    <w:locked/>
    <w:uiPriority w:val="99"/>
    <w:rPr>
      <w:rFonts w:ascii="Calibri" w:hAnsi="Calibri" w:eastAsia="宋体" w:cs="Times New Roman"/>
      <w:sz w:val="18"/>
      <w:szCs w:val="18"/>
    </w:rPr>
  </w:style>
  <w:style w:type="character" w:customStyle="1" w:styleId="17">
    <w:name w:val="文档结构图 Char"/>
    <w:basedOn w:val="10"/>
    <w:link w:val="2"/>
    <w:semiHidden/>
    <w:qFormat/>
    <w:locked/>
    <w:uiPriority w:val="99"/>
    <w:rPr>
      <w:rFonts w:ascii="Times New Roman" w:hAnsi="Times New Roman" w:cs="Times New Roman"/>
      <w:sz w:val="2"/>
    </w:rPr>
  </w:style>
  <w:style w:type="character" w:customStyle="1" w:styleId="18">
    <w:name w:val="批注框文本 Char"/>
    <w:basedOn w:val="10"/>
    <w:link w:val="4"/>
    <w:semiHidden/>
    <w:qFormat/>
    <w:locked/>
    <w:uiPriority w:val="99"/>
    <w:rPr>
      <w:rFonts w:cs="Times New Roman"/>
      <w:sz w:val="2"/>
    </w:rPr>
  </w:style>
  <w:style w:type="character" w:customStyle="1" w:styleId="19">
    <w:name w:val="日期 Char"/>
    <w:basedOn w:val="10"/>
    <w:link w:val="3"/>
    <w:semiHidden/>
    <w:qFormat/>
    <w:uiPriority w:val="99"/>
    <w:rPr>
      <w:rFonts w:ascii="Calibri" w:hAnsi="Calibri"/>
      <w:kern w:val="2"/>
      <w:sz w:val="21"/>
      <w:szCs w:val="22"/>
    </w:rPr>
  </w:style>
  <w:style w:type="paragraph" w:customStyle="1" w:styleId="20">
    <w:name w:val="列出段落1"/>
    <w:basedOn w:val="1"/>
    <w:qFormat/>
    <w:uiPriority w:val="34"/>
    <w:pPr>
      <w:spacing w:line="360" w:lineRule="auto"/>
      <w:ind w:firstLine="420" w:firstLineChars="200"/>
    </w:pPr>
    <w:rPr>
      <w:rFonts w:eastAsia="微软雅黑"/>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933</Words>
  <Characters>5321</Characters>
  <Lines>44</Lines>
  <Paragraphs>12</Paragraphs>
  <TotalTime>0</TotalTime>
  <ScaleCrop>false</ScaleCrop>
  <LinksUpToDate>false</LinksUpToDate>
  <CharactersWithSpaces>6242</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2019-11-26T06:04:00Z</dcterms:created>
  <dc:creator>USER</dc:creator>
  <cp:lastModifiedBy>TLYX001</cp:lastModifiedBy>
  <cp:lastPrinted>2019-11-26T02:25:00Z</cp:lastPrinted>
  <dcterms:modified xsi:type="dcterms:W3CDTF">2019-11-27T01:10:28Z</dcterms:modified>
  <dc:title>铜陵学院改造（修缮）工程设计单位询价公告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