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28"/>
          <w:szCs w:val="28"/>
        </w:rPr>
      </w:pPr>
      <w:r>
        <w:rPr>
          <w:rFonts w:hint="eastAsia" w:ascii="宋体" w:hAnsi="宋体" w:eastAsia="宋体"/>
          <w:b/>
          <w:bCs/>
          <w:sz w:val="28"/>
          <w:szCs w:val="28"/>
        </w:rPr>
        <w:t>铜陵学院</w:t>
      </w:r>
      <w:r>
        <w:rPr>
          <w:rFonts w:hint="eastAsia" w:ascii="宋体" w:hAnsi="宋体" w:eastAsia="宋体"/>
          <w:b/>
          <w:sz w:val="28"/>
          <w:szCs w:val="28"/>
        </w:rPr>
        <w:t>2018年参加十四届省运会高校部（篮球、足球、田径、健美操）项目比赛服装、鞋、球等采购</w:t>
      </w:r>
      <w:r>
        <w:rPr>
          <w:rFonts w:hint="eastAsia" w:ascii="宋体" w:hAnsi="宋体" w:eastAsia="宋体"/>
          <w:b/>
          <w:color w:val="auto"/>
          <w:sz w:val="28"/>
          <w:szCs w:val="28"/>
        </w:rPr>
        <w:t>竞争性磋商</w:t>
      </w:r>
      <w:r>
        <w:rPr>
          <w:rFonts w:hint="eastAsia" w:ascii="宋体" w:hAnsi="宋体" w:eastAsia="宋体"/>
          <w:b/>
          <w:sz w:val="28"/>
          <w:szCs w:val="28"/>
        </w:rPr>
        <w:t>公告</w:t>
      </w:r>
    </w:p>
    <w:p>
      <w:pPr>
        <w:pStyle w:val="5"/>
        <w:widowControl/>
        <w:spacing w:before="0" w:beforeAutospacing="0" w:after="0" w:afterAutospacing="0" w:line="420" w:lineRule="exact"/>
        <w:ind w:firstLine="480" w:firstLineChars="200"/>
      </w:pPr>
      <w:r>
        <w:rPr>
          <w:rFonts w:hint="eastAsia"/>
          <w:szCs w:val="24"/>
        </w:rPr>
        <w:t xml:space="preserve">                    </w:t>
      </w:r>
      <w:r>
        <w:rPr>
          <w:szCs w:val="24"/>
        </w:rPr>
        <w:t>项目编号:tlxyzb[201</w:t>
      </w:r>
      <w:r>
        <w:rPr>
          <w:rFonts w:hint="eastAsia"/>
          <w:szCs w:val="24"/>
        </w:rPr>
        <w:t>8</w:t>
      </w:r>
      <w:r>
        <w:rPr>
          <w:szCs w:val="24"/>
        </w:rPr>
        <w:t>]</w:t>
      </w:r>
      <w:r>
        <w:rPr>
          <w:rFonts w:hint="eastAsia"/>
          <w:szCs w:val="24"/>
        </w:rPr>
        <w:t xml:space="preserve"> 33</w:t>
      </w:r>
      <w:r>
        <w:rPr>
          <w:szCs w:val="24"/>
        </w:rPr>
        <w:t>号</w:t>
      </w:r>
    </w:p>
    <w:p>
      <w:pPr>
        <w:pStyle w:val="5"/>
        <w:widowControl/>
        <w:spacing w:before="0" w:beforeAutospacing="0" w:after="0" w:afterAutospacing="0" w:line="420" w:lineRule="exact"/>
      </w:pPr>
      <w:r>
        <w:t>各潜在投标单位：</w:t>
      </w:r>
    </w:p>
    <w:p>
      <w:pPr>
        <w:pStyle w:val="5"/>
        <w:widowControl/>
        <w:spacing w:before="0" w:beforeAutospacing="0" w:after="0" w:afterAutospacing="0" w:line="420" w:lineRule="exact"/>
        <w:ind w:firstLine="480" w:firstLineChars="200"/>
      </w:pPr>
      <w:r>
        <w:rPr>
          <w:rFonts w:hint="eastAsia"/>
        </w:rPr>
        <w:t>根据安徽省教育厅文件精神，我校体育部组织学生参加安徽省运会高校部足球、篮球、田径、健美操比赛</w:t>
      </w:r>
      <w:r>
        <w:t>，</w:t>
      </w:r>
      <w:r>
        <w:rPr>
          <w:rFonts w:hint="eastAsia"/>
        </w:rPr>
        <w:t>现</w:t>
      </w:r>
      <w:r>
        <w:t>拟采购一批</w:t>
      </w:r>
      <w:r>
        <w:rPr>
          <w:rFonts w:hint="eastAsia"/>
        </w:rPr>
        <w:t>体育比赛服装和运动器具。经研究决定，现</w:t>
      </w:r>
      <w:r>
        <w:t>将该项目对外进行</w:t>
      </w:r>
      <w:r>
        <w:rPr>
          <w:rFonts w:hint="eastAsia"/>
          <w:color w:val="auto"/>
        </w:rPr>
        <w:t>招标</w:t>
      </w:r>
      <w:r>
        <w:rPr>
          <w:rFonts w:hint="eastAsia"/>
        </w:rPr>
        <w:t>采购</w:t>
      </w:r>
      <w:r>
        <w:t>，具体公告如下：</w:t>
      </w:r>
    </w:p>
    <w:p>
      <w:pPr>
        <w:pStyle w:val="5"/>
        <w:widowControl/>
        <w:spacing w:before="0" w:beforeAutospacing="0" w:after="0" w:afterAutospacing="0" w:line="420" w:lineRule="exact"/>
        <w:ind w:firstLine="482" w:firstLineChars="200"/>
        <w:rPr>
          <w:b/>
        </w:rPr>
      </w:pPr>
      <w:r>
        <w:rPr>
          <w:b/>
        </w:rPr>
        <w:t>一、招标内容</w:t>
      </w:r>
    </w:p>
    <w:p>
      <w:pPr>
        <w:pStyle w:val="5"/>
        <w:widowControl/>
        <w:spacing w:before="0" w:beforeAutospacing="0" w:after="0" w:afterAutospacing="0" w:line="420" w:lineRule="exact"/>
        <w:ind w:firstLine="480" w:firstLineChars="200"/>
        <w:rPr>
          <w:b/>
        </w:rPr>
      </w:pPr>
      <w:r>
        <w:t>（一）项目名称：</w:t>
      </w:r>
      <w:r>
        <w:rPr>
          <w:rFonts w:hint="eastAsia"/>
        </w:rPr>
        <w:t>铜陵学院2018年参加安徽省运会高校部足球、篮球、田径、健美操比赛服装等</w:t>
      </w:r>
      <w:r>
        <w:t>采购</w:t>
      </w:r>
      <w:r>
        <w:rPr>
          <w:rFonts w:hint="eastAsia"/>
        </w:rPr>
        <w:t>。</w:t>
      </w:r>
    </w:p>
    <w:p>
      <w:pPr>
        <w:pStyle w:val="5"/>
        <w:widowControl/>
        <w:spacing w:before="0" w:beforeAutospacing="0" w:after="0" w:afterAutospacing="0" w:line="420" w:lineRule="exact"/>
        <w:ind w:firstLine="480" w:firstLineChars="200"/>
      </w:pPr>
      <w:r>
        <w:t>（二）项目需求：</w:t>
      </w:r>
      <w:r>
        <w:rPr>
          <w:rFonts w:hint="eastAsia"/>
        </w:rPr>
        <w:t>见下表</w:t>
      </w:r>
    </w:p>
    <w:tbl>
      <w:tblPr>
        <w:tblStyle w:val="8"/>
        <w:tblpPr w:leftFromText="180" w:rightFromText="180" w:vertAnchor="text" w:horzAnchor="margin" w:tblpY="12"/>
        <w:tblOverlap w:val="never"/>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2"/>
        <w:gridCol w:w="2748"/>
        <w:gridCol w:w="864"/>
        <w:gridCol w:w="90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804" w:type="dxa"/>
            <w:vAlign w:val="center"/>
          </w:tcPr>
          <w:p>
            <w:pPr>
              <w:pStyle w:val="5"/>
              <w:widowControl/>
              <w:spacing w:before="0" w:beforeAutospacing="0" w:after="0" w:afterAutospacing="0"/>
              <w:jc w:val="center"/>
              <w:rPr>
                <w:sz w:val="21"/>
                <w:szCs w:val="21"/>
              </w:rPr>
            </w:pPr>
            <w:r>
              <w:rPr>
                <w:rFonts w:hint="eastAsia"/>
                <w:sz w:val="21"/>
                <w:szCs w:val="21"/>
              </w:rPr>
              <w:t>序号</w:t>
            </w:r>
          </w:p>
        </w:tc>
        <w:tc>
          <w:tcPr>
            <w:tcW w:w="1272" w:type="dxa"/>
            <w:vAlign w:val="center"/>
          </w:tcPr>
          <w:p>
            <w:pPr>
              <w:pStyle w:val="5"/>
              <w:widowControl/>
              <w:spacing w:before="0" w:beforeAutospacing="0" w:after="0" w:afterAutospacing="0"/>
              <w:jc w:val="center"/>
              <w:rPr>
                <w:sz w:val="21"/>
                <w:szCs w:val="21"/>
              </w:rPr>
            </w:pPr>
            <w:r>
              <w:rPr>
                <w:rFonts w:hint="eastAsia"/>
                <w:sz w:val="21"/>
                <w:szCs w:val="21"/>
              </w:rPr>
              <w:t>项目名称</w:t>
            </w: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详细技术要求和规格型号</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单位</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数量</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备注（建议品牌）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1</w:t>
            </w:r>
          </w:p>
        </w:tc>
        <w:tc>
          <w:tcPr>
            <w:tcW w:w="1272" w:type="dxa"/>
            <w:vMerge w:val="restart"/>
            <w:vAlign w:val="center"/>
          </w:tcPr>
          <w:p>
            <w:pPr>
              <w:pStyle w:val="5"/>
              <w:widowControl/>
              <w:spacing w:before="0" w:beforeAutospacing="0" w:after="0" w:afterAutospacing="0"/>
              <w:jc w:val="center"/>
              <w:rPr>
                <w:sz w:val="21"/>
                <w:szCs w:val="21"/>
              </w:rPr>
            </w:pPr>
            <w:r>
              <w:rPr>
                <w:rFonts w:hint="eastAsia"/>
                <w:sz w:val="21"/>
                <w:szCs w:val="21"/>
              </w:rPr>
              <w:t>比赛服装</w:t>
            </w: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篮球（短款）</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套</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48</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李宁、安踏、准者牌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2</w:t>
            </w:r>
          </w:p>
        </w:tc>
        <w:tc>
          <w:tcPr>
            <w:tcW w:w="1272" w:type="dxa"/>
            <w:vMerge w:val="continue"/>
            <w:vAlign w:val="center"/>
          </w:tcPr>
          <w:p>
            <w:pPr>
              <w:pStyle w:val="5"/>
              <w:widowControl/>
              <w:spacing w:before="0" w:beforeAutospacing="0" w:after="0" w:afterAutospacing="0"/>
              <w:jc w:val="center"/>
              <w:rPr>
                <w:sz w:val="21"/>
                <w:szCs w:val="21"/>
              </w:rPr>
            </w:pP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足球（短款）</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套</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40</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李宁、安踏、准者牌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3</w:t>
            </w:r>
          </w:p>
        </w:tc>
        <w:tc>
          <w:tcPr>
            <w:tcW w:w="1272" w:type="dxa"/>
            <w:vMerge w:val="continue"/>
            <w:vAlign w:val="center"/>
          </w:tcPr>
          <w:p>
            <w:pPr>
              <w:pStyle w:val="5"/>
              <w:widowControl/>
              <w:spacing w:before="0" w:beforeAutospacing="0" w:after="0" w:afterAutospacing="0"/>
              <w:jc w:val="center"/>
              <w:rPr>
                <w:sz w:val="21"/>
                <w:szCs w:val="21"/>
              </w:rPr>
            </w:pP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田径（短款）</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套</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40</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李宁、安踏、准者牌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4</w:t>
            </w:r>
          </w:p>
        </w:tc>
        <w:tc>
          <w:tcPr>
            <w:tcW w:w="1272" w:type="dxa"/>
            <w:vMerge w:val="continue"/>
            <w:vAlign w:val="center"/>
          </w:tcPr>
          <w:p>
            <w:pPr>
              <w:pStyle w:val="5"/>
              <w:widowControl/>
              <w:spacing w:before="0" w:beforeAutospacing="0" w:after="0" w:afterAutospacing="0"/>
              <w:jc w:val="center"/>
              <w:rPr>
                <w:sz w:val="21"/>
                <w:szCs w:val="21"/>
              </w:rPr>
            </w:pP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健美操（定制）</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套</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8</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布料：丝绒印花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5</w:t>
            </w:r>
          </w:p>
        </w:tc>
        <w:tc>
          <w:tcPr>
            <w:tcW w:w="1272" w:type="dxa"/>
            <w:vMerge w:val="continue"/>
            <w:vAlign w:val="center"/>
          </w:tcPr>
          <w:p>
            <w:pPr>
              <w:pStyle w:val="5"/>
              <w:widowControl/>
              <w:spacing w:before="0" w:beforeAutospacing="0" w:after="0" w:afterAutospacing="0"/>
              <w:jc w:val="center"/>
              <w:rPr>
                <w:sz w:val="21"/>
                <w:szCs w:val="21"/>
              </w:rPr>
            </w:pP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足球守门员服装</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套</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4</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李宁、安踏、准者牌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6</w:t>
            </w:r>
          </w:p>
        </w:tc>
        <w:tc>
          <w:tcPr>
            <w:tcW w:w="1272" w:type="dxa"/>
            <w:vAlign w:val="center"/>
          </w:tcPr>
          <w:p>
            <w:pPr>
              <w:pStyle w:val="5"/>
              <w:widowControl/>
              <w:spacing w:before="0" w:beforeAutospacing="0" w:after="0" w:afterAutospacing="0"/>
              <w:jc w:val="center"/>
              <w:rPr>
                <w:sz w:val="21"/>
                <w:szCs w:val="21"/>
              </w:rPr>
            </w:pPr>
            <w:r>
              <w:rPr>
                <w:rFonts w:hint="eastAsia"/>
                <w:sz w:val="21"/>
                <w:szCs w:val="21"/>
              </w:rPr>
              <w:t>出场服装</w:t>
            </w: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长款</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套</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72</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李宁、安踏、准者牌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7</w:t>
            </w:r>
          </w:p>
        </w:tc>
        <w:tc>
          <w:tcPr>
            <w:tcW w:w="1272" w:type="dxa"/>
            <w:vMerge w:val="restart"/>
            <w:vAlign w:val="center"/>
          </w:tcPr>
          <w:p>
            <w:pPr>
              <w:pStyle w:val="5"/>
              <w:widowControl/>
              <w:spacing w:before="0" w:beforeAutospacing="0" w:after="0" w:afterAutospacing="0"/>
              <w:jc w:val="center"/>
              <w:rPr>
                <w:sz w:val="21"/>
                <w:szCs w:val="21"/>
              </w:rPr>
            </w:pPr>
            <w:r>
              <w:rPr>
                <w:rFonts w:hint="eastAsia"/>
                <w:sz w:val="21"/>
                <w:szCs w:val="21"/>
              </w:rPr>
              <w:t>运动鞋</w:t>
            </w: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篮球</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双</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24</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李宁、安踏、准者牌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8</w:t>
            </w:r>
          </w:p>
        </w:tc>
        <w:tc>
          <w:tcPr>
            <w:tcW w:w="1272" w:type="dxa"/>
            <w:vMerge w:val="continue"/>
            <w:vAlign w:val="center"/>
          </w:tcPr>
          <w:p>
            <w:pPr>
              <w:pStyle w:val="5"/>
              <w:widowControl/>
              <w:spacing w:before="0" w:beforeAutospacing="0" w:after="0" w:afterAutospacing="0"/>
              <w:jc w:val="center"/>
              <w:rPr>
                <w:sz w:val="21"/>
                <w:szCs w:val="21"/>
              </w:rPr>
            </w:pP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足球</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双</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20</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李宁、安踏、准者牌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9</w:t>
            </w:r>
          </w:p>
        </w:tc>
        <w:tc>
          <w:tcPr>
            <w:tcW w:w="1272" w:type="dxa"/>
            <w:vMerge w:val="continue"/>
            <w:vAlign w:val="center"/>
          </w:tcPr>
          <w:p>
            <w:pPr>
              <w:pStyle w:val="5"/>
              <w:widowControl/>
              <w:spacing w:before="0" w:beforeAutospacing="0" w:after="0" w:afterAutospacing="0"/>
              <w:jc w:val="center"/>
              <w:rPr>
                <w:sz w:val="21"/>
                <w:szCs w:val="21"/>
              </w:rPr>
            </w:pP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田径跑步鞋</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双</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20</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李宁、安踏、多威牌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10</w:t>
            </w:r>
          </w:p>
        </w:tc>
        <w:tc>
          <w:tcPr>
            <w:tcW w:w="1272" w:type="dxa"/>
            <w:vMerge w:val="continue"/>
            <w:vAlign w:val="center"/>
          </w:tcPr>
          <w:p>
            <w:pPr>
              <w:pStyle w:val="5"/>
              <w:widowControl/>
              <w:spacing w:before="0" w:beforeAutospacing="0" w:after="0" w:afterAutospacing="0"/>
              <w:jc w:val="center"/>
              <w:rPr>
                <w:sz w:val="21"/>
                <w:szCs w:val="21"/>
              </w:rPr>
            </w:pP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健美操</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双</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8</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悦翼牌、科伯特、速翼牌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11</w:t>
            </w:r>
          </w:p>
        </w:tc>
        <w:tc>
          <w:tcPr>
            <w:tcW w:w="1272" w:type="dxa"/>
            <w:vMerge w:val="continue"/>
            <w:vAlign w:val="center"/>
          </w:tcPr>
          <w:p>
            <w:pPr>
              <w:pStyle w:val="5"/>
              <w:widowControl/>
              <w:spacing w:before="0" w:beforeAutospacing="0" w:after="0" w:afterAutospacing="0"/>
              <w:jc w:val="center"/>
              <w:rPr>
                <w:sz w:val="21"/>
                <w:szCs w:val="21"/>
              </w:rPr>
            </w:pP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田径跑钉鞋</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双</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20</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李宁牌、美津侬、多威牌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12</w:t>
            </w:r>
          </w:p>
        </w:tc>
        <w:tc>
          <w:tcPr>
            <w:tcW w:w="1272" w:type="dxa"/>
            <w:vAlign w:val="center"/>
          </w:tcPr>
          <w:p>
            <w:pPr>
              <w:pStyle w:val="5"/>
              <w:widowControl/>
              <w:spacing w:before="0" w:beforeAutospacing="0" w:after="0" w:afterAutospacing="0"/>
              <w:jc w:val="center"/>
              <w:rPr>
                <w:sz w:val="21"/>
                <w:szCs w:val="21"/>
              </w:rPr>
            </w:pPr>
            <w:r>
              <w:rPr>
                <w:rFonts w:hint="eastAsia"/>
                <w:sz w:val="21"/>
                <w:szCs w:val="21"/>
              </w:rPr>
              <w:t>足球护腿板</w:t>
            </w:r>
          </w:p>
        </w:tc>
        <w:tc>
          <w:tcPr>
            <w:tcW w:w="2748" w:type="dxa"/>
            <w:vAlign w:val="center"/>
          </w:tcPr>
          <w:p>
            <w:pPr>
              <w:pStyle w:val="5"/>
              <w:widowControl/>
              <w:spacing w:before="0" w:beforeAutospacing="0" w:after="0" w:afterAutospacing="0"/>
              <w:jc w:val="center"/>
              <w:rPr>
                <w:sz w:val="21"/>
                <w:szCs w:val="21"/>
              </w:rPr>
            </w:pP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付</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20</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李宁、安踏、准者牌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13</w:t>
            </w:r>
          </w:p>
        </w:tc>
        <w:tc>
          <w:tcPr>
            <w:tcW w:w="1272" w:type="dxa"/>
            <w:vAlign w:val="center"/>
          </w:tcPr>
          <w:p>
            <w:pPr>
              <w:pStyle w:val="5"/>
              <w:widowControl/>
              <w:spacing w:before="0" w:beforeAutospacing="0" w:after="0" w:afterAutospacing="0"/>
              <w:jc w:val="center"/>
              <w:rPr>
                <w:sz w:val="21"/>
                <w:szCs w:val="21"/>
              </w:rPr>
            </w:pPr>
            <w:r>
              <w:rPr>
                <w:rFonts w:hint="eastAsia"/>
                <w:sz w:val="21"/>
                <w:szCs w:val="21"/>
              </w:rPr>
              <w:t>足球袜</w:t>
            </w:r>
          </w:p>
        </w:tc>
        <w:tc>
          <w:tcPr>
            <w:tcW w:w="2748" w:type="dxa"/>
            <w:vAlign w:val="center"/>
          </w:tcPr>
          <w:p>
            <w:pPr>
              <w:pStyle w:val="5"/>
              <w:widowControl/>
              <w:spacing w:before="0" w:beforeAutospacing="0" w:after="0" w:afterAutospacing="0"/>
              <w:jc w:val="center"/>
              <w:rPr>
                <w:sz w:val="21"/>
                <w:szCs w:val="21"/>
              </w:rPr>
            </w:pP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双</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40</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李宁、安踏、准者牌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14</w:t>
            </w:r>
          </w:p>
        </w:tc>
        <w:tc>
          <w:tcPr>
            <w:tcW w:w="1272" w:type="dxa"/>
            <w:vAlign w:val="center"/>
          </w:tcPr>
          <w:p>
            <w:pPr>
              <w:pStyle w:val="5"/>
              <w:widowControl/>
              <w:spacing w:before="0" w:beforeAutospacing="0" w:after="0" w:afterAutospacing="0"/>
              <w:jc w:val="center"/>
              <w:rPr>
                <w:sz w:val="21"/>
                <w:szCs w:val="21"/>
              </w:rPr>
            </w:pPr>
            <w:r>
              <w:rPr>
                <w:rFonts w:hint="eastAsia"/>
                <w:sz w:val="21"/>
                <w:szCs w:val="21"/>
              </w:rPr>
              <w:t>足球守门员手套</w:t>
            </w:r>
          </w:p>
        </w:tc>
        <w:tc>
          <w:tcPr>
            <w:tcW w:w="2748" w:type="dxa"/>
            <w:vAlign w:val="center"/>
          </w:tcPr>
          <w:p>
            <w:pPr>
              <w:pStyle w:val="5"/>
              <w:widowControl/>
              <w:spacing w:before="0" w:beforeAutospacing="0" w:after="0" w:afterAutospacing="0"/>
              <w:jc w:val="center"/>
              <w:rPr>
                <w:sz w:val="21"/>
                <w:szCs w:val="21"/>
              </w:rPr>
            </w:pP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双</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2</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李宁、安踏、准者牌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15</w:t>
            </w:r>
          </w:p>
        </w:tc>
        <w:tc>
          <w:tcPr>
            <w:tcW w:w="1272" w:type="dxa"/>
            <w:vMerge w:val="restart"/>
            <w:vAlign w:val="center"/>
          </w:tcPr>
          <w:p>
            <w:pPr>
              <w:pStyle w:val="5"/>
              <w:widowControl/>
              <w:spacing w:before="0" w:beforeAutospacing="0" w:after="0" w:afterAutospacing="0"/>
              <w:jc w:val="center"/>
              <w:rPr>
                <w:sz w:val="21"/>
                <w:szCs w:val="21"/>
              </w:rPr>
            </w:pPr>
            <w:r>
              <w:rPr>
                <w:rFonts w:hint="eastAsia"/>
                <w:sz w:val="21"/>
                <w:szCs w:val="21"/>
              </w:rPr>
              <w:t>集训用球</w:t>
            </w: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足球比赛用球</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个</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15</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世达牌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16</w:t>
            </w:r>
          </w:p>
        </w:tc>
        <w:tc>
          <w:tcPr>
            <w:tcW w:w="1272" w:type="dxa"/>
            <w:vMerge w:val="continue"/>
            <w:vAlign w:val="center"/>
          </w:tcPr>
          <w:p>
            <w:pPr>
              <w:pStyle w:val="5"/>
              <w:widowControl/>
              <w:spacing w:before="0" w:beforeAutospacing="0" w:after="0" w:afterAutospacing="0"/>
              <w:jc w:val="center"/>
              <w:rPr>
                <w:sz w:val="21"/>
                <w:szCs w:val="21"/>
              </w:rPr>
            </w:pP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7</w:t>
            </w:r>
            <w:r>
              <w:rPr>
                <w:rFonts w:hint="eastAsia"/>
                <w:sz w:val="21"/>
                <w:szCs w:val="21"/>
                <w:vertAlign w:val="superscript"/>
              </w:rPr>
              <w:t>#</w:t>
            </w:r>
            <w:r>
              <w:rPr>
                <w:rFonts w:hint="eastAsia"/>
                <w:sz w:val="21"/>
                <w:szCs w:val="21"/>
              </w:rPr>
              <w:t>男子篮球比赛用球</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个</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10</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摩腾牌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17</w:t>
            </w:r>
          </w:p>
        </w:tc>
        <w:tc>
          <w:tcPr>
            <w:tcW w:w="1272" w:type="dxa"/>
            <w:vMerge w:val="continue"/>
            <w:vAlign w:val="center"/>
          </w:tcPr>
          <w:p>
            <w:pPr>
              <w:pStyle w:val="5"/>
              <w:widowControl/>
              <w:spacing w:before="0" w:beforeAutospacing="0" w:after="0" w:afterAutospacing="0"/>
              <w:jc w:val="center"/>
              <w:rPr>
                <w:sz w:val="21"/>
                <w:szCs w:val="21"/>
              </w:rPr>
            </w:pP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6</w:t>
            </w:r>
            <w:r>
              <w:rPr>
                <w:rFonts w:hint="eastAsia"/>
                <w:sz w:val="21"/>
                <w:szCs w:val="21"/>
                <w:vertAlign w:val="superscript"/>
              </w:rPr>
              <w:t>#</w:t>
            </w:r>
            <w:r>
              <w:rPr>
                <w:rFonts w:hint="eastAsia"/>
                <w:sz w:val="21"/>
                <w:szCs w:val="21"/>
              </w:rPr>
              <w:t>女子篮球比赛用球</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个</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10</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摩腾牌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18</w:t>
            </w:r>
          </w:p>
        </w:tc>
        <w:tc>
          <w:tcPr>
            <w:tcW w:w="1272" w:type="dxa"/>
            <w:vMerge w:val="restart"/>
            <w:vAlign w:val="center"/>
          </w:tcPr>
          <w:p>
            <w:pPr>
              <w:pStyle w:val="5"/>
              <w:widowControl/>
              <w:spacing w:before="0" w:beforeAutospacing="0" w:after="0" w:afterAutospacing="0"/>
              <w:jc w:val="center"/>
              <w:rPr>
                <w:sz w:val="21"/>
                <w:szCs w:val="21"/>
              </w:rPr>
            </w:pPr>
            <w:r>
              <w:rPr>
                <w:rFonts w:hint="eastAsia"/>
                <w:sz w:val="21"/>
                <w:szCs w:val="21"/>
              </w:rPr>
              <w:t>田径器材</w:t>
            </w: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800克金属标枪</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支</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2</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银剑牌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19</w:t>
            </w:r>
          </w:p>
        </w:tc>
        <w:tc>
          <w:tcPr>
            <w:tcW w:w="1272" w:type="dxa"/>
            <w:vMerge w:val="continue"/>
            <w:vAlign w:val="center"/>
          </w:tcPr>
          <w:p>
            <w:pPr>
              <w:pStyle w:val="5"/>
              <w:widowControl/>
              <w:spacing w:before="0" w:beforeAutospacing="0" w:after="0" w:afterAutospacing="0"/>
              <w:jc w:val="center"/>
              <w:rPr>
                <w:sz w:val="21"/>
                <w:szCs w:val="21"/>
              </w:rPr>
            </w:pP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600克金属标枪</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支</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2</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银剑牌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vAlign w:val="center"/>
          </w:tcPr>
          <w:p>
            <w:pPr>
              <w:pStyle w:val="5"/>
              <w:widowControl/>
              <w:spacing w:before="0" w:beforeAutospacing="0" w:after="0" w:afterAutospacing="0"/>
              <w:jc w:val="center"/>
              <w:rPr>
                <w:sz w:val="21"/>
                <w:szCs w:val="21"/>
              </w:rPr>
            </w:pPr>
            <w:r>
              <w:rPr>
                <w:rFonts w:hint="eastAsia"/>
                <w:sz w:val="21"/>
                <w:szCs w:val="21"/>
              </w:rPr>
              <w:t>20</w:t>
            </w:r>
          </w:p>
        </w:tc>
        <w:tc>
          <w:tcPr>
            <w:tcW w:w="1272" w:type="dxa"/>
            <w:vMerge w:val="continue"/>
            <w:vAlign w:val="center"/>
          </w:tcPr>
          <w:p>
            <w:pPr>
              <w:pStyle w:val="5"/>
              <w:widowControl/>
              <w:spacing w:before="0" w:beforeAutospacing="0" w:after="0" w:afterAutospacing="0"/>
              <w:jc w:val="center"/>
              <w:rPr>
                <w:sz w:val="21"/>
                <w:szCs w:val="21"/>
              </w:rPr>
            </w:pPr>
          </w:p>
        </w:tc>
        <w:tc>
          <w:tcPr>
            <w:tcW w:w="2748" w:type="dxa"/>
            <w:vAlign w:val="center"/>
          </w:tcPr>
          <w:p>
            <w:pPr>
              <w:pStyle w:val="5"/>
              <w:widowControl/>
              <w:spacing w:before="0" w:beforeAutospacing="0" w:after="0" w:afterAutospacing="0"/>
              <w:jc w:val="center"/>
              <w:rPr>
                <w:sz w:val="21"/>
                <w:szCs w:val="21"/>
              </w:rPr>
            </w:pPr>
            <w:r>
              <w:rPr>
                <w:rFonts w:hint="eastAsia"/>
                <w:sz w:val="21"/>
                <w:szCs w:val="21"/>
              </w:rPr>
              <w:t>跨栏架</w:t>
            </w:r>
          </w:p>
        </w:tc>
        <w:tc>
          <w:tcPr>
            <w:tcW w:w="864" w:type="dxa"/>
            <w:vAlign w:val="center"/>
          </w:tcPr>
          <w:p>
            <w:pPr>
              <w:pStyle w:val="5"/>
              <w:widowControl/>
              <w:spacing w:before="0" w:beforeAutospacing="0" w:after="0" w:afterAutospacing="0"/>
              <w:jc w:val="center"/>
              <w:rPr>
                <w:sz w:val="21"/>
                <w:szCs w:val="21"/>
              </w:rPr>
            </w:pPr>
            <w:r>
              <w:rPr>
                <w:rFonts w:hint="eastAsia"/>
                <w:sz w:val="21"/>
                <w:szCs w:val="21"/>
              </w:rPr>
              <w:t>付</w:t>
            </w:r>
          </w:p>
        </w:tc>
        <w:tc>
          <w:tcPr>
            <w:tcW w:w="900" w:type="dxa"/>
            <w:vAlign w:val="center"/>
          </w:tcPr>
          <w:p>
            <w:pPr>
              <w:pStyle w:val="5"/>
              <w:widowControl/>
              <w:spacing w:before="0" w:beforeAutospacing="0" w:after="0" w:afterAutospacing="0"/>
              <w:jc w:val="center"/>
              <w:rPr>
                <w:sz w:val="21"/>
                <w:szCs w:val="21"/>
              </w:rPr>
            </w:pPr>
            <w:r>
              <w:rPr>
                <w:rFonts w:hint="eastAsia"/>
                <w:sz w:val="21"/>
                <w:szCs w:val="21"/>
              </w:rPr>
              <w:t>10</w:t>
            </w:r>
          </w:p>
        </w:tc>
        <w:tc>
          <w:tcPr>
            <w:tcW w:w="2496" w:type="dxa"/>
            <w:vAlign w:val="center"/>
          </w:tcPr>
          <w:p>
            <w:pPr>
              <w:pStyle w:val="5"/>
              <w:widowControl/>
              <w:spacing w:before="0" w:beforeAutospacing="0" w:after="0" w:afterAutospacing="0"/>
              <w:jc w:val="center"/>
              <w:rPr>
                <w:sz w:val="21"/>
                <w:szCs w:val="21"/>
              </w:rPr>
            </w:pPr>
            <w:r>
              <w:rPr>
                <w:rFonts w:hint="eastAsia"/>
                <w:sz w:val="21"/>
                <w:szCs w:val="21"/>
              </w:rPr>
              <w:t>金陵牌、凌森牌、康宇牌</w:t>
            </w:r>
          </w:p>
        </w:tc>
      </w:tr>
    </w:tbl>
    <w:p>
      <w:pPr>
        <w:pStyle w:val="5"/>
        <w:widowControl/>
        <w:spacing w:before="0" w:beforeAutospacing="0" w:after="0" w:afterAutospacing="0" w:line="420" w:lineRule="exact"/>
        <w:ind w:firstLine="480" w:firstLineChars="200"/>
      </w:pPr>
      <w:r>
        <w:rPr>
          <w:rFonts w:hint="eastAsia"/>
        </w:rPr>
        <w:t>其中：队员比赛服装（短套）按照每人两套（颜色分深色、浅色），具体颜色以使用单位要求为准。</w:t>
      </w:r>
    </w:p>
    <w:p>
      <w:pPr>
        <w:pStyle w:val="5"/>
        <w:widowControl/>
        <w:spacing w:before="0" w:beforeAutospacing="0" w:after="0" w:afterAutospacing="0" w:line="420" w:lineRule="exact"/>
        <w:ind w:firstLine="480" w:firstLineChars="200"/>
      </w:pPr>
      <w:r>
        <w:t>（三）本项目预算控制价：人民币</w:t>
      </w:r>
      <w:r>
        <w:rPr>
          <w:rFonts w:hint="eastAsia"/>
        </w:rPr>
        <w:t>8.1万</w:t>
      </w:r>
      <w:r>
        <w:t>元</w:t>
      </w:r>
      <w:r>
        <w:rPr>
          <w:rFonts w:hint="eastAsia"/>
        </w:rPr>
        <w:t>。</w:t>
      </w:r>
    </w:p>
    <w:p>
      <w:pPr>
        <w:pStyle w:val="5"/>
        <w:widowControl/>
        <w:spacing w:before="0" w:beforeAutospacing="0" w:after="0" w:afterAutospacing="0" w:line="420" w:lineRule="exact"/>
        <w:ind w:firstLine="482" w:firstLineChars="200"/>
        <w:rPr>
          <w:b/>
        </w:rPr>
      </w:pPr>
      <w:r>
        <w:rPr>
          <w:b/>
        </w:rPr>
        <w:t>二、投标人必须具备的条件</w:t>
      </w:r>
    </w:p>
    <w:p>
      <w:pPr>
        <w:pStyle w:val="5"/>
        <w:widowControl/>
        <w:spacing w:before="0" w:beforeAutospacing="0" w:after="0" w:afterAutospacing="0" w:line="420" w:lineRule="exact"/>
        <w:ind w:firstLine="480" w:firstLineChars="200"/>
      </w:pPr>
      <w:r>
        <w:t>1</w:t>
      </w:r>
      <w:r>
        <w:rPr>
          <w:rFonts w:hint="eastAsia"/>
        </w:rPr>
        <w:t>.</w:t>
      </w:r>
      <w:r>
        <w:t>投标人须具备《中华人民共和国政府采购法》第二十二条规定的条件；</w:t>
      </w:r>
    </w:p>
    <w:p>
      <w:pPr>
        <w:pStyle w:val="5"/>
        <w:widowControl/>
        <w:spacing w:before="0" w:beforeAutospacing="0" w:after="0" w:afterAutospacing="0" w:line="420" w:lineRule="exact"/>
        <w:ind w:firstLine="480" w:firstLineChars="200"/>
      </w:pPr>
      <w:r>
        <w:t>2</w:t>
      </w:r>
      <w:r>
        <w:rPr>
          <w:rFonts w:hint="eastAsia"/>
        </w:rPr>
        <w:t>.</w:t>
      </w:r>
      <w:r>
        <w:t>具有本项目产品生产能力或授权经销资质的独立企业法人</w:t>
      </w:r>
      <w:r>
        <w:rPr>
          <w:rFonts w:hint="eastAsia"/>
        </w:rPr>
        <w:t>或具有经销资质和供应能力的个体工商户</w:t>
      </w:r>
      <w:r>
        <w:t>；</w:t>
      </w:r>
    </w:p>
    <w:p>
      <w:pPr>
        <w:pStyle w:val="5"/>
        <w:widowControl/>
        <w:spacing w:before="0" w:beforeAutospacing="0" w:after="0" w:afterAutospacing="0" w:line="420" w:lineRule="exact"/>
        <w:ind w:firstLine="480" w:firstLineChars="200"/>
      </w:pPr>
      <w:r>
        <w:rPr>
          <w:rFonts w:hint="eastAsia"/>
          <w:color w:val="auto"/>
        </w:rPr>
        <w:t>3.</w:t>
      </w:r>
      <w:r>
        <w:t>认同并严格履行本询价函的各项规定，承诺遵守高校廉洁从业（政）的各项规章制度。</w:t>
      </w:r>
    </w:p>
    <w:p>
      <w:pPr>
        <w:pStyle w:val="5"/>
        <w:widowControl/>
        <w:spacing w:before="0" w:beforeAutospacing="0" w:after="0" w:afterAutospacing="0" w:line="420" w:lineRule="exact"/>
        <w:ind w:firstLine="482" w:firstLineChars="200"/>
        <w:rPr>
          <w:b/>
        </w:rPr>
      </w:pPr>
      <w:r>
        <w:rPr>
          <w:b/>
        </w:rPr>
        <w:t>三、产品质量及服务要求</w:t>
      </w:r>
    </w:p>
    <w:p>
      <w:pPr>
        <w:pStyle w:val="5"/>
        <w:widowControl/>
        <w:spacing w:before="0" w:beforeAutospacing="0" w:after="0" w:afterAutospacing="0" w:line="420" w:lineRule="exact"/>
        <w:ind w:firstLine="480" w:firstLineChars="200"/>
      </w:pPr>
      <w:r>
        <w:t>1</w:t>
      </w:r>
      <w:r>
        <w:rPr>
          <w:rFonts w:hint="eastAsia"/>
        </w:rPr>
        <w:t>.服装的面料、品质优良，款式、配色准确，大小在允许误差内，做工精良服帖</w:t>
      </w:r>
      <w:r>
        <w:t>。</w:t>
      </w:r>
    </w:p>
    <w:p>
      <w:pPr>
        <w:pStyle w:val="5"/>
        <w:widowControl/>
        <w:spacing w:before="0" w:beforeAutospacing="0" w:after="0" w:afterAutospacing="0" w:line="420" w:lineRule="exact"/>
        <w:ind w:firstLine="480" w:firstLineChars="200"/>
      </w:pPr>
      <w:r>
        <w:t>2</w:t>
      </w:r>
      <w:r>
        <w:rPr>
          <w:rFonts w:hint="eastAsia"/>
        </w:rPr>
        <w:t>.</w:t>
      </w:r>
      <w:r>
        <w:t>中标供应商提供的</w:t>
      </w:r>
      <w:r>
        <w:rPr>
          <w:rFonts w:hint="eastAsia"/>
        </w:rPr>
        <w:t>服装</w:t>
      </w:r>
      <w:r>
        <w:t>必须</w:t>
      </w:r>
      <w:r>
        <w:rPr>
          <w:color w:val="auto"/>
        </w:rPr>
        <w:t>是</w:t>
      </w:r>
      <w:r>
        <w:t>符合国家有关质量标准的合格产品。</w:t>
      </w:r>
    </w:p>
    <w:p>
      <w:pPr>
        <w:pStyle w:val="5"/>
        <w:widowControl/>
        <w:spacing w:before="0" w:beforeAutospacing="0" w:after="0" w:afterAutospacing="0" w:line="420" w:lineRule="exact"/>
        <w:ind w:firstLine="480" w:firstLineChars="200"/>
      </w:pPr>
      <w:r>
        <w:t>3</w:t>
      </w:r>
      <w:r>
        <w:rPr>
          <w:rFonts w:hint="eastAsia"/>
        </w:rPr>
        <w:t>.</w:t>
      </w:r>
      <w:r>
        <w:t>中标供应商应按照投标文件中的承诺，进行其他售后服务工作；产品免费质保</w:t>
      </w:r>
      <w:r>
        <w:rPr>
          <w:rFonts w:hint="eastAsia"/>
        </w:rPr>
        <w:t>期</w:t>
      </w:r>
      <w:r>
        <w:t>不低于</w:t>
      </w:r>
      <w:r>
        <w:rPr>
          <w:rFonts w:hint="eastAsia"/>
        </w:rPr>
        <w:t>6个月</w:t>
      </w:r>
      <w:r>
        <w:t>。</w:t>
      </w:r>
    </w:p>
    <w:p>
      <w:pPr>
        <w:pStyle w:val="5"/>
        <w:widowControl/>
        <w:spacing w:before="0" w:beforeAutospacing="0" w:after="0" w:afterAutospacing="0" w:line="420" w:lineRule="exact"/>
        <w:ind w:firstLine="482" w:firstLineChars="200"/>
        <w:rPr>
          <w:b/>
        </w:rPr>
      </w:pPr>
      <w:r>
        <w:rPr>
          <w:b/>
        </w:rPr>
        <w:t>四、投标须知</w:t>
      </w:r>
    </w:p>
    <w:p>
      <w:pPr>
        <w:pStyle w:val="5"/>
        <w:widowControl/>
        <w:spacing w:before="0" w:beforeAutospacing="0" w:after="0" w:afterAutospacing="0" w:line="420" w:lineRule="exact"/>
        <w:ind w:firstLine="480" w:firstLineChars="200"/>
      </w:pPr>
      <w:r>
        <w:t>（一）报名事项</w:t>
      </w:r>
    </w:p>
    <w:p>
      <w:pPr>
        <w:pStyle w:val="5"/>
        <w:widowControl/>
        <w:spacing w:before="0" w:beforeAutospacing="0" w:after="0" w:afterAutospacing="0" w:line="420" w:lineRule="exact"/>
        <w:ind w:firstLine="480" w:firstLineChars="200"/>
      </w:pPr>
      <w:r>
        <w:t>1</w:t>
      </w:r>
      <w:r>
        <w:rPr>
          <w:rFonts w:hint="eastAsia"/>
        </w:rPr>
        <w:t>.</w:t>
      </w:r>
      <w:r>
        <w:t>报名时间：201</w:t>
      </w:r>
      <w:r>
        <w:rPr>
          <w:rFonts w:hint="eastAsia"/>
        </w:rPr>
        <w:t>8</w:t>
      </w:r>
      <w:r>
        <w:t>年</w:t>
      </w:r>
      <w:r>
        <w:rPr>
          <w:rFonts w:hint="eastAsia"/>
        </w:rPr>
        <w:t>4</w:t>
      </w:r>
      <w:r>
        <w:t>月</w:t>
      </w:r>
      <w:r>
        <w:rPr>
          <w:rFonts w:hint="eastAsia"/>
        </w:rPr>
        <w:t>25</w:t>
      </w:r>
      <w:r>
        <w:t>日---201</w:t>
      </w:r>
      <w:r>
        <w:rPr>
          <w:rFonts w:hint="eastAsia"/>
        </w:rPr>
        <w:t>8</w:t>
      </w:r>
      <w:r>
        <w:t>年</w:t>
      </w:r>
      <w:r>
        <w:rPr>
          <w:rFonts w:hint="eastAsia"/>
        </w:rPr>
        <w:t>5</w:t>
      </w:r>
      <w:r>
        <w:t>月</w:t>
      </w:r>
      <w:r>
        <w:rPr>
          <w:rFonts w:hint="eastAsia"/>
        </w:rPr>
        <w:t>3</w:t>
      </w:r>
      <w:r>
        <w:t>日上午11：00投标截止前，上午8:30—11:0</w:t>
      </w:r>
      <w:r>
        <w:rPr>
          <w:rFonts w:hint="eastAsia"/>
        </w:rPr>
        <w:t>0，</w:t>
      </w:r>
      <w:r>
        <w:t>下午2:30—5:00（双休日及节假日不接待）</w:t>
      </w:r>
      <w:r>
        <w:rPr>
          <w:rFonts w:hint="eastAsia"/>
        </w:rPr>
        <w:t>。</w:t>
      </w:r>
    </w:p>
    <w:p>
      <w:pPr>
        <w:pStyle w:val="5"/>
        <w:widowControl/>
        <w:spacing w:before="0" w:beforeAutospacing="0" w:after="0" w:afterAutospacing="0" w:line="420" w:lineRule="exact"/>
        <w:ind w:firstLine="480" w:firstLineChars="200"/>
      </w:pPr>
      <w:r>
        <w:rPr>
          <w:rFonts w:hint="eastAsia"/>
        </w:rPr>
        <w:t>2.</w:t>
      </w:r>
      <w:r>
        <w:t>报名地点：铜陵学院国有资产管理处（铜陵学院新校区图书馆八楼80</w:t>
      </w:r>
      <w:r>
        <w:rPr>
          <w:rFonts w:hint="eastAsia"/>
        </w:rPr>
        <w:t>7</w:t>
      </w:r>
      <w:r>
        <w:t>）。</w:t>
      </w:r>
      <w:r>
        <w:rPr>
          <w:rFonts w:hint="eastAsia"/>
        </w:rPr>
        <w:t>外地企业可在投标时办理报名手续。</w:t>
      </w:r>
    </w:p>
    <w:p>
      <w:pPr>
        <w:pStyle w:val="5"/>
        <w:widowControl/>
        <w:spacing w:before="0" w:beforeAutospacing="0" w:after="0" w:afterAutospacing="0" w:line="420" w:lineRule="exact"/>
        <w:ind w:firstLine="480" w:firstLineChars="200"/>
      </w:pPr>
      <w:r>
        <w:t>3</w:t>
      </w:r>
      <w:r>
        <w:rPr>
          <w:rFonts w:hint="eastAsia"/>
        </w:rPr>
        <w:t>.</w:t>
      </w:r>
      <w:r>
        <w:t>报名联系人：铜陵学院国有资产管理处</w:t>
      </w:r>
      <w:r>
        <w:rPr>
          <w:rFonts w:hint="eastAsia"/>
        </w:rPr>
        <w:t>程</w:t>
      </w:r>
      <w:r>
        <w:t>老师（0562-58810</w:t>
      </w:r>
      <w:r>
        <w:rPr>
          <w:rFonts w:hint="eastAsia"/>
        </w:rPr>
        <w:t>58</w:t>
      </w:r>
      <w:r>
        <w:t>）</w:t>
      </w:r>
    </w:p>
    <w:p>
      <w:pPr>
        <w:pStyle w:val="5"/>
        <w:widowControl/>
        <w:spacing w:before="0" w:beforeAutospacing="0" w:after="0" w:afterAutospacing="0" w:line="420" w:lineRule="exact"/>
        <w:ind w:firstLine="480" w:firstLineChars="200"/>
      </w:pPr>
      <w:r>
        <w:t>4</w:t>
      </w:r>
      <w:r>
        <w:rPr>
          <w:rFonts w:hint="eastAsia"/>
        </w:rPr>
        <w:t>.</w:t>
      </w:r>
      <w:r>
        <w:t>报名资料：报名时请提供包括单位介绍信（原件）、企业简介，营业执照、法人证书（组织机构代码证）、税务登记证复印件(加盖公章）（中标后，签订合同前查验原件）。</w:t>
      </w:r>
    </w:p>
    <w:p>
      <w:pPr>
        <w:pStyle w:val="5"/>
        <w:widowControl/>
        <w:spacing w:before="0" w:beforeAutospacing="0" w:after="0" w:afterAutospacing="0" w:line="420" w:lineRule="exact"/>
        <w:ind w:firstLine="480" w:firstLineChars="200"/>
      </w:pPr>
      <w:r>
        <w:t>（二）投标事项</w:t>
      </w:r>
    </w:p>
    <w:p>
      <w:pPr>
        <w:pStyle w:val="5"/>
        <w:widowControl/>
        <w:spacing w:before="0" w:beforeAutospacing="0" w:after="0" w:afterAutospacing="0" w:line="420" w:lineRule="exact"/>
        <w:ind w:firstLine="480" w:firstLineChars="200"/>
      </w:pPr>
      <w:r>
        <w:t>1</w:t>
      </w:r>
      <w:r>
        <w:rPr>
          <w:rFonts w:hint="eastAsia"/>
        </w:rPr>
        <w:t>.</w:t>
      </w:r>
      <w:r>
        <w:t>投标人在投标之前，对本询价招标项目的一切情况，应详细研究和全面了解。投标后，投标人将被认为已充分了解并已接受本询价招标项目的相关条款，认同招标方的解释。</w:t>
      </w:r>
    </w:p>
    <w:p>
      <w:pPr>
        <w:pStyle w:val="5"/>
        <w:widowControl/>
        <w:spacing w:before="0" w:beforeAutospacing="0" w:after="0" w:afterAutospacing="0" w:line="420" w:lineRule="exact"/>
        <w:ind w:firstLine="480" w:firstLineChars="200"/>
        <w:rPr>
          <w:color w:val="FF0000"/>
        </w:rPr>
      </w:pPr>
      <w:r>
        <w:t>2</w:t>
      </w:r>
      <w:r>
        <w:rPr>
          <w:rFonts w:hint="eastAsia"/>
        </w:rPr>
        <w:t>.</w:t>
      </w:r>
      <w:r>
        <w:t>投标报价为所投产品项目的最终报价（</w:t>
      </w:r>
      <w:r>
        <w:rPr>
          <w:color w:val="auto"/>
        </w:rPr>
        <w:t>包括</w:t>
      </w:r>
      <w:r>
        <w:rPr>
          <w:rFonts w:hint="eastAsia"/>
        </w:rPr>
        <w:t>产品价款、材料损耗、运输保险费、装卸费、搬运费、检验检测费、售后服务费、利税和应承担的风险等一切费用，为综合单价</w:t>
      </w:r>
      <w:r>
        <w:t>）。</w:t>
      </w:r>
    </w:p>
    <w:p>
      <w:pPr>
        <w:pStyle w:val="5"/>
        <w:widowControl/>
        <w:spacing w:before="0" w:beforeAutospacing="0" w:after="0" w:afterAutospacing="0" w:line="420" w:lineRule="exact"/>
        <w:ind w:firstLine="480" w:firstLineChars="200"/>
      </w:pPr>
      <w:r>
        <w:t>3</w:t>
      </w:r>
      <w:r>
        <w:rPr>
          <w:rFonts w:hint="eastAsia"/>
        </w:rPr>
        <w:t>.</w:t>
      </w:r>
      <w:r>
        <w:t>投标人需提交一式两份（一份正本、一份副本）报价函，分别注明“正本”和“副本”（如报价不一致，以正本为准），且须密封并于密封处及封面加盖单位公章。报价函内需附以下资料并加盖单位公章：</w:t>
      </w:r>
    </w:p>
    <w:p>
      <w:pPr>
        <w:pStyle w:val="5"/>
        <w:widowControl/>
        <w:spacing w:before="0" w:beforeAutospacing="0" w:after="0" w:afterAutospacing="0" w:line="420" w:lineRule="exact"/>
        <w:ind w:firstLine="480" w:firstLineChars="200"/>
      </w:pPr>
      <w:r>
        <w:t>（1）投标承诺（针对本询价函提出的质量、工期等要求的响应）；</w:t>
      </w:r>
    </w:p>
    <w:p>
      <w:pPr>
        <w:pStyle w:val="5"/>
        <w:widowControl/>
        <w:spacing w:before="0" w:beforeAutospacing="0" w:after="0" w:afterAutospacing="0" w:line="420" w:lineRule="exact"/>
        <w:ind w:firstLine="480" w:firstLineChars="200"/>
      </w:pPr>
      <w:r>
        <w:t>（2）企业法人营业执照复印件；</w:t>
      </w:r>
    </w:p>
    <w:p>
      <w:pPr>
        <w:pStyle w:val="5"/>
        <w:widowControl/>
        <w:spacing w:before="0" w:beforeAutospacing="0" w:after="0" w:afterAutospacing="0" w:line="420" w:lineRule="exact"/>
        <w:ind w:firstLine="480" w:firstLineChars="200"/>
      </w:pPr>
      <w:r>
        <w:t>（3）企业法人</w:t>
      </w:r>
      <w:r>
        <w:rPr>
          <w:color w:val="auto"/>
        </w:rPr>
        <w:t>或</w:t>
      </w:r>
      <w:r>
        <w:rPr>
          <w:rFonts w:hint="eastAsia"/>
          <w:color w:val="auto"/>
        </w:rPr>
        <w:t>个体工商户经营者</w:t>
      </w:r>
      <w:r>
        <w:t>授权书；</w:t>
      </w:r>
    </w:p>
    <w:p>
      <w:pPr>
        <w:pStyle w:val="5"/>
        <w:widowControl/>
        <w:spacing w:before="0" w:beforeAutospacing="0" w:after="0" w:afterAutospacing="0" w:line="420" w:lineRule="exact"/>
        <w:ind w:firstLine="480" w:firstLineChars="200"/>
      </w:pPr>
      <w:r>
        <w:t>（4）《</w:t>
      </w:r>
      <w:r>
        <w:rPr>
          <w:rFonts w:hint="eastAsia"/>
        </w:rPr>
        <w:t>铜陵学院2018年参加安徽省运会高校部足球、篮球、田径、健美操比赛服装等</w:t>
      </w:r>
      <w:r>
        <w:t>采购</w:t>
      </w:r>
      <w:r>
        <w:rPr>
          <w:rFonts w:hint="eastAsia"/>
        </w:rPr>
        <w:t>目投标报价表</w:t>
      </w:r>
      <w:r>
        <w:t>》（报价表内未填写标明投标单位、生产厂家等均为无效投标）；</w:t>
      </w:r>
    </w:p>
    <w:p>
      <w:pPr>
        <w:pStyle w:val="5"/>
        <w:widowControl/>
        <w:spacing w:before="0" w:beforeAutospacing="0" w:after="0" w:afterAutospacing="0" w:line="420" w:lineRule="exact"/>
        <w:ind w:firstLine="480" w:firstLineChars="200"/>
      </w:pPr>
      <w:r>
        <w:t>（5）免费售后服务、质保承诺函；</w:t>
      </w:r>
    </w:p>
    <w:p>
      <w:pPr>
        <w:pStyle w:val="5"/>
        <w:widowControl/>
        <w:spacing w:before="0" w:beforeAutospacing="0" w:after="0" w:afterAutospacing="0" w:line="420" w:lineRule="exact"/>
        <w:ind w:firstLine="480" w:firstLineChars="200"/>
      </w:pPr>
      <w:r>
        <w:t>（6）投标单位认为需要提供</w:t>
      </w:r>
      <w:r>
        <w:rPr>
          <w:color w:val="FF0000"/>
        </w:rPr>
        <w:t>的</w:t>
      </w:r>
      <w:r>
        <w:t>其它资料。</w:t>
      </w:r>
    </w:p>
    <w:p>
      <w:pPr>
        <w:pStyle w:val="5"/>
        <w:widowControl/>
        <w:spacing w:before="0" w:beforeAutospacing="0" w:after="0" w:afterAutospacing="0" w:line="420" w:lineRule="exact"/>
        <w:ind w:firstLine="480" w:firstLineChars="200"/>
      </w:pPr>
      <w:r>
        <w:t>4</w:t>
      </w:r>
      <w:r>
        <w:rPr>
          <w:rFonts w:hint="eastAsia"/>
        </w:rPr>
        <w:t>.</w:t>
      </w:r>
      <w:r>
        <w:t>参与投标单位需在投标前通过企业账户向我校指定账户“户名：铜陵学院；账号：34001662208053000137；开户行：建行铜陵建龙支行”转账支付投标保证金（人民币）</w:t>
      </w:r>
      <w:r>
        <w:rPr>
          <w:rFonts w:hint="eastAsia"/>
        </w:rPr>
        <w:t>壹</w:t>
      </w:r>
      <w:r>
        <w:t>仟元整（￥</w:t>
      </w:r>
      <w:r>
        <w:rPr>
          <w:rFonts w:hint="eastAsia"/>
        </w:rPr>
        <w:t>1</w:t>
      </w:r>
      <w:r>
        <w:t xml:space="preserve">000元）。 </w:t>
      </w:r>
    </w:p>
    <w:p>
      <w:pPr>
        <w:pStyle w:val="5"/>
        <w:widowControl/>
        <w:spacing w:before="0" w:beforeAutospacing="0" w:after="0" w:afterAutospacing="0" w:line="420" w:lineRule="exact"/>
        <w:ind w:firstLine="480" w:firstLineChars="200"/>
      </w:pPr>
      <w:r>
        <w:t>（三）标书</w:t>
      </w:r>
      <w:r>
        <w:rPr>
          <w:rFonts w:hint="eastAsia"/>
        </w:rPr>
        <w:t>及样品</w:t>
      </w:r>
      <w:r>
        <w:t>投送</w:t>
      </w:r>
    </w:p>
    <w:p>
      <w:pPr>
        <w:pStyle w:val="5"/>
        <w:widowControl/>
        <w:spacing w:before="0" w:beforeAutospacing="0" w:after="0" w:afterAutospacing="0" w:line="420" w:lineRule="exact"/>
        <w:ind w:firstLine="480" w:firstLineChars="200"/>
      </w:pPr>
      <w:r>
        <w:rPr>
          <w:rFonts w:hint="eastAsia"/>
        </w:rPr>
        <w:t>1</w:t>
      </w:r>
      <w:r>
        <w:t>请有意参与投标的单位于201</w:t>
      </w:r>
      <w:r>
        <w:rPr>
          <w:rFonts w:hint="eastAsia"/>
        </w:rPr>
        <w:t>8</w:t>
      </w:r>
      <w:r>
        <w:t>年</w:t>
      </w:r>
      <w:r>
        <w:rPr>
          <w:rFonts w:hint="eastAsia"/>
        </w:rPr>
        <w:t>5</w:t>
      </w:r>
      <w:r>
        <w:t>月</w:t>
      </w:r>
      <w:r>
        <w:rPr>
          <w:rFonts w:hint="eastAsia"/>
        </w:rPr>
        <w:t xml:space="preserve"> 3</w:t>
      </w:r>
      <w:r>
        <w:t>日上午11：00前，将投标</w:t>
      </w:r>
      <w:r>
        <w:rPr>
          <w:color w:val="auto"/>
        </w:rPr>
        <w:t>书</w:t>
      </w:r>
      <w:r>
        <w:rPr>
          <w:rFonts w:hint="eastAsia"/>
        </w:rPr>
        <w:t>和投标保证金银行转账回单一并</w:t>
      </w:r>
      <w:r>
        <w:t>送达铜陵学院招标采购领导小组办公室投标室（新区图书馆八楼806室）。</w:t>
      </w:r>
    </w:p>
    <w:p>
      <w:pPr>
        <w:pStyle w:val="5"/>
        <w:widowControl/>
        <w:spacing w:before="0" w:beforeAutospacing="0" w:after="0" w:afterAutospacing="0" w:line="420" w:lineRule="exact"/>
        <w:ind w:firstLine="482" w:firstLineChars="200"/>
        <w:rPr>
          <w:b/>
          <w:szCs w:val="24"/>
        </w:rPr>
      </w:pPr>
      <w:r>
        <w:rPr>
          <w:rFonts w:hint="eastAsia"/>
          <w:b/>
          <w:szCs w:val="24"/>
        </w:rPr>
        <w:t>2.投标时随标书一同提供投标的篮球、田径比赛服各一套、出场专用服装一套，足球鞋一双、7</w:t>
      </w:r>
      <w:r>
        <w:rPr>
          <w:rFonts w:hint="eastAsia"/>
          <w:b/>
          <w:szCs w:val="24"/>
          <w:vertAlign w:val="superscript"/>
        </w:rPr>
        <w:t>#</w:t>
      </w:r>
      <w:r>
        <w:rPr>
          <w:rFonts w:hint="eastAsia"/>
          <w:b/>
          <w:szCs w:val="24"/>
        </w:rPr>
        <w:t>篮球比赛用球一个、田径跑步鞋和跑钉鞋各一双。</w:t>
      </w:r>
    </w:p>
    <w:p>
      <w:pPr>
        <w:pStyle w:val="5"/>
        <w:widowControl/>
        <w:spacing w:before="0" w:beforeAutospacing="0" w:after="0" w:afterAutospacing="0" w:line="420" w:lineRule="exact"/>
        <w:ind w:firstLine="480" w:firstLineChars="200"/>
      </w:pPr>
      <w:r>
        <w:rPr>
          <w:color w:val="FF0000"/>
        </w:rPr>
        <w:t>（四）评标办法</w:t>
      </w:r>
      <w:r>
        <w:rPr>
          <w:rFonts w:hint="eastAsia"/>
        </w:rPr>
        <w:t>（主要指比赛服装、出场服装）</w:t>
      </w:r>
    </w:p>
    <w:tbl>
      <w:tblPr>
        <w:tblStyle w:val="7"/>
        <w:tblW w:w="9187" w:type="dxa"/>
        <w:jc w:val="center"/>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21"/>
        <w:gridCol w:w="1091"/>
        <w:gridCol w:w="4832"/>
        <w:gridCol w:w="1637"/>
        <w:gridCol w:w="7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23" w:hRule="exact"/>
          <w:jc w:val="center"/>
        </w:trPr>
        <w:tc>
          <w:tcPr>
            <w:tcW w:w="921" w:type="dxa"/>
            <w:tcBorders>
              <w:top w:val="single" w:color="auto" w:sz="12" w:space="0"/>
            </w:tcBorders>
            <w:vAlign w:val="center"/>
          </w:tcPr>
          <w:p>
            <w:pPr>
              <w:adjustRightInd w:val="0"/>
              <w:snapToGrid w:val="0"/>
              <w:spacing w:before="100" w:beforeAutospacing="1" w:after="100" w:afterAutospacing="1"/>
              <w:jc w:val="center"/>
              <w:rPr>
                <w:rFonts w:ascii="宋体" w:cs="宋体"/>
                <w:b/>
                <w:bCs/>
                <w:szCs w:val="21"/>
              </w:rPr>
            </w:pPr>
            <w:r>
              <w:rPr>
                <w:rFonts w:hint="eastAsia" w:ascii="宋体" w:hAnsi="宋体" w:cs="宋体"/>
                <w:b/>
                <w:bCs/>
                <w:szCs w:val="21"/>
              </w:rPr>
              <w:t>评分标准</w:t>
            </w:r>
          </w:p>
        </w:tc>
        <w:tc>
          <w:tcPr>
            <w:tcW w:w="5923" w:type="dxa"/>
            <w:gridSpan w:val="2"/>
            <w:tcBorders>
              <w:top w:val="single" w:color="auto" w:sz="12" w:space="0"/>
            </w:tcBorders>
            <w:vAlign w:val="center"/>
          </w:tcPr>
          <w:p>
            <w:pPr>
              <w:adjustRightInd w:val="0"/>
              <w:snapToGrid w:val="0"/>
              <w:spacing w:before="100" w:beforeAutospacing="1" w:after="100" w:afterAutospacing="1"/>
              <w:jc w:val="center"/>
              <w:rPr>
                <w:rFonts w:ascii="宋体" w:cs="宋体"/>
                <w:b/>
                <w:bCs/>
                <w:szCs w:val="21"/>
              </w:rPr>
            </w:pPr>
            <w:r>
              <w:rPr>
                <w:rFonts w:hint="eastAsia" w:ascii="宋体" w:hAnsi="宋体" w:cs="宋体"/>
                <w:b/>
                <w:bCs/>
                <w:szCs w:val="21"/>
              </w:rPr>
              <w:t>评分因素</w:t>
            </w:r>
          </w:p>
        </w:tc>
        <w:tc>
          <w:tcPr>
            <w:tcW w:w="1637" w:type="dxa"/>
            <w:tcBorders>
              <w:top w:val="single" w:color="auto" w:sz="12" w:space="0"/>
            </w:tcBorders>
            <w:vAlign w:val="center"/>
          </w:tcPr>
          <w:p>
            <w:pPr>
              <w:adjustRightInd w:val="0"/>
              <w:snapToGrid w:val="0"/>
              <w:spacing w:before="100" w:beforeAutospacing="1" w:after="100" w:afterAutospacing="1"/>
              <w:jc w:val="center"/>
              <w:rPr>
                <w:rFonts w:ascii="宋体" w:cs="宋体"/>
                <w:b/>
                <w:bCs/>
                <w:szCs w:val="21"/>
              </w:rPr>
            </w:pPr>
            <w:r>
              <w:rPr>
                <w:rFonts w:hint="eastAsia" w:ascii="宋体" w:hAnsi="宋体" w:cs="宋体"/>
                <w:b/>
                <w:bCs/>
                <w:szCs w:val="21"/>
              </w:rPr>
              <w:t>所需提供材料</w:t>
            </w:r>
          </w:p>
        </w:tc>
        <w:tc>
          <w:tcPr>
            <w:tcW w:w="706" w:type="dxa"/>
            <w:tcBorders>
              <w:top w:val="single" w:color="auto" w:sz="12" w:space="0"/>
            </w:tcBorders>
            <w:vAlign w:val="center"/>
          </w:tcPr>
          <w:p>
            <w:pPr>
              <w:adjustRightInd w:val="0"/>
              <w:snapToGrid w:val="0"/>
              <w:spacing w:before="100" w:beforeAutospacing="1" w:after="100" w:afterAutospacing="1"/>
              <w:jc w:val="center"/>
              <w:rPr>
                <w:rFonts w:ascii="宋体" w:cs="宋体"/>
                <w:b/>
                <w:bCs/>
                <w:szCs w:val="21"/>
              </w:rPr>
            </w:pPr>
            <w:r>
              <w:rPr>
                <w:rFonts w:hint="eastAsia" w:ascii="宋体" w:hAnsi="宋体" w:cs="宋体"/>
                <w:b/>
                <w:bCs/>
                <w:szCs w:val="21"/>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1" w:hRule="atLeast"/>
          <w:jc w:val="center"/>
        </w:trPr>
        <w:tc>
          <w:tcPr>
            <w:tcW w:w="921" w:type="dxa"/>
            <w:vMerge w:val="restart"/>
            <w:vAlign w:val="center"/>
          </w:tcPr>
          <w:p>
            <w:pPr>
              <w:spacing w:line="280" w:lineRule="exact"/>
              <w:jc w:val="center"/>
              <w:rPr>
                <w:rFonts w:ascii="宋体" w:cs="宋体"/>
                <w:spacing w:val="-12"/>
                <w:szCs w:val="21"/>
              </w:rPr>
            </w:pPr>
            <w:r>
              <w:rPr>
                <w:rFonts w:hint="eastAsia" w:ascii="宋体" w:hAnsi="宋体" w:cs="宋体"/>
                <w:spacing w:val="-12"/>
                <w:szCs w:val="21"/>
              </w:rPr>
              <w:t>技术部分标准</w:t>
            </w:r>
          </w:p>
        </w:tc>
        <w:tc>
          <w:tcPr>
            <w:tcW w:w="1091" w:type="dxa"/>
            <w:vAlign w:val="center"/>
          </w:tcPr>
          <w:p>
            <w:pPr>
              <w:spacing w:line="280" w:lineRule="exact"/>
              <w:jc w:val="center"/>
              <w:rPr>
                <w:rFonts w:ascii="宋体" w:hAnsi="宋体" w:cs="宋体"/>
                <w:szCs w:val="21"/>
              </w:rPr>
            </w:pPr>
            <w:r>
              <w:rPr>
                <w:rFonts w:hint="eastAsia" w:ascii="宋体" w:hAnsi="宋体" w:cs="宋体"/>
                <w:szCs w:val="21"/>
              </w:rPr>
              <w:t>款式、材质</w:t>
            </w:r>
          </w:p>
          <w:p>
            <w:pPr>
              <w:spacing w:line="280" w:lineRule="exact"/>
              <w:jc w:val="center"/>
              <w:rPr>
                <w:rFonts w:ascii="宋体" w:cs="宋体"/>
                <w:szCs w:val="21"/>
              </w:rPr>
            </w:pPr>
          </w:p>
        </w:tc>
        <w:tc>
          <w:tcPr>
            <w:tcW w:w="4832" w:type="dxa"/>
            <w:vAlign w:val="center"/>
          </w:tcPr>
          <w:p>
            <w:pPr>
              <w:spacing w:line="320" w:lineRule="exact"/>
              <w:ind w:firstLine="420" w:firstLineChars="200"/>
              <w:outlineLvl w:val="0"/>
              <w:rPr>
                <w:rFonts w:ascii="宋体" w:cs="宋体"/>
                <w:szCs w:val="21"/>
              </w:rPr>
            </w:pPr>
            <w:r>
              <w:rPr>
                <w:rFonts w:hint="eastAsia" w:ascii="宋体" w:hAnsi="宋体" w:cs="宋体"/>
                <w:szCs w:val="21"/>
              </w:rPr>
              <w:t>根据本招标文件比赛服装采购需求提供所投标报价的产品电子稿（效果图）及相应的技术说明书，并在每项产品设计彩色效果图下面具体说明产品的品牌、生产厂家、规格、配置（如有）、颜色、制作使用的材料品种（涉及制作需要的基材、胶粘剂等）及材料相对应的品牌、制造厂家、质量标准、技术参数、规格尺寸与工艺等。</w:t>
            </w:r>
          </w:p>
          <w:p>
            <w:pPr>
              <w:spacing w:line="320" w:lineRule="exact"/>
              <w:ind w:firstLine="420" w:firstLineChars="200"/>
              <w:outlineLvl w:val="0"/>
              <w:rPr>
                <w:rFonts w:ascii="宋体" w:cs="宋体"/>
                <w:szCs w:val="21"/>
              </w:rPr>
            </w:pPr>
            <w:r>
              <w:rPr>
                <w:rFonts w:hint="eastAsia" w:ascii="宋体" w:hAnsi="宋体" w:cs="宋体"/>
                <w:szCs w:val="21"/>
              </w:rPr>
              <w:t>提供效果图样式丰富、材质标准、全面的得15-12分；提供不完整的得11-8分，未提供效果图不得分。</w:t>
            </w:r>
          </w:p>
        </w:tc>
        <w:tc>
          <w:tcPr>
            <w:tcW w:w="1637" w:type="dxa"/>
            <w:vAlign w:val="center"/>
          </w:tcPr>
          <w:p>
            <w:pPr>
              <w:spacing w:line="280" w:lineRule="exact"/>
              <w:jc w:val="center"/>
              <w:rPr>
                <w:rFonts w:ascii="宋体" w:cs="宋体"/>
                <w:szCs w:val="21"/>
              </w:rPr>
            </w:pPr>
            <w:r>
              <w:rPr>
                <w:rFonts w:hint="eastAsia" w:ascii="宋体" w:hAnsi="宋体" w:cs="宋体"/>
                <w:szCs w:val="21"/>
              </w:rPr>
              <w:t>提供产品宣传材料、截图等装订在投标文件，未提供效果图的不得分</w:t>
            </w:r>
          </w:p>
        </w:tc>
        <w:tc>
          <w:tcPr>
            <w:tcW w:w="706" w:type="dxa"/>
            <w:vAlign w:val="center"/>
          </w:tcPr>
          <w:p>
            <w:pPr>
              <w:spacing w:line="280" w:lineRule="exact"/>
              <w:jc w:val="center"/>
              <w:rPr>
                <w:rFonts w:ascii="宋体" w:cs="宋体"/>
                <w:szCs w:val="21"/>
              </w:rPr>
            </w:pPr>
            <w:r>
              <w:rPr>
                <w:rFonts w:hint="eastAsia" w:ascii="宋体" w:hAnsi="宋体" w:cs="宋体"/>
                <w:szCs w:val="21"/>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929" w:hRule="atLeast"/>
          <w:jc w:val="center"/>
        </w:trPr>
        <w:tc>
          <w:tcPr>
            <w:tcW w:w="921" w:type="dxa"/>
            <w:vMerge w:val="continue"/>
            <w:vAlign w:val="center"/>
          </w:tcPr>
          <w:p>
            <w:pPr>
              <w:spacing w:line="280" w:lineRule="exact"/>
              <w:jc w:val="center"/>
              <w:rPr>
                <w:rFonts w:ascii="宋体" w:cs="宋体"/>
                <w:spacing w:val="-12"/>
                <w:szCs w:val="21"/>
              </w:rPr>
            </w:pPr>
          </w:p>
        </w:tc>
        <w:tc>
          <w:tcPr>
            <w:tcW w:w="1091" w:type="dxa"/>
            <w:vAlign w:val="center"/>
          </w:tcPr>
          <w:p>
            <w:pPr>
              <w:spacing w:line="280" w:lineRule="exact"/>
              <w:jc w:val="center"/>
              <w:rPr>
                <w:rFonts w:ascii="宋体" w:cs="宋体"/>
                <w:szCs w:val="21"/>
              </w:rPr>
            </w:pPr>
            <w:r>
              <w:rPr>
                <w:rFonts w:hint="eastAsia" w:ascii="宋体" w:hAnsi="宋体" w:cs="宋体"/>
                <w:szCs w:val="21"/>
              </w:rPr>
              <w:t>样品</w:t>
            </w:r>
          </w:p>
        </w:tc>
        <w:tc>
          <w:tcPr>
            <w:tcW w:w="4832" w:type="dxa"/>
            <w:vAlign w:val="center"/>
          </w:tcPr>
          <w:p>
            <w:pPr>
              <w:snapToGrid w:val="0"/>
              <w:spacing w:line="280" w:lineRule="exact"/>
              <w:ind w:firstLine="420" w:firstLineChars="200"/>
              <w:rPr>
                <w:rFonts w:ascii="宋体" w:hAnsi="宋体" w:cs="宋体"/>
                <w:szCs w:val="21"/>
              </w:rPr>
            </w:pPr>
            <w:r>
              <w:rPr>
                <w:rFonts w:hint="eastAsia" w:ascii="宋体" w:hAnsi="宋体" w:cs="宋体"/>
                <w:szCs w:val="21"/>
              </w:rPr>
              <w:t>根据所有参加投标的同类样品比较确定：制作工艺，材料材质，设计美观的优秀样品得22-17分，一般的16-12分，较差的</w:t>
            </w:r>
            <w:r>
              <w:rPr>
                <w:rFonts w:ascii="宋体" w:hAnsi="宋体" w:cs="宋体"/>
                <w:szCs w:val="21"/>
              </w:rPr>
              <w:t>1</w:t>
            </w:r>
            <w:r>
              <w:rPr>
                <w:rFonts w:hint="eastAsia" w:ascii="宋体" w:hAnsi="宋体" w:cs="宋体"/>
                <w:szCs w:val="21"/>
              </w:rPr>
              <w:t>0-6分。</w:t>
            </w:r>
          </w:p>
          <w:p>
            <w:pPr>
              <w:snapToGrid w:val="0"/>
              <w:spacing w:line="280" w:lineRule="exact"/>
              <w:ind w:firstLine="422" w:firstLineChars="200"/>
              <w:rPr>
                <w:rFonts w:ascii="宋体" w:hAnsi="宋体" w:cs="宋体"/>
                <w:szCs w:val="21"/>
              </w:rPr>
            </w:pPr>
            <w:r>
              <w:rPr>
                <w:rFonts w:hint="eastAsia" w:ascii="宋体" w:hAnsi="宋体" w:cs="宋体"/>
                <w:b/>
                <w:bCs/>
                <w:szCs w:val="21"/>
              </w:rPr>
              <w:t>少提供一个样品减3分，未提供不得分。</w:t>
            </w:r>
          </w:p>
        </w:tc>
        <w:tc>
          <w:tcPr>
            <w:tcW w:w="1637" w:type="dxa"/>
            <w:vAlign w:val="center"/>
          </w:tcPr>
          <w:p>
            <w:pPr>
              <w:spacing w:line="280" w:lineRule="exact"/>
              <w:jc w:val="center"/>
              <w:rPr>
                <w:rFonts w:ascii="宋体" w:cs="宋体"/>
                <w:szCs w:val="21"/>
              </w:rPr>
            </w:pPr>
            <w:r>
              <w:rPr>
                <w:rFonts w:hint="eastAsia" w:ascii="宋体" w:hAnsi="宋体" w:cs="宋体"/>
                <w:szCs w:val="21"/>
              </w:rPr>
              <w:t>专家组现场查看样品</w:t>
            </w:r>
          </w:p>
        </w:tc>
        <w:tc>
          <w:tcPr>
            <w:tcW w:w="706" w:type="dxa"/>
            <w:vAlign w:val="center"/>
          </w:tcPr>
          <w:p>
            <w:pPr>
              <w:spacing w:line="280" w:lineRule="exact"/>
              <w:jc w:val="center"/>
              <w:rPr>
                <w:rFonts w:ascii="宋体" w:cs="宋体"/>
                <w:szCs w:val="21"/>
              </w:rPr>
            </w:pPr>
            <w:r>
              <w:rPr>
                <w:rFonts w:hint="eastAsia" w:ascii="宋体" w:hAnsi="宋体" w:cs="宋体"/>
                <w:szCs w:val="21"/>
              </w:rPr>
              <w:t>2</w:t>
            </w:r>
            <w:r>
              <w:rPr>
                <w:rFonts w:ascii="宋体" w:hAnsi="宋体" w:cs="宋体"/>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87" w:hRule="atLeast"/>
          <w:jc w:val="center"/>
        </w:trPr>
        <w:tc>
          <w:tcPr>
            <w:tcW w:w="921" w:type="dxa"/>
            <w:vMerge w:val="restart"/>
            <w:vAlign w:val="center"/>
          </w:tcPr>
          <w:p>
            <w:pPr>
              <w:spacing w:line="280" w:lineRule="exact"/>
              <w:jc w:val="center"/>
              <w:rPr>
                <w:rFonts w:ascii="宋体" w:cs="宋体"/>
                <w:spacing w:val="-12"/>
                <w:szCs w:val="21"/>
              </w:rPr>
            </w:pPr>
            <w:r>
              <w:rPr>
                <w:rFonts w:hint="eastAsia" w:ascii="宋体" w:hAnsi="宋体" w:cs="宋体"/>
                <w:spacing w:val="-12"/>
                <w:szCs w:val="21"/>
              </w:rPr>
              <w:t>商务部分标准</w:t>
            </w:r>
          </w:p>
        </w:tc>
        <w:tc>
          <w:tcPr>
            <w:tcW w:w="1091" w:type="dxa"/>
            <w:vAlign w:val="center"/>
          </w:tcPr>
          <w:p>
            <w:pPr>
              <w:spacing w:line="280" w:lineRule="exact"/>
              <w:jc w:val="center"/>
              <w:rPr>
                <w:rFonts w:ascii="宋体" w:cs="宋体"/>
                <w:szCs w:val="21"/>
              </w:rPr>
            </w:pPr>
            <w:r>
              <w:rPr>
                <w:rFonts w:hint="eastAsia" w:ascii="宋体" w:hAnsi="宋体" w:cs="宋体"/>
                <w:szCs w:val="21"/>
              </w:rPr>
              <w:t>质保期</w:t>
            </w:r>
          </w:p>
        </w:tc>
        <w:tc>
          <w:tcPr>
            <w:tcW w:w="4832" w:type="dxa"/>
            <w:vAlign w:val="center"/>
          </w:tcPr>
          <w:p>
            <w:pPr>
              <w:snapToGrid w:val="0"/>
              <w:spacing w:line="280" w:lineRule="exact"/>
              <w:ind w:firstLine="420" w:firstLineChars="200"/>
              <w:rPr>
                <w:rFonts w:ascii="宋体" w:cs="宋体"/>
                <w:szCs w:val="21"/>
              </w:rPr>
            </w:pPr>
            <w:r>
              <w:rPr>
                <w:rFonts w:hint="eastAsia" w:ascii="宋体" w:hAnsi="宋体" w:cs="宋体"/>
                <w:szCs w:val="21"/>
              </w:rPr>
              <w:t>质保期超过招标文件规定的，每增加6个月得</w:t>
            </w:r>
            <w:r>
              <w:rPr>
                <w:rFonts w:ascii="宋体" w:hAnsi="宋体" w:cs="宋体"/>
                <w:szCs w:val="21"/>
              </w:rPr>
              <w:t>1</w:t>
            </w:r>
            <w:r>
              <w:rPr>
                <w:rFonts w:hint="eastAsia" w:ascii="宋体" w:hAnsi="宋体" w:cs="宋体"/>
                <w:szCs w:val="21"/>
              </w:rPr>
              <w:t>分</w:t>
            </w:r>
            <w:r>
              <w:rPr>
                <w:rFonts w:ascii="宋体" w:cs="宋体"/>
                <w:szCs w:val="21"/>
              </w:rPr>
              <w:t>,</w:t>
            </w:r>
            <w:r>
              <w:rPr>
                <w:rFonts w:hint="eastAsia" w:ascii="宋体" w:hAnsi="宋体" w:cs="宋体"/>
                <w:szCs w:val="21"/>
              </w:rPr>
              <w:t>最多得</w:t>
            </w:r>
            <w:r>
              <w:rPr>
                <w:rFonts w:ascii="宋体" w:hAnsi="宋体" w:cs="宋体"/>
                <w:szCs w:val="21"/>
              </w:rPr>
              <w:t>3</w:t>
            </w:r>
            <w:r>
              <w:rPr>
                <w:rFonts w:hint="eastAsia" w:ascii="宋体" w:hAnsi="宋体" w:cs="宋体"/>
                <w:szCs w:val="21"/>
              </w:rPr>
              <w:t>分。</w:t>
            </w:r>
          </w:p>
        </w:tc>
        <w:tc>
          <w:tcPr>
            <w:tcW w:w="1637" w:type="dxa"/>
            <w:vAlign w:val="center"/>
          </w:tcPr>
          <w:p>
            <w:pPr>
              <w:spacing w:line="280" w:lineRule="exact"/>
              <w:jc w:val="center"/>
              <w:rPr>
                <w:rFonts w:ascii="宋体" w:cs="宋体"/>
                <w:szCs w:val="21"/>
              </w:rPr>
            </w:pPr>
            <w:r>
              <w:rPr>
                <w:rFonts w:hint="eastAsia" w:ascii="宋体" w:hAnsi="宋体" w:cs="宋体"/>
                <w:szCs w:val="21"/>
              </w:rPr>
              <w:t>提供承诺函，未提供承诺函的不得分</w:t>
            </w:r>
          </w:p>
        </w:tc>
        <w:tc>
          <w:tcPr>
            <w:tcW w:w="706" w:type="dxa"/>
            <w:vAlign w:val="center"/>
          </w:tcPr>
          <w:p>
            <w:pPr>
              <w:spacing w:line="280" w:lineRule="exact"/>
              <w:jc w:val="center"/>
              <w:rPr>
                <w:rFonts w:ascii="宋体" w:cs="宋体"/>
                <w:szCs w:val="21"/>
              </w:rPr>
            </w:pPr>
            <w:r>
              <w:rPr>
                <w:rFonts w:ascii="宋体" w:hAnsi="宋体" w:cs="宋体"/>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1" w:hRule="atLeast"/>
          <w:jc w:val="center"/>
        </w:trPr>
        <w:tc>
          <w:tcPr>
            <w:tcW w:w="921" w:type="dxa"/>
            <w:vMerge w:val="continue"/>
            <w:vAlign w:val="center"/>
          </w:tcPr>
          <w:p>
            <w:pPr>
              <w:spacing w:line="280" w:lineRule="exact"/>
              <w:jc w:val="center"/>
              <w:rPr>
                <w:rFonts w:ascii="宋体" w:cs="宋体"/>
                <w:spacing w:val="-12"/>
                <w:szCs w:val="21"/>
              </w:rPr>
            </w:pPr>
          </w:p>
        </w:tc>
        <w:tc>
          <w:tcPr>
            <w:tcW w:w="1091" w:type="dxa"/>
            <w:vAlign w:val="center"/>
          </w:tcPr>
          <w:p>
            <w:pPr>
              <w:spacing w:line="280" w:lineRule="exact"/>
              <w:jc w:val="center"/>
              <w:rPr>
                <w:rFonts w:ascii="宋体" w:cs="宋体"/>
                <w:szCs w:val="21"/>
              </w:rPr>
            </w:pPr>
            <w:r>
              <w:rPr>
                <w:rFonts w:hint="eastAsia" w:ascii="宋体" w:hAnsi="宋体" w:cs="宋体"/>
                <w:szCs w:val="21"/>
              </w:rPr>
              <w:t>售后服务优惠承诺</w:t>
            </w:r>
          </w:p>
        </w:tc>
        <w:tc>
          <w:tcPr>
            <w:tcW w:w="4832" w:type="dxa"/>
            <w:vAlign w:val="center"/>
          </w:tcPr>
          <w:p>
            <w:pPr>
              <w:snapToGrid w:val="0"/>
              <w:spacing w:line="280" w:lineRule="exact"/>
              <w:rPr>
                <w:rFonts w:ascii="宋体" w:cs="宋体"/>
                <w:szCs w:val="21"/>
              </w:rPr>
            </w:pPr>
            <w:r>
              <w:rPr>
                <w:rFonts w:ascii="宋体" w:hAnsi="宋体" w:cs="宋体"/>
                <w:szCs w:val="21"/>
              </w:rPr>
              <w:t xml:space="preserve">    </w:t>
            </w:r>
            <w:r>
              <w:rPr>
                <w:rFonts w:hint="eastAsia" w:ascii="宋体" w:hAnsi="宋体" w:cs="宋体"/>
                <w:szCs w:val="21"/>
              </w:rPr>
              <w:t>尺码调换、印字等服务方案全面周到且配件齐全、优惠幅度大、性价比高的</w:t>
            </w:r>
            <w:r>
              <w:rPr>
                <w:rFonts w:ascii="宋体" w:cs="宋体"/>
                <w:szCs w:val="21"/>
              </w:rPr>
              <w:t>,</w:t>
            </w:r>
            <w:r>
              <w:rPr>
                <w:rFonts w:hint="eastAsia" w:ascii="宋体" w:hAnsi="宋体" w:cs="宋体"/>
                <w:szCs w:val="21"/>
              </w:rPr>
              <w:t>得</w:t>
            </w:r>
            <w:r>
              <w:rPr>
                <w:rFonts w:ascii="宋体" w:hAnsi="宋体" w:cs="宋体"/>
                <w:szCs w:val="21"/>
              </w:rPr>
              <w:t>6</w:t>
            </w:r>
            <w:r>
              <w:rPr>
                <w:rFonts w:ascii="宋体" w:cs="宋体"/>
                <w:szCs w:val="21"/>
              </w:rPr>
              <w:t>-</w:t>
            </w:r>
            <w:r>
              <w:rPr>
                <w:rFonts w:ascii="宋体" w:hAnsi="宋体" w:cs="宋体"/>
                <w:szCs w:val="21"/>
              </w:rPr>
              <w:t>9</w:t>
            </w:r>
            <w:r>
              <w:rPr>
                <w:rFonts w:hint="eastAsia" w:ascii="宋体" w:hAnsi="宋体" w:cs="宋体"/>
                <w:szCs w:val="21"/>
              </w:rPr>
              <w:t>分，售后服务不全面或配件不齐全、优惠不明显、性价比一般的</w:t>
            </w:r>
            <w:r>
              <w:rPr>
                <w:rFonts w:ascii="宋体" w:cs="宋体"/>
                <w:szCs w:val="21"/>
              </w:rPr>
              <w:t>,</w:t>
            </w:r>
            <w:r>
              <w:rPr>
                <w:rFonts w:hint="eastAsia" w:ascii="宋体" w:hAnsi="宋体" w:cs="宋体"/>
                <w:szCs w:val="21"/>
              </w:rPr>
              <w:t>得</w:t>
            </w:r>
            <w:r>
              <w:rPr>
                <w:rFonts w:ascii="宋体" w:hAnsi="宋体" w:cs="宋体"/>
                <w:szCs w:val="21"/>
              </w:rPr>
              <w:t>3</w:t>
            </w:r>
            <w:r>
              <w:rPr>
                <w:rFonts w:ascii="宋体" w:cs="宋体"/>
                <w:szCs w:val="21"/>
              </w:rPr>
              <w:t>-</w:t>
            </w:r>
            <w:r>
              <w:rPr>
                <w:rFonts w:ascii="宋体" w:hAnsi="宋体" w:cs="宋体"/>
                <w:szCs w:val="21"/>
              </w:rPr>
              <w:t>5</w:t>
            </w:r>
            <w:r>
              <w:rPr>
                <w:rFonts w:hint="eastAsia" w:ascii="宋体" w:hAnsi="宋体" w:cs="宋体"/>
                <w:szCs w:val="21"/>
              </w:rPr>
              <w:t>分。</w:t>
            </w:r>
          </w:p>
        </w:tc>
        <w:tc>
          <w:tcPr>
            <w:tcW w:w="1637" w:type="dxa"/>
            <w:vAlign w:val="center"/>
          </w:tcPr>
          <w:p>
            <w:pPr>
              <w:spacing w:line="280" w:lineRule="exact"/>
              <w:jc w:val="center"/>
              <w:rPr>
                <w:rFonts w:ascii="宋体" w:cs="宋体"/>
                <w:szCs w:val="21"/>
              </w:rPr>
            </w:pPr>
            <w:r>
              <w:rPr>
                <w:rFonts w:hint="eastAsia" w:ascii="宋体" w:hAnsi="宋体" w:cs="宋体"/>
                <w:szCs w:val="21"/>
              </w:rPr>
              <w:t>提供售后服务方案装订入投标文件，未提供售后服务方案的不得分</w:t>
            </w:r>
          </w:p>
        </w:tc>
        <w:tc>
          <w:tcPr>
            <w:tcW w:w="706" w:type="dxa"/>
            <w:vAlign w:val="center"/>
          </w:tcPr>
          <w:p>
            <w:pPr>
              <w:spacing w:line="280" w:lineRule="exact"/>
              <w:jc w:val="center"/>
              <w:rPr>
                <w:rFonts w:ascii="宋体" w:cs="宋体"/>
                <w:szCs w:val="21"/>
              </w:rPr>
            </w:pPr>
            <w:r>
              <w:rPr>
                <w:rFonts w:ascii="宋体" w:hAnsi="宋体" w:cs="宋体"/>
                <w:szCs w:val="21"/>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1" w:hRule="atLeast"/>
          <w:jc w:val="center"/>
        </w:trPr>
        <w:tc>
          <w:tcPr>
            <w:tcW w:w="921" w:type="dxa"/>
            <w:vMerge w:val="continue"/>
            <w:vAlign w:val="center"/>
          </w:tcPr>
          <w:p>
            <w:pPr>
              <w:spacing w:line="280" w:lineRule="exact"/>
              <w:rPr>
                <w:rFonts w:ascii="宋体" w:cs="宋体"/>
                <w:spacing w:val="-12"/>
                <w:szCs w:val="21"/>
              </w:rPr>
            </w:pPr>
          </w:p>
        </w:tc>
        <w:tc>
          <w:tcPr>
            <w:tcW w:w="1091" w:type="dxa"/>
            <w:vAlign w:val="center"/>
          </w:tcPr>
          <w:p>
            <w:pPr>
              <w:spacing w:line="280" w:lineRule="exact"/>
              <w:jc w:val="center"/>
              <w:rPr>
                <w:rFonts w:ascii="宋体" w:cs="宋体"/>
                <w:szCs w:val="21"/>
              </w:rPr>
            </w:pPr>
            <w:r>
              <w:rPr>
                <w:rFonts w:hint="eastAsia" w:ascii="宋体" w:hAnsi="宋体" w:cs="宋体"/>
                <w:szCs w:val="21"/>
              </w:rPr>
              <w:t>成功案例及业绩</w:t>
            </w:r>
          </w:p>
        </w:tc>
        <w:tc>
          <w:tcPr>
            <w:tcW w:w="4832" w:type="dxa"/>
            <w:vAlign w:val="center"/>
          </w:tcPr>
          <w:p>
            <w:pPr>
              <w:spacing w:line="280" w:lineRule="exact"/>
              <w:ind w:firstLine="420" w:firstLineChars="200"/>
              <w:rPr>
                <w:rFonts w:ascii="宋体" w:cs="宋体"/>
                <w:szCs w:val="21"/>
              </w:rPr>
            </w:pPr>
            <w:r>
              <w:rPr>
                <w:rFonts w:hint="eastAsia" w:ascii="宋体" w:hAnsi="宋体" w:cs="宋体"/>
                <w:szCs w:val="21"/>
              </w:rPr>
              <w:t>投标人</w:t>
            </w:r>
            <w:r>
              <w:rPr>
                <w:rFonts w:ascii="宋体" w:hAnsi="宋体" w:cs="宋体"/>
                <w:szCs w:val="21"/>
              </w:rPr>
              <w:t>2014</w:t>
            </w:r>
            <w:r>
              <w:rPr>
                <w:rFonts w:hint="eastAsia" w:ascii="宋体" w:hAnsi="宋体" w:cs="宋体"/>
                <w:szCs w:val="21"/>
              </w:rPr>
              <w:t>年至今成功实施的合同金额在5万元及以上的同类项目（体育用品）业绩或案例，一项得</w:t>
            </w:r>
            <w:r>
              <w:rPr>
                <w:rFonts w:ascii="宋体" w:hAnsi="宋体" w:cs="宋体"/>
                <w:szCs w:val="21"/>
              </w:rPr>
              <w:t>4</w:t>
            </w:r>
            <w:r>
              <w:rPr>
                <w:rFonts w:hint="eastAsia" w:ascii="宋体" w:hAnsi="宋体" w:cs="宋体"/>
                <w:szCs w:val="21"/>
              </w:rPr>
              <w:t>分，满分</w:t>
            </w:r>
            <w:r>
              <w:rPr>
                <w:rFonts w:ascii="宋体" w:hAnsi="宋体" w:cs="宋体"/>
                <w:szCs w:val="21"/>
              </w:rPr>
              <w:t>8</w:t>
            </w:r>
            <w:r>
              <w:rPr>
                <w:rFonts w:hint="eastAsia" w:ascii="宋体" w:hAnsi="宋体" w:cs="宋体"/>
                <w:szCs w:val="21"/>
              </w:rPr>
              <w:t>分。</w:t>
            </w:r>
          </w:p>
          <w:p>
            <w:pPr>
              <w:spacing w:line="280" w:lineRule="exact"/>
              <w:ind w:firstLine="420" w:firstLineChars="200"/>
              <w:rPr>
                <w:rFonts w:ascii="宋体" w:cs="宋体"/>
                <w:szCs w:val="21"/>
              </w:rPr>
            </w:pPr>
            <w:r>
              <w:rPr>
                <w:rFonts w:hint="eastAsia" w:ascii="宋体" w:hAnsi="宋体" w:cs="宋体"/>
                <w:szCs w:val="21"/>
              </w:rPr>
              <w:t>注：投标人提供的业绩或案例均是非同类项目的</w:t>
            </w:r>
            <w:r>
              <w:rPr>
                <w:rFonts w:ascii="宋体" w:cs="宋体"/>
                <w:szCs w:val="21"/>
              </w:rPr>
              <w:t>,</w:t>
            </w:r>
            <w:r>
              <w:rPr>
                <w:rFonts w:hint="eastAsia" w:ascii="宋体" w:hAnsi="宋体" w:cs="宋体"/>
                <w:szCs w:val="21"/>
              </w:rPr>
              <w:t>本项不得分。</w:t>
            </w:r>
          </w:p>
        </w:tc>
        <w:tc>
          <w:tcPr>
            <w:tcW w:w="1637" w:type="dxa"/>
            <w:vAlign w:val="center"/>
          </w:tcPr>
          <w:p>
            <w:pPr>
              <w:autoSpaceDE w:val="0"/>
              <w:autoSpaceDN w:val="0"/>
              <w:adjustRightInd w:val="0"/>
              <w:spacing w:line="280" w:lineRule="exact"/>
              <w:jc w:val="center"/>
              <w:rPr>
                <w:rFonts w:ascii="宋体" w:cs="宋体"/>
                <w:szCs w:val="21"/>
              </w:rPr>
            </w:pPr>
            <w:r>
              <w:rPr>
                <w:rFonts w:hint="eastAsia" w:ascii="宋体" w:hAnsi="宋体" w:cs="宋体"/>
                <w:szCs w:val="21"/>
              </w:rPr>
              <w:t>（复印件加盖公章）</w:t>
            </w:r>
          </w:p>
        </w:tc>
        <w:tc>
          <w:tcPr>
            <w:tcW w:w="706" w:type="dxa"/>
            <w:vAlign w:val="center"/>
          </w:tcPr>
          <w:p>
            <w:pPr>
              <w:autoSpaceDE w:val="0"/>
              <w:autoSpaceDN w:val="0"/>
              <w:adjustRightInd w:val="0"/>
              <w:spacing w:line="280" w:lineRule="exact"/>
              <w:jc w:val="center"/>
              <w:rPr>
                <w:rFonts w:ascii="宋体" w:cs="宋体"/>
                <w:szCs w:val="21"/>
              </w:rPr>
            </w:pPr>
            <w:r>
              <w:rPr>
                <w:rFonts w:ascii="宋体" w:hAnsi="宋体" w:cs="宋体"/>
                <w:szCs w:val="21"/>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921" w:type="dxa"/>
            <w:vMerge w:val="continue"/>
            <w:vAlign w:val="center"/>
          </w:tcPr>
          <w:p>
            <w:pPr>
              <w:autoSpaceDE w:val="0"/>
              <w:autoSpaceDN w:val="0"/>
              <w:adjustRightInd w:val="0"/>
              <w:spacing w:line="280" w:lineRule="exact"/>
              <w:rPr>
                <w:rFonts w:ascii="宋体" w:cs="宋体"/>
                <w:spacing w:val="-12"/>
                <w:szCs w:val="21"/>
              </w:rPr>
            </w:pPr>
          </w:p>
        </w:tc>
        <w:tc>
          <w:tcPr>
            <w:tcW w:w="1091" w:type="dxa"/>
            <w:vAlign w:val="center"/>
          </w:tcPr>
          <w:p>
            <w:pPr>
              <w:spacing w:line="280" w:lineRule="exact"/>
              <w:rPr>
                <w:rFonts w:ascii="宋体" w:cs="宋体"/>
                <w:szCs w:val="21"/>
              </w:rPr>
            </w:pPr>
            <w:r>
              <w:rPr>
                <w:rFonts w:hint="eastAsia" w:ascii="宋体" w:hAnsi="宋体" w:cs="宋体"/>
                <w:szCs w:val="21"/>
              </w:rPr>
              <w:t>企业实力</w:t>
            </w:r>
          </w:p>
        </w:tc>
        <w:tc>
          <w:tcPr>
            <w:tcW w:w="4832" w:type="dxa"/>
            <w:vAlign w:val="center"/>
          </w:tcPr>
          <w:p>
            <w:pPr>
              <w:autoSpaceDE w:val="0"/>
              <w:autoSpaceDN w:val="0"/>
              <w:adjustRightInd w:val="0"/>
              <w:spacing w:line="280" w:lineRule="exact"/>
              <w:jc w:val="left"/>
              <w:rPr>
                <w:rFonts w:ascii="宋体" w:cs="宋体"/>
                <w:szCs w:val="21"/>
              </w:rPr>
            </w:pPr>
            <w:r>
              <w:rPr>
                <w:rFonts w:hint="eastAsia" w:ascii="宋体" w:hAnsi="宋体" w:cs="宋体"/>
                <w:szCs w:val="21"/>
              </w:rPr>
              <w:t>（制造商、经销商）投标人的生产能力及供货能力、所具备的资格和资信等。根据投标文件相关内容，评审专家按情况打分，最高</w:t>
            </w:r>
            <w:r>
              <w:rPr>
                <w:rFonts w:ascii="宋体" w:hAnsi="宋体" w:cs="宋体"/>
                <w:szCs w:val="21"/>
              </w:rPr>
              <w:t>3</w:t>
            </w:r>
            <w:r>
              <w:rPr>
                <w:rFonts w:hint="eastAsia" w:ascii="宋体" w:hAnsi="宋体" w:cs="宋体"/>
                <w:szCs w:val="21"/>
              </w:rPr>
              <w:t>分。</w:t>
            </w:r>
          </w:p>
        </w:tc>
        <w:tc>
          <w:tcPr>
            <w:tcW w:w="1637" w:type="dxa"/>
            <w:vAlign w:val="center"/>
          </w:tcPr>
          <w:p>
            <w:pPr>
              <w:autoSpaceDE w:val="0"/>
              <w:autoSpaceDN w:val="0"/>
              <w:adjustRightInd w:val="0"/>
              <w:spacing w:line="280" w:lineRule="exact"/>
              <w:jc w:val="center"/>
              <w:rPr>
                <w:rFonts w:ascii="宋体" w:cs="宋体"/>
                <w:szCs w:val="21"/>
              </w:rPr>
            </w:pPr>
            <w:r>
              <w:rPr>
                <w:rFonts w:hint="eastAsia" w:ascii="宋体" w:hAnsi="宋体" w:cs="宋体"/>
                <w:szCs w:val="21"/>
              </w:rPr>
              <w:t>投标文件相关内容</w:t>
            </w:r>
          </w:p>
        </w:tc>
        <w:tc>
          <w:tcPr>
            <w:tcW w:w="706" w:type="dxa"/>
          </w:tcPr>
          <w:p>
            <w:pPr>
              <w:autoSpaceDE w:val="0"/>
              <w:autoSpaceDN w:val="0"/>
              <w:adjustRightInd w:val="0"/>
              <w:spacing w:line="280" w:lineRule="exact"/>
              <w:jc w:val="center"/>
              <w:rPr>
                <w:rFonts w:ascii="宋体" w:cs="宋体"/>
                <w:szCs w:val="21"/>
              </w:rPr>
            </w:pPr>
          </w:p>
          <w:p>
            <w:pPr>
              <w:autoSpaceDE w:val="0"/>
              <w:autoSpaceDN w:val="0"/>
              <w:adjustRightInd w:val="0"/>
              <w:spacing w:line="280" w:lineRule="exact"/>
              <w:jc w:val="center"/>
              <w:rPr>
                <w:rFonts w:ascii="宋体" w:cs="宋体"/>
                <w:szCs w:val="21"/>
              </w:rPr>
            </w:pPr>
            <w:r>
              <w:rPr>
                <w:rFonts w:ascii="宋体" w:hAnsi="宋体" w:cs="宋体"/>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921" w:type="dxa"/>
            <w:tcBorders>
              <w:bottom w:val="single" w:color="auto" w:sz="12" w:space="0"/>
            </w:tcBorders>
            <w:vAlign w:val="center"/>
          </w:tcPr>
          <w:p>
            <w:pPr>
              <w:autoSpaceDE w:val="0"/>
              <w:autoSpaceDN w:val="0"/>
              <w:adjustRightInd w:val="0"/>
              <w:spacing w:line="280" w:lineRule="exact"/>
              <w:jc w:val="center"/>
              <w:rPr>
                <w:rFonts w:ascii="宋体" w:cs="宋体"/>
                <w:spacing w:val="-12"/>
                <w:szCs w:val="21"/>
              </w:rPr>
            </w:pPr>
            <w:r>
              <w:rPr>
                <w:rFonts w:hint="eastAsia" w:ascii="宋体" w:hAnsi="宋体" w:cs="宋体"/>
                <w:spacing w:val="-12"/>
                <w:szCs w:val="21"/>
              </w:rPr>
              <w:t>报价部分评分</w:t>
            </w:r>
          </w:p>
        </w:tc>
        <w:tc>
          <w:tcPr>
            <w:tcW w:w="5923" w:type="dxa"/>
            <w:gridSpan w:val="2"/>
            <w:tcBorders>
              <w:bottom w:val="single" w:color="auto" w:sz="12" w:space="0"/>
            </w:tcBorders>
            <w:vAlign w:val="center"/>
          </w:tcPr>
          <w:p>
            <w:pPr>
              <w:spacing w:line="280" w:lineRule="exact"/>
              <w:ind w:firstLine="420" w:firstLineChars="200"/>
              <w:rPr>
                <w:rFonts w:ascii="宋体" w:cs="宋体"/>
                <w:szCs w:val="21"/>
              </w:rPr>
            </w:pPr>
            <w:r>
              <w:rPr>
                <w:rFonts w:hint="eastAsia" w:ascii="宋体" w:hAnsi="宋体" w:cs="宋体"/>
                <w:szCs w:val="21"/>
              </w:rPr>
              <w:t>根据各投标人的最终有效投标报价，以满足招标文件要求且最终有效投标价格之和的平均价格为评标基准价，其价格分为满分</w:t>
            </w:r>
            <w:r>
              <w:rPr>
                <w:rFonts w:ascii="宋体" w:hAnsi="宋体" w:cs="宋体"/>
                <w:szCs w:val="21"/>
              </w:rPr>
              <w:t>40</w:t>
            </w:r>
            <w:r>
              <w:rPr>
                <w:rFonts w:hint="eastAsia" w:ascii="宋体" w:hAnsi="宋体" w:cs="宋体"/>
                <w:szCs w:val="21"/>
              </w:rPr>
              <w:t>分。</w:t>
            </w:r>
            <w:r>
              <w:rPr>
                <w:rFonts w:hint="eastAsia" w:ascii="宋体" w:hAnsi="宋体" w:cs="宋体"/>
                <w:color w:val="auto"/>
                <w:szCs w:val="21"/>
              </w:rPr>
              <w:t>投标人投标报价低于平均价格的该项得分为40分，高于平均价的</w:t>
            </w:r>
            <w:r>
              <w:rPr>
                <w:rFonts w:hint="eastAsia" w:ascii="宋体" w:hAnsi="宋体" w:cs="宋体"/>
                <w:szCs w:val="21"/>
              </w:rPr>
              <w:t>价格分统一按照下列公式计算：投标报价得分</w:t>
            </w:r>
            <w:r>
              <w:rPr>
                <w:rFonts w:ascii="宋体" w:hAnsi="宋体" w:cs="宋体"/>
                <w:szCs w:val="21"/>
              </w:rPr>
              <w:t>=(</w:t>
            </w:r>
            <w:r>
              <w:rPr>
                <w:rFonts w:hint="eastAsia" w:ascii="宋体" w:hAnsi="宋体" w:cs="宋体"/>
                <w:szCs w:val="21"/>
              </w:rPr>
              <w:t>评标基准价／投标报价</w:t>
            </w:r>
            <w:r>
              <w:rPr>
                <w:rFonts w:ascii="宋体" w:hAnsi="宋体" w:cs="宋体"/>
                <w:szCs w:val="21"/>
              </w:rPr>
              <w:t>)</w:t>
            </w:r>
            <w:r>
              <w:rPr>
                <w:rFonts w:hint="eastAsia" w:ascii="宋体" w:hAnsi="宋体" w:cs="宋体"/>
                <w:szCs w:val="21"/>
              </w:rPr>
              <w:t>×</w:t>
            </w:r>
            <w:r>
              <w:rPr>
                <w:rFonts w:ascii="宋体" w:hAnsi="宋体" w:cs="宋体"/>
                <w:szCs w:val="21"/>
              </w:rPr>
              <w:t>40</w:t>
            </w:r>
            <w:r>
              <w:rPr>
                <w:rFonts w:hint="eastAsia" w:ascii="宋体" w:hAnsi="宋体" w:cs="宋体"/>
                <w:szCs w:val="21"/>
              </w:rPr>
              <w:t>（四舍五入，精确到小数点后二位）。</w:t>
            </w:r>
          </w:p>
        </w:tc>
        <w:tc>
          <w:tcPr>
            <w:tcW w:w="1637" w:type="dxa"/>
            <w:tcBorders>
              <w:bottom w:val="single" w:color="auto" w:sz="12" w:space="0"/>
            </w:tcBorders>
            <w:vAlign w:val="center"/>
          </w:tcPr>
          <w:p>
            <w:pPr>
              <w:autoSpaceDE w:val="0"/>
              <w:autoSpaceDN w:val="0"/>
              <w:adjustRightInd w:val="0"/>
              <w:spacing w:line="280" w:lineRule="exact"/>
              <w:jc w:val="center"/>
              <w:rPr>
                <w:rFonts w:ascii="宋体" w:cs="宋体"/>
                <w:szCs w:val="21"/>
              </w:rPr>
            </w:pPr>
            <w:r>
              <w:rPr>
                <w:rFonts w:hint="eastAsia" w:ascii="宋体" w:hAnsi="宋体" w:cs="宋体"/>
                <w:szCs w:val="21"/>
              </w:rPr>
              <w:t>以报价表中的金额为准</w:t>
            </w:r>
          </w:p>
        </w:tc>
        <w:tc>
          <w:tcPr>
            <w:tcW w:w="706" w:type="dxa"/>
            <w:tcBorders>
              <w:bottom w:val="single" w:color="auto" w:sz="12" w:space="0"/>
            </w:tcBorders>
          </w:tcPr>
          <w:p>
            <w:pPr>
              <w:autoSpaceDE w:val="0"/>
              <w:autoSpaceDN w:val="0"/>
              <w:adjustRightInd w:val="0"/>
              <w:spacing w:line="280" w:lineRule="exact"/>
              <w:rPr>
                <w:rFonts w:ascii="宋体" w:cs="宋体"/>
                <w:szCs w:val="21"/>
              </w:rPr>
            </w:pPr>
          </w:p>
          <w:p>
            <w:pPr>
              <w:autoSpaceDE w:val="0"/>
              <w:autoSpaceDN w:val="0"/>
              <w:adjustRightInd w:val="0"/>
              <w:spacing w:line="280" w:lineRule="exact"/>
              <w:jc w:val="center"/>
              <w:rPr>
                <w:rFonts w:ascii="宋体" w:cs="宋体"/>
                <w:szCs w:val="21"/>
              </w:rPr>
            </w:pPr>
            <w:r>
              <w:rPr>
                <w:rFonts w:ascii="宋体" w:hAnsi="宋体" w:cs="宋体"/>
                <w:szCs w:val="21"/>
              </w:rPr>
              <w:t>40</w:t>
            </w:r>
          </w:p>
        </w:tc>
      </w:tr>
    </w:tbl>
    <w:p>
      <w:pPr>
        <w:pStyle w:val="5"/>
        <w:widowControl/>
        <w:spacing w:before="0" w:beforeAutospacing="0" w:after="0" w:afterAutospacing="0" w:line="420" w:lineRule="exact"/>
        <w:ind w:firstLine="480" w:firstLineChars="200"/>
        <w:rPr>
          <w:color w:val="auto"/>
        </w:rPr>
      </w:pPr>
      <w:r>
        <w:rPr>
          <w:color w:val="auto"/>
        </w:rPr>
        <w:t>（五）其它事项</w:t>
      </w:r>
    </w:p>
    <w:p>
      <w:pPr>
        <w:pStyle w:val="5"/>
        <w:widowControl/>
        <w:spacing w:before="0" w:beforeAutospacing="0" w:after="0" w:afterAutospacing="0" w:line="420" w:lineRule="exact"/>
        <w:ind w:firstLine="480" w:firstLineChars="200"/>
      </w:pPr>
      <w:r>
        <w:rPr>
          <w:rFonts w:hint="eastAsia"/>
          <w:color w:val="auto"/>
        </w:rPr>
        <w:t>1.</w:t>
      </w:r>
      <w:r>
        <w:t>中标结果将在铜陵学院国资处网站予以公布。</w:t>
      </w:r>
    </w:p>
    <w:p>
      <w:pPr>
        <w:pStyle w:val="5"/>
        <w:widowControl/>
        <w:spacing w:before="0" w:beforeAutospacing="0" w:after="0" w:afterAutospacing="0" w:line="420" w:lineRule="exact"/>
        <w:ind w:firstLine="480" w:firstLineChars="200"/>
      </w:pPr>
      <w:r>
        <w:rPr>
          <w:rFonts w:hint="eastAsia"/>
          <w:color w:val="auto"/>
        </w:rPr>
        <w:t>2.</w:t>
      </w:r>
      <w:r>
        <w:t>中标单位应及时与招标方联系，以满足我校</w:t>
      </w:r>
      <w:r>
        <w:rPr>
          <w:rFonts w:hint="eastAsia"/>
        </w:rPr>
        <w:t>学生参加</w:t>
      </w:r>
      <w:r>
        <w:rPr>
          <w:rFonts w:hint="eastAsia"/>
          <w:color w:val="auto"/>
        </w:rPr>
        <w:t>省运会</w:t>
      </w:r>
      <w:r>
        <w:rPr>
          <w:rFonts w:hint="eastAsia"/>
        </w:rPr>
        <w:t>比赛</w:t>
      </w:r>
      <w:r>
        <w:t>需要为前提，进一步洽谈履约及相关事宜。如拟中标单位对中标结果不能及时作出响应，或响应程度可能影响到招标方的需要，招标方有权对该单位作出不予中标处理，从而选择其它的候选单位作为中标单位。</w:t>
      </w:r>
    </w:p>
    <w:p>
      <w:pPr>
        <w:pStyle w:val="5"/>
        <w:widowControl/>
        <w:spacing w:before="0" w:beforeAutospacing="0" w:after="0" w:afterAutospacing="0" w:line="420" w:lineRule="exact"/>
        <w:ind w:firstLine="482" w:firstLineChars="200"/>
        <w:rPr>
          <w:b/>
        </w:rPr>
      </w:pPr>
      <w:r>
        <w:rPr>
          <w:b/>
          <w:szCs w:val="24"/>
        </w:rPr>
        <w:t>五、付款方式</w:t>
      </w:r>
      <w:r>
        <w:rPr>
          <w:rFonts w:hint="eastAsia"/>
          <w:b/>
          <w:szCs w:val="24"/>
        </w:rPr>
        <w:t>、质保</w:t>
      </w:r>
      <w:r>
        <w:rPr>
          <w:b/>
          <w:szCs w:val="24"/>
        </w:rPr>
        <w:t>及供货期要求</w:t>
      </w:r>
    </w:p>
    <w:p>
      <w:pPr>
        <w:pStyle w:val="5"/>
        <w:widowControl/>
        <w:spacing w:before="0" w:beforeAutospacing="0" w:after="0" w:afterAutospacing="0" w:line="420" w:lineRule="exact"/>
        <w:ind w:firstLine="480" w:firstLineChars="200"/>
        <w:rPr>
          <w:szCs w:val="24"/>
        </w:rPr>
      </w:pPr>
      <w:r>
        <w:rPr>
          <w:szCs w:val="24"/>
        </w:rPr>
        <w:t>1</w:t>
      </w:r>
      <w:r>
        <w:rPr>
          <w:rFonts w:hint="eastAsia"/>
          <w:szCs w:val="24"/>
        </w:rPr>
        <w:t>.</w:t>
      </w:r>
      <w:r>
        <w:rPr>
          <w:szCs w:val="24"/>
        </w:rPr>
        <w:t>付款方式：不支付预付款，全部产品按招标单位要求送达指定地点并</w:t>
      </w:r>
      <w:r>
        <w:rPr>
          <w:rFonts w:hint="eastAsia"/>
          <w:szCs w:val="24"/>
        </w:rPr>
        <w:t>交付</w:t>
      </w:r>
      <w:r>
        <w:rPr>
          <w:szCs w:val="24"/>
        </w:rPr>
        <w:t>完毕，经验收合格后一个月内根据中标单位提供的完整、有效的正规全额发票支付</w:t>
      </w:r>
      <w:r>
        <w:rPr>
          <w:rFonts w:hint="eastAsia"/>
          <w:szCs w:val="24"/>
        </w:rPr>
        <w:t>合同款95%，余款5%作为质量保证金。</w:t>
      </w:r>
    </w:p>
    <w:p>
      <w:pPr>
        <w:pStyle w:val="5"/>
        <w:widowControl/>
        <w:spacing w:before="0" w:beforeAutospacing="0" w:after="0" w:afterAutospacing="0" w:line="420" w:lineRule="exact"/>
        <w:ind w:firstLine="480" w:firstLineChars="200"/>
      </w:pPr>
      <w:r>
        <w:rPr>
          <w:rFonts w:hint="eastAsia"/>
          <w:szCs w:val="24"/>
        </w:rPr>
        <w:t>2.服装质保期6个月，期满无质量问题无息退还质保金</w:t>
      </w:r>
      <w:r>
        <w:rPr>
          <w:szCs w:val="24"/>
        </w:rPr>
        <w:t>。</w:t>
      </w:r>
    </w:p>
    <w:p>
      <w:pPr>
        <w:pStyle w:val="5"/>
        <w:widowControl/>
        <w:spacing w:before="0" w:beforeAutospacing="0" w:after="0" w:afterAutospacing="0" w:line="420" w:lineRule="exact"/>
        <w:ind w:firstLine="480" w:firstLineChars="200"/>
      </w:pPr>
      <w:r>
        <w:rPr>
          <w:rFonts w:hint="eastAsia"/>
          <w:szCs w:val="24"/>
        </w:rPr>
        <w:t>3.</w:t>
      </w:r>
      <w:r>
        <w:rPr>
          <w:szCs w:val="24"/>
        </w:rPr>
        <w:t>供货期要求：所有</w:t>
      </w:r>
      <w:r>
        <w:rPr>
          <w:rFonts w:hint="eastAsia"/>
          <w:szCs w:val="24"/>
        </w:rPr>
        <w:t>服装</w:t>
      </w:r>
      <w:r>
        <w:rPr>
          <w:szCs w:val="24"/>
        </w:rPr>
        <w:t>须于</w:t>
      </w:r>
      <w:r>
        <w:rPr>
          <w:rFonts w:hint="eastAsia"/>
          <w:szCs w:val="24"/>
        </w:rPr>
        <w:t>规定时间内</w:t>
      </w:r>
      <w:r>
        <w:rPr>
          <w:szCs w:val="24"/>
        </w:rPr>
        <w:t>送达招标人指定地点，确保验收合格并交付正常使用。</w:t>
      </w:r>
    </w:p>
    <w:p>
      <w:pPr>
        <w:pStyle w:val="5"/>
        <w:widowControl/>
        <w:spacing w:before="0" w:beforeAutospacing="0" w:after="0" w:afterAutospacing="0" w:line="420" w:lineRule="exact"/>
        <w:ind w:firstLine="482" w:firstLineChars="200"/>
        <w:rPr>
          <w:b/>
        </w:rPr>
      </w:pPr>
      <w:r>
        <w:rPr>
          <w:b/>
          <w:szCs w:val="24"/>
        </w:rPr>
        <w:t>六、业务联系</w:t>
      </w:r>
      <w:r>
        <w:rPr>
          <w:rFonts w:hint="eastAsia"/>
          <w:b/>
          <w:szCs w:val="24"/>
        </w:rPr>
        <w:t xml:space="preserve"> </w:t>
      </w:r>
    </w:p>
    <w:p>
      <w:pPr>
        <w:pStyle w:val="5"/>
        <w:widowControl/>
        <w:spacing w:before="0" w:beforeAutospacing="0" w:after="0" w:afterAutospacing="0" w:line="420" w:lineRule="exact"/>
        <w:ind w:firstLine="480" w:firstLineChars="200"/>
      </w:pPr>
      <w:r>
        <w:rPr>
          <w:szCs w:val="24"/>
        </w:rPr>
        <w:t>1</w:t>
      </w:r>
      <w:r>
        <w:rPr>
          <w:rFonts w:hint="eastAsia"/>
          <w:szCs w:val="24"/>
        </w:rPr>
        <w:t>.</w:t>
      </w:r>
      <w:r>
        <w:rPr>
          <w:szCs w:val="24"/>
        </w:rPr>
        <w:t>招标采购负责部门：涉及本询价函中的商务部分，请与我校国资处</w:t>
      </w:r>
      <w:r>
        <w:rPr>
          <w:rFonts w:hint="eastAsia"/>
          <w:szCs w:val="24"/>
        </w:rPr>
        <w:t>程</w:t>
      </w:r>
      <w:r>
        <w:rPr>
          <w:szCs w:val="24"/>
        </w:rPr>
        <w:t>老师（0562-58810</w:t>
      </w:r>
      <w:r>
        <w:rPr>
          <w:rFonts w:hint="eastAsia"/>
          <w:szCs w:val="24"/>
        </w:rPr>
        <w:t>58</w:t>
      </w:r>
      <w:r>
        <w:rPr>
          <w:szCs w:val="24"/>
        </w:rPr>
        <w:t>、图书馆80</w:t>
      </w:r>
      <w:r>
        <w:rPr>
          <w:rFonts w:hint="eastAsia"/>
          <w:szCs w:val="24"/>
        </w:rPr>
        <w:t>7</w:t>
      </w:r>
      <w:r>
        <w:rPr>
          <w:szCs w:val="24"/>
        </w:rPr>
        <w:t>室）联系。</w:t>
      </w:r>
    </w:p>
    <w:p>
      <w:pPr>
        <w:pStyle w:val="5"/>
        <w:widowControl/>
        <w:spacing w:before="0" w:beforeAutospacing="0" w:after="0" w:afterAutospacing="0" w:line="420" w:lineRule="exact"/>
        <w:ind w:firstLine="480" w:firstLineChars="200"/>
      </w:pPr>
      <w:r>
        <w:rPr>
          <w:szCs w:val="24"/>
        </w:rPr>
        <w:t>2</w:t>
      </w:r>
      <w:r>
        <w:rPr>
          <w:rFonts w:hint="eastAsia"/>
          <w:szCs w:val="24"/>
        </w:rPr>
        <w:t>.</w:t>
      </w:r>
      <w:r>
        <w:rPr>
          <w:szCs w:val="24"/>
        </w:rPr>
        <w:t>使用（主管）部门：本项目为我校</w:t>
      </w:r>
      <w:r>
        <w:rPr>
          <w:rFonts w:hint="eastAsia"/>
          <w:szCs w:val="24"/>
        </w:rPr>
        <w:t>体育部</w:t>
      </w:r>
      <w:r>
        <w:rPr>
          <w:szCs w:val="24"/>
        </w:rPr>
        <w:t>使用项目，如需了解项目的具体情况、业务咨询等，请与</w:t>
      </w:r>
      <w:r>
        <w:rPr>
          <w:rFonts w:hint="eastAsia"/>
          <w:szCs w:val="24"/>
        </w:rPr>
        <w:t>体育部张</w:t>
      </w:r>
      <w:r>
        <w:rPr>
          <w:szCs w:val="24"/>
        </w:rPr>
        <w:t>老师（</w:t>
      </w:r>
      <w:r>
        <w:rPr>
          <w:rFonts w:hint="eastAsia"/>
          <w:szCs w:val="24"/>
        </w:rPr>
        <w:t>0562-5882026</w:t>
      </w:r>
      <w:r>
        <w:rPr>
          <w:szCs w:val="24"/>
        </w:rPr>
        <w:t>）</w:t>
      </w:r>
      <w:r>
        <w:rPr>
          <w:rFonts w:hint="eastAsia"/>
          <w:szCs w:val="24"/>
        </w:rPr>
        <w:t>、唐老师（13955916789）</w:t>
      </w:r>
      <w:r>
        <w:rPr>
          <w:szCs w:val="24"/>
        </w:rPr>
        <w:t>联系。</w:t>
      </w:r>
    </w:p>
    <w:p>
      <w:pPr>
        <w:pStyle w:val="5"/>
        <w:widowControl/>
        <w:spacing w:before="0" w:beforeAutospacing="0" w:after="0" w:afterAutospacing="0" w:line="420" w:lineRule="exact"/>
        <w:ind w:firstLine="482" w:firstLineChars="200"/>
        <w:rPr>
          <w:b/>
        </w:rPr>
      </w:pPr>
      <w:r>
        <w:rPr>
          <w:b/>
          <w:szCs w:val="24"/>
        </w:rPr>
        <w:t>七、监督电话</w:t>
      </w:r>
      <w:r>
        <w:rPr>
          <w:rFonts w:hint="eastAsia"/>
          <w:b/>
          <w:szCs w:val="24"/>
        </w:rPr>
        <w:t>和邮箱</w:t>
      </w:r>
    </w:p>
    <w:p>
      <w:pPr>
        <w:pStyle w:val="5"/>
        <w:widowControl/>
        <w:spacing w:before="0" w:beforeAutospacing="0" w:after="0" w:afterAutospacing="0" w:line="420" w:lineRule="exact"/>
        <w:ind w:firstLine="480" w:firstLineChars="200"/>
        <w:rPr>
          <w:szCs w:val="24"/>
        </w:rPr>
      </w:pPr>
      <w:r>
        <w:rPr>
          <w:szCs w:val="24"/>
        </w:rPr>
        <w:t>铜陵学院监审处：0562-5881977</w:t>
      </w:r>
      <w:r>
        <w:rPr>
          <w:rFonts w:hint="eastAsia"/>
          <w:szCs w:val="24"/>
        </w:rPr>
        <w:t xml:space="preserve">  0562-5881997；yje@tlu.edu.cn</w:t>
      </w:r>
    </w:p>
    <w:p>
      <w:pPr>
        <w:spacing w:line="420" w:lineRule="exact"/>
        <w:ind w:firstLine="560" w:firstLineChars="200"/>
        <w:jc w:val="left"/>
        <w:rPr>
          <w:sz w:val="28"/>
          <w:szCs w:val="28"/>
        </w:rPr>
      </w:pPr>
      <w:r>
        <w:rPr>
          <w:rFonts w:hint="eastAsia"/>
          <w:sz w:val="28"/>
          <w:szCs w:val="28"/>
        </w:rPr>
        <w:t xml:space="preserve"> </w:t>
      </w:r>
    </w:p>
    <w:p>
      <w:pPr>
        <w:spacing w:line="420" w:lineRule="exact"/>
        <w:ind w:firstLine="6000" w:firstLineChars="2500"/>
        <w:jc w:val="left"/>
        <w:rPr>
          <w:sz w:val="24"/>
          <w:szCs w:val="24"/>
        </w:rPr>
      </w:pPr>
      <w:r>
        <w:rPr>
          <w:rFonts w:hint="eastAsia"/>
          <w:sz w:val="24"/>
          <w:szCs w:val="24"/>
        </w:rPr>
        <w:t>铜陵学院</w:t>
      </w:r>
    </w:p>
    <w:p>
      <w:pPr>
        <w:spacing w:line="420" w:lineRule="exact"/>
        <w:ind w:firstLine="5280" w:firstLineChars="2200"/>
        <w:jc w:val="left"/>
        <w:rPr>
          <w:sz w:val="24"/>
          <w:szCs w:val="24"/>
        </w:rPr>
      </w:pPr>
      <w:r>
        <w:rPr>
          <w:rFonts w:hint="eastAsia"/>
          <w:sz w:val="24"/>
          <w:szCs w:val="24"/>
        </w:rPr>
        <w:t>二〇一八年四月二十四日</w:t>
      </w:r>
    </w:p>
    <w:p>
      <w:pPr>
        <w:spacing w:line="500" w:lineRule="exact"/>
        <w:sectPr>
          <w:pgSz w:w="11906" w:h="16838"/>
          <w:pgMar w:top="1361" w:right="1361" w:bottom="1361" w:left="1361" w:header="851" w:footer="992" w:gutter="0"/>
          <w:cols w:space="425" w:num="1"/>
          <w:docGrid w:type="lines" w:linePitch="312" w:charSpace="0"/>
        </w:sectPr>
      </w:pPr>
    </w:p>
    <w:p>
      <w:pPr>
        <w:spacing w:line="360" w:lineRule="auto"/>
        <w:jc w:val="center"/>
        <w:rPr>
          <w:rFonts w:ascii="宋体" w:hAnsi="宋体" w:eastAsia="宋体" w:cs="宋体"/>
          <w:b/>
          <w:bCs/>
          <w:sz w:val="28"/>
          <w:szCs w:val="28"/>
        </w:rPr>
      </w:pPr>
      <w:r>
        <w:rPr>
          <w:rFonts w:hint="eastAsia" w:ascii="宋体" w:hAnsi="宋体" w:cs="宋体"/>
          <w:b/>
          <w:bCs/>
          <w:color w:val="000000"/>
          <w:kern w:val="0"/>
          <w:szCs w:val="21"/>
        </w:rPr>
        <w:t>附件：</w:t>
      </w:r>
      <w:r>
        <w:rPr>
          <w:rFonts w:hint="eastAsia" w:ascii="宋体" w:hAnsi="宋体" w:eastAsia="宋体" w:cs="宋体"/>
          <w:b/>
          <w:bCs/>
          <w:sz w:val="28"/>
          <w:szCs w:val="28"/>
        </w:rPr>
        <w:t>铜陵学院2018年参加安徽省运会高校部足球、篮球、田径、健美操比赛服装等采购目投标报价表</w:t>
      </w:r>
    </w:p>
    <w:p>
      <w:pPr>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 xml:space="preserve">（项目编号:tlxyzb[2018] </w:t>
      </w:r>
      <w:r>
        <w:rPr>
          <w:rFonts w:hint="eastAsia" w:ascii="宋体" w:hAnsi="宋体" w:cs="宋体"/>
          <w:b/>
          <w:bCs/>
          <w:color w:val="000000"/>
          <w:kern w:val="0"/>
          <w:szCs w:val="21"/>
          <w:lang w:val="en-US" w:eastAsia="zh-CN"/>
        </w:rPr>
        <w:t>33</w:t>
      </w:r>
      <w:bookmarkStart w:id="0" w:name="_GoBack"/>
      <w:bookmarkEnd w:id="0"/>
      <w:r>
        <w:rPr>
          <w:rFonts w:hint="eastAsia" w:ascii="宋体" w:hAnsi="宋体" w:cs="宋体"/>
          <w:b/>
          <w:bCs/>
          <w:color w:val="000000"/>
          <w:kern w:val="0"/>
          <w:szCs w:val="21"/>
        </w:rPr>
        <w:t>号）</w:t>
      </w:r>
    </w:p>
    <w:tbl>
      <w:tblPr>
        <w:tblStyle w:val="7"/>
        <w:tblW w:w="13880" w:type="dxa"/>
        <w:tblInd w:w="0" w:type="dxa"/>
        <w:tblLayout w:type="fixed"/>
        <w:tblCellMar>
          <w:top w:w="0" w:type="dxa"/>
          <w:left w:w="108" w:type="dxa"/>
          <w:bottom w:w="0" w:type="dxa"/>
          <w:right w:w="108" w:type="dxa"/>
        </w:tblCellMar>
      </w:tblPr>
      <w:tblGrid>
        <w:gridCol w:w="817"/>
        <w:gridCol w:w="1651"/>
        <w:gridCol w:w="1752"/>
        <w:gridCol w:w="2268"/>
        <w:gridCol w:w="912"/>
        <w:gridCol w:w="1344"/>
        <w:gridCol w:w="1572"/>
        <w:gridCol w:w="1452"/>
        <w:gridCol w:w="2112"/>
      </w:tblGrid>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序号</w:t>
            </w:r>
          </w:p>
        </w:tc>
        <w:tc>
          <w:tcPr>
            <w:tcW w:w="1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类别</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产品名称</w:t>
            </w:r>
          </w:p>
        </w:tc>
        <w:tc>
          <w:tcPr>
            <w:tcW w:w="226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品牌</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单位</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计划数量</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单价(元)</w:t>
            </w: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合计(元)</w:t>
            </w: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60" w:lineRule="exact"/>
              <w:jc w:val="center"/>
              <w:rPr>
                <w:rFonts w:ascii="宋体" w:hAnsi="宋体" w:cs="宋体"/>
                <w:b/>
                <w:color w:val="000000"/>
                <w:kern w:val="0"/>
                <w:szCs w:val="21"/>
              </w:rPr>
            </w:pPr>
            <w:r>
              <w:rPr>
                <w:rFonts w:hint="eastAsia" w:ascii="宋体" w:hAnsi="宋体" w:cs="宋体"/>
                <w:b/>
                <w:color w:val="000000"/>
                <w:kern w:val="0"/>
                <w:szCs w:val="21"/>
              </w:rPr>
              <w:t>备注</w:t>
            </w: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auto"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1</w:t>
            </w:r>
          </w:p>
        </w:tc>
        <w:tc>
          <w:tcPr>
            <w:tcW w:w="1651" w:type="dxa"/>
            <w:vMerge w:val="restart"/>
            <w:tcBorders>
              <w:top w:val="single" w:color="000000" w:sz="4" w:space="0"/>
              <w:left w:val="single" w:color="auto" w:sz="4" w:space="0"/>
              <w:right w:val="single" w:color="000000" w:sz="4" w:space="0"/>
            </w:tcBorders>
            <w:vAlign w:val="center"/>
          </w:tcPr>
          <w:p>
            <w:pPr>
              <w:pStyle w:val="5"/>
              <w:widowControl/>
              <w:spacing w:before="0" w:beforeAutospacing="0" w:after="0" w:afterAutospacing="0" w:line="480" w:lineRule="exact"/>
              <w:jc w:val="center"/>
              <w:rPr>
                <w:sz w:val="21"/>
                <w:szCs w:val="21"/>
              </w:rPr>
            </w:pPr>
            <w:r>
              <w:rPr>
                <w:rFonts w:hint="eastAsia"/>
                <w:sz w:val="18"/>
                <w:szCs w:val="18"/>
              </w:rPr>
              <w:t>比赛服装</w:t>
            </w: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21"/>
                <w:szCs w:val="21"/>
              </w:rPr>
              <w:t>篮球（短款）</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21"/>
                <w:szCs w:val="21"/>
              </w:rPr>
              <w:t>套</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21"/>
                <w:szCs w:val="21"/>
              </w:rPr>
              <w:t>48</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提供样品</w:t>
            </w: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auto"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2</w:t>
            </w:r>
          </w:p>
        </w:tc>
        <w:tc>
          <w:tcPr>
            <w:tcW w:w="1651" w:type="dxa"/>
            <w:vMerge w:val="continue"/>
            <w:tcBorders>
              <w:left w:val="single" w:color="auto" w:sz="4" w:space="0"/>
              <w:right w:val="single" w:color="000000" w:sz="4" w:space="0"/>
            </w:tcBorders>
            <w:vAlign w:val="center"/>
          </w:tcPr>
          <w:p>
            <w:pPr>
              <w:pStyle w:val="5"/>
              <w:spacing w:line="500" w:lineRule="exact"/>
              <w:jc w:val="center"/>
              <w:rPr>
                <w:rFonts w:ascii="宋体" w:hAnsi="宋体"/>
                <w:sz w:val="21"/>
                <w:szCs w:val="21"/>
              </w:rPr>
            </w:pP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足球（短款）</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ascii="宋体" w:hAnsi="宋体"/>
                <w:sz w:val="21"/>
                <w:szCs w:val="21"/>
              </w:rPr>
              <w:t>套</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40</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auto"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3</w:t>
            </w:r>
          </w:p>
        </w:tc>
        <w:tc>
          <w:tcPr>
            <w:tcW w:w="1651" w:type="dxa"/>
            <w:vMerge w:val="continue"/>
            <w:tcBorders>
              <w:left w:val="single" w:color="auto" w:sz="4" w:space="0"/>
              <w:right w:val="single" w:color="000000" w:sz="4" w:space="0"/>
            </w:tcBorders>
            <w:vAlign w:val="center"/>
          </w:tcPr>
          <w:p>
            <w:pPr>
              <w:pStyle w:val="5"/>
              <w:widowControl/>
              <w:spacing w:line="500" w:lineRule="exact"/>
              <w:jc w:val="center"/>
              <w:rPr>
                <w:rFonts w:ascii="宋体" w:hAnsi="宋体"/>
                <w:sz w:val="21"/>
                <w:szCs w:val="21"/>
              </w:rPr>
            </w:pP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田径（短款）</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ascii="宋体" w:hAnsi="宋体"/>
                <w:sz w:val="21"/>
                <w:szCs w:val="21"/>
              </w:rPr>
              <w:t>套</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40</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提供样品</w:t>
            </w: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auto"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4</w:t>
            </w:r>
          </w:p>
        </w:tc>
        <w:tc>
          <w:tcPr>
            <w:tcW w:w="1651" w:type="dxa"/>
            <w:vMerge w:val="continue"/>
            <w:tcBorders>
              <w:left w:val="single" w:color="auto" w:sz="4" w:space="0"/>
              <w:right w:val="single" w:color="000000" w:sz="4" w:space="0"/>
            </w:tcBorders>
            <w:vAlign w:val="center"/>
          </w:tcPr>
          <w:p>
            <w:pPr>
              <w:pStyle w:val="5"/>
              <w:widowControl/>
              <w:spacing w:line="500" w:lineRule="exact"/>
              <w:jc w:val="center"/>
              <w:rPr>
                <w:rFonts w:ascii="宋体" w:hAnsi="宋体"/>
                <w:sz w:val="21"/>
                <w:szCs w:val="21"/>
              </w:rPr>
            </w:pP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健美操（定制）</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18"/>
                <w:szCs w:val="18"/>
              </w:rPr>
              <w:t>套</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8</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r>
              <w:rPr>
                <w:rFonts w:hint="eastAsia"/>
                <w:sz w:val="18"/>
                <w:szCs w:val="18"/>
              </w:rPr>
              <w:t>（定制）布料丝绒印花</w:t>
            </w: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auto" w:sz="4" w:space="0"/>
              <w:right w:val="single" w:color="auto"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5</w:t>
            </w:r>
          </w:p>
        </w:tc>
        <w:tc>
          <w:tcPr>
            <w:tcW w:w="1651" w:type="dxa"/>
            <w:vMerge w:val="continue"/>
            <w:tcBorders>
              <w:left w:val="single" w:color="auto" w:sz="4" w:space="0"/>
              <w:bottom w:val="single" w:color="auto" w:sz="4" w:space="0"/>
              <w:right w:val="single" w:color="000000" w:sz="4" w:space="0"/>
            </w:tcBorders>
            <w:vAlign w:val="center"/>
          </w:tcPr>
          <w:p>
            <w:pPr>
              <w:pStyle w:val="5"/>
              <w:widowControl/>
              <w:spacing w:line="500" w:lineRule="exact"/>
              <w:jc w:val="center"/>
              <w:rPr>
                <w:rFonts w:ascii="宋体" w:hAnsi="宋体"/>
                <w:sz w:val="21"/>
                <w:szCs w:val="21"/>
              </w:rPr>
            </w:pP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足球守门员服装</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18"/>
                <w:szCs w:val="18"/>
              </w:rPr>
              <w:t>套</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4</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00" w:hRule="atLeast"/>
        </w:trPr>
        <w:tc>
          <w:tcPr>
            <w:tcW w:w="817" w:type="dxa"/>
            <w:tcBorders>
              <w:top w:val="single" w:color="auto" w:sz="4" w:space="0"/>
              <w:left w:val="single" w:color="000000" w:sz="4" w:space="0"/>
              <w:bottom w:val="single" w:color="000000" w:sz="4" w:space="0"/>
              <w:right w:val="single" w:color="auto"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6</w:t>
            </w:r>
          </w:p>
        </w:tc>
        <w:tc>
          <w:tcPr>
            <w:tcW w:w="1651" w:type="dxa"/>
            <w:tcBorders>
              <w:top w:val="single" w:color="auto" w:sz="4" w:space="0"/>
              <w:left w:val="single" w:color="auto" w:sz="4" w:space="0"/>
              <w:bottom w:val="single" w:color="auto" w:sz="4" w:space="0"/>
              <w:right w:val="single" w:color="000000" w:sz="4" w:space="0"/>
            </w:tcBorders>
            <w:vAlign w:val="center"/>
          </w:tcPr>
          <w:p>
            <w:pPr>
              <w:pStyle w:val="5"/>
              <w:widowControl/>
              <w:spacing w:line="500" w:lineRule="exact"/>
              <w:jc w:val="center"/>
              <w:rPr>
                <w:rFonts w:ascii="宋体" w:hAnsi="宋体"/>
                <w:sz w:val="21"/>
                <w:szCs w:val="21"/>
              </w:rPr>
            </w:pPr>
            <w:r>
              <w:rPr>
                <w:rFonts w:hint="eastAsia"/>
                <w:sz w:val="18"/>
                <w:szCs w:val="18"/>
              </w:rPr>
              <w:t>出场服装</w:t>
            </w: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长款</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18"/>
                <w:szCs w:val="18"/>
              </w:rPr>
              <w:t>套</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72</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提供样品</w:t>
            </w: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auto"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7</w:t>
            </w:r>
          </w:p>
        </w:tc>
        <w:tc>
          <w:tcPr>
            <w:tcW w:w="1651" w:type="dxa"/>
            <w:vMerge w:val="restart"/>
            <w:tcBorders>
              <w:top w:val="single" w:color="auto" w:sz="4" w:space="0"/>
              <w:left w:val="single" w:color="auto" w:sz="4" w:space="0"/>
              <w:right w:val="single" w:color="000000" w:sz="4" w:space="0"/>
            </w:tcBorders>
            <w:vAlign w:val="center"/>
          </w:tcPr>
          <w:p>
            <w:pPr>
              <w:pStyle w:val="5"/>
              <w:widowControl/>
              <w:spacing w:before="0" w:beforeAutospacing="0" w:after="0" w:afterAutospacing="0" w:line="480" w:lineRule="exact"/>
              <w:ind w:firstLine="420"/>
              <w:jc w:val="center"/>
              <w:rPr>
                <w:sz w:val="21"/>
                <w:szCs w:val="21"/>
              </w:rPr>
            </w:pPr>
            <w:r>
              <w:rPr>
                <w:rFonts w:hint="eastAsia"/>
                <w:sz w:val="18"/>
                <w:szCs w:val="18"/>
              </w:rPr>
              <w:t>运动鞋</w:t>
            </w: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21"/>
                <w:szCs w:val="21"/>
              </w:rPr>
              <w:t>篮球</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18"/>
                <w:szCs w:val="18"/>
              </w:rPr>
              <w:t>双</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21"/>
                <w:szCs w:val="21"/>
              </w:rPr>
              <w:t>24</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8</w:t>
            </w:r>
          </w:p>
        </w:tc>
        <w:tc>
          <w:tcPr>
            <w:tcW w:w="1651" w:type="dxa"/>
            <w:vMerge w:val="continue"/>
            <w:tcBorders>
              <w:left w:val="single" w:color="auto" w:sz="4" w:space="0"/>
              <w:right w:val="single" w:color="000000" w:sz="4" w:space="0"/>
            </w:tcBorders>
            <w:vAlign w:val="center"/>
          </w:tcPr>
          <w:p>
            <w:pPr>
              <w:pStyle w:val="5"/>
              <w:spacing w:line="480" w:lineRule="exact"/>
              <w:ind w:firstLine="105" w:firstLineChars="50"/>
              <w:jc w:val="center"/>
              <w:rPr>
                <w:rFonts w:ascii="宋体" w:hAnsi="宋体"/>
                <w:sz w:val="21"/>
                <w:szCs w:val="21"/>
              </w:rPr>
            </w:pP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足球</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18"/>
                <w:szCs w:val="18"/>
              </w:rPr>
              <w:t>双</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20</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提供样品</w:t>
            </w: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9</w:t>
            </w:r>
          </w:p>
        </w:tc>
        <w:tc>
          <w:tcPr>
            <w:tcW w:w="1651" w:type="dxa"/>
            <w:vMerge w:val="continue"/>
            <w:tcBorders>
              <w:left w:val="single" w:color="auto" w:sz="4" w:space="0"/>
              <w:right w:val="single" w:color="000000" w:sz="4" w:space="0"/>
            </w:tcBorders>
            <w:vAlign w:val="center"/>
          </w:tcPr>
          <w:p>
            <w:pPr>
              <w:pStyle w:val="5"/>
              <w:widowControl/>
              <w:spacing w:before="0" w:beforeAutospacing="0" w:after="0" w:afterAutospacing="0" w:line="480" w:lineRule="exact"/>
              <w:ind w:firstLine="420"/>
              <w:jc w:val="center"/>
              <w:rPr>
                <w:sz w:val="21"/>
                <w:szCs w:val="21"/>
              </w:rPr>
            </w:pP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21"/>
                <w:szCs w:val="21"/>
              </w:rPr>
              <w:t>田径跑步鞋</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18"/>
                <w:szCs w:val="18"/>
              </w:rPr>
              <w:t>双</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21"/>
                <w:szCs w:val="21"/>
              </w:rPr>
              <w:t>20</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提供样品</w:t>
            </w: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10</w:t>
            </w:r>
          </w:p>
        </w:tc>
        <w:tc>
          <w:tcPr>
            <w:tcW w:w="1651" w:type="dxa"/>
            <w:vMerge w:val="continue"/>
            <w:tcBorders>
              <w:left w:val="single" w:color="auto" w:sz="4" w:space="0"/>
              <w:right w:val="single" w:color="000000" w:sz="4" w:space="0"/>
            </w:tcBorders>
            <w:vAlign w:val="center"/>
          </w:tcPr>
          <w:p>
            <w:pPr>
              <w:pStyle w:val="5"/>
              <w:widowControl/>
              <w:spacing w:before="0" w:beforeAutospacing="0" w:after="0" w:afterAutospacing="0" w:line="480" w:lineRule="exact"/>
              <w:ind w:firstLine="420"/>
              <w:jc w:val="center"/>
              <w:rPr>
                <w:sz w:val="21"/>
                <w:szCs w:val="21"/>
              </w:rPr>
            </w:pP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21"/>
                <w:szCs w:val="21"/>
              </w:rPr>
              <w:t>健美操</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18"/>
                <w:szCs w:val="18"/>
              </w:rPr>
              <w:t>双</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21"/>
                <w:szCs w:val="21"/>
              </w:rPr>
              <w:t>8</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r>
              <w:rPr>
                <w:rFonts w:hint="eastAsia"/>
                <w:sz w:val="18"/>
                <w:szCs w:val="18"/>
              </w:rPr>
              <w:t>11</w:t>
            </w:r>
          </w:p>
        </w:tc>
        <w:tc>
          <w:tcPr>
            <w:tcW w:w="1651" w:type="dxa"/>
            <w:vMerge w:val="continue"/>
            <w:tcBorders>
              <w:left w:val="single" w:color="auto" w:sz="4" w:space="0"/>
              <w:right w:val="single" w:color="000000" w:sz="4" w:space="0"/>
            </w:tcBorders>
            <w:vAlign w:val="center"/>
          </w:tcPr>
          <w:p>
            <w:pPr>
              <w:pStyle w:val="5"/>
              <w:widowControl/>
              <w:spacing w:before="0" w:beforeAutospacing="0" w:after="0" w:afterAutospacing="0" w:line="480" w:lineRule="exact"/>
              <w:ind w:firstLine="420"/>
              <w:jc w:val="center"/>
              <w:rPr>
                <w:sz w:val="21"/>
                <w:szCs w:val="21"/>
              </w:rPr>
            </w:pP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21"/>
                <w:szCs w:val="21"/>
              </w:rPr>
              <w:t>田径跑钉鞋</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r>
              <w:rPr>
                <w:rFonts w:hint="eastAsia"/>
                <w:sz w:val="18"/>
                <w:szCs w:val="18"/>
              </w:rPr>
              <w:t>双</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21"/>
                <w:szCs w:val="21"/>
              </w:rPr>
              <w:t>20</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提供样品</w:t>
            </w: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cs="宋体"/>
                <w:szCs w:val="21"/>
              </w:rPr>
            </w:pPr>
            <w:r>
              <w:rPr>
                <w:rFonts w:hint="eastAsia" w:ascii="宋体" w:hAnsi="宋体" w:cs="宋体"/>
                <w:szCs w:val="21"/>
              </w:rPr>
              <w:t>12</w:t>
            </w:r>
          </w:p>
        </w:tc>
        <w:tc>
          <w:tcPr>
            <w:tcW w:w="1651" w:type="dxa"/>
            <w:tcBorders>
              <w:top w:val="single" w:color="auto" w:sz="4" w:space="0"/>
              <w:left w:val="single" w:color="000000" w:sz="4" w:space="0"/>
              <w:right w:val="single" w:color="auto" w:sz="4" w:space="0"/>
            </w:tcBorders>
            <w:vAlign w:val="center"/>
          </w:tcPr>
          <w:p>
            <w:pPr>
              <w:pStyle w:val="5"/>
              <w:widowControl/>
              <w:spacing w:before="0" w:beforeAutospacing="0" w:after="0" w:afterAutospacing="0" w:line="480" w:lineRule="exact"/>
              <w:ind w:firstLine="180" w:firstLineChars="100"/>
              <w:rPr>
                <w:sz w:val="21"/>
                <w:szCs w:val="21"/>
              </w:rPr>
            </w:pPr>
            <w:r>
              <w:rPr>
                <w:rFonts w:hint="eastAsia"/>
                <w:sz w:val="18"/>
                <w:szCs w:val="18"/>
              </w:rPr>
              <w:t>足球护腿板</w:t>
            </w: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18"/>
                <w:szCs w:val="18"/>
              </w:rPr>
              <w:t>付</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21"/>
                <w:szCs w:val="21"/>
              </w:rPr>
            </w:pPr>
            <w:r>
              <w:rPr>
                <w:rFonts w:hint="eastAsia"/>
                <w:sz w:val="21"/>
                <w:szCs w:val="21"/>
              </w:rPr>
              <w:t>20</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5"/>
              <w:widowControl/>
              <w:spacing w:before="0" w:beforeAutospacing="0" w:after="0" w:afterAutospacing="0" w:line="480" w:lineRule="exact"/>
              <w:jc w:val="center"/>
              <w:rPr>
                <w:sz w:val="21"/>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13</w:t>
            </w:r>
          </w:p>
        </w:tc>
        <w:tc>
          <w:tcPr>
            <w:tcW w:w="1651" w:type="dxa"/>
            <w:tcBorders>
              <w:top w:val="single" w:color="auto" w:sz="4" w:space="0"/>
              <w:left w:val="single" w:color="000000" w:sz="4" w:space="0"/>
              <w:bottom w:val="single" w:color="auto" w:sz="4" w:space="0"/>
              <w:right w:val="single" w:color="000000" w:sz="4" w:space="0"/>
            </w:tcBorders>
            <w:vAlign w:val="center"/>
          </w:tcPr>
          <w:p>
            <w:pPr>
              <w:pStyle w:val="5"/>
              <w:widowControl/>
              <w:spacing w:line="500" w:lineRule="exact"/>
              <w:ind w:firstLine="180" w:firstLineChars="100"/>
              <w:jc w:val="both"/>
              <w:rPr>
                <w:rFonts w:ascii="宋体" w:hAnsi="宋体"/>
                <w:sz w:val="21"/>
                <w:szCs w:val="21"/>
              </w:rPr>
            </w:pPr>
            <w:r>
              <w:rPr>
                <w:rFonts w:hint="eastAsia"/>
                <w:sz w:val="18"/>
                <w:szCs w:val="18"/>
              </w:rPr>
              <w:t>足球袜</w:t>
            </w: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18"/>
                <w:szCs w:val="18"/>
              </w:rPr>
              <w:t>双</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40</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14</w:t>
            </w:r>
          </w:p>
        </w:tc>
        <w:tc>
          <w:tcPr>
            <w:tcW w:w="1651" w:type="dxa"/>
            <w:tcBorders>
              <w:top w:val="single" w:color="auto" w:sz="4" w:space="0"/>
              <w:left w:val="single" w:color="000000" w:sz="4" w:space="0"/>
              <w:bottom w:val="single" w:color="auto" w:sz="4" w:space="0"/>
              <w:right w:val="single" w:color="000000" w:sz="4" w:space="0"/>
            </w:tcBorders>
            <w:vAlign w:val="center"/>
          </w:tcPr>
          <w:p>
            <w:pPr>
              <w:pStyle w:val="5"/>
              <w:widowControl/>
              <w:spacing w:line="500" w:lineRule="exact"/>
              <w:jc w:val="center"/>
              <w:rPr>
                <w:rFonts w:ascii="宋体" w:hAnsi="宋体"/>
                <w:sz w:val="21"/>
                <w:szCs w:val="21"/>
              </w:rPr>
            </w:pPr>
            <w:r>
              <w:rPr>
                <w:rFonts w:hint="eastAsia"/>
                <w:sz w:val="18"/>
                <w:szCs w:val="18"/>
              </w:rPr>
              <w:t>足球守门员手套</w:t>
            </w: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18"/>
                <w:szCs w:val="18"/>
              </w:rPr>
              <w:t>双</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2</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15</w:t>
            </w:r>
          </w:p>
        </w:tc>
        <w:tc>
          <w:tcPr>
            <w:tcW w:w="1651" w:type="dxa"/>
            <w:vMerge w:val="restart"/>
            <w:tcBorders>
              <w:top w:val="single" w:color="auto" w:sz="4" w:space="0"/>
              <w:left w:val="single" w:color="000000" w:sz="4" w:space="0"/>
              <w:right w:val="single" w:color="000000" w:sz="4" w:space="0"/>
            </w:tcBorders>
            <w:vAlign w:val="center"/>
          </w:tcPr>
          <w:p>
            <w:pPr>
              <w:pStyle w:val="5"/>
              <w:widowControl/>
              <w:spacing w:line="500" w:lineRule="exact"/>
              <w:jc w:val="center"/>
              <w:rPr>
                <w:rFonts w:ascii="宋体" w:hAnsi="宋体"/>
                <w:sz w:val="21"/>
                <w:szCs w:val="21"/>
              </w:rPr>
            </w:pPr>
            <w:r>
              <w:rPr>
                <w:rFonts w:hint="eastAsia"/>
                <w:sz w:val="18"/>
                <w:szCs w:val="18"/>
              </w:rPr>
              <w:t>集训用球</w:t>
            </w: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足球比赛用球</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18"/>
                <w:szCs w:val="18"/>
              </w:rPr>
              <w:t>个</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15</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16</w:t>
            </w:r>
          </w:p>
        </w:tc>
        <w:tc>
          <w:tcPr>
            <w:tcW w:w="1651" w:type="dxa"/>
            <w:vMerge w:val="continue"/>
            <w:tcBorders>
              <w:left w:val="single" w:color="000000" w:sz="4" w:space="0"/>
              <w:right w:val="single" w:color="000000" w:sz="4" w:space="0"/>
            </w:tcBorders>
            <w:vAlign w:val="center"/>
          </w:tcPr>
          <w:p>
            <w:pPr>
              <w:pStyle w:val="5"/>
              <w:widowControl/>
              <w:spacing w:line="500" w:lineRule="exact"/>
              <w:jc w:val="center"/>
              <w:rPr>
                <w:rFonts w:ascii="宋体" w:hAnsi="宋体"/>
                <w:sz w:val="21"/>
                <w:szCs w:val="21"/>
              </w:rPr>
            </w:pP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7</w:t>
            </w:r>
            <w:r>
              <w:rPr>
                <w:rFonts w:hint="eastAsia"/>
                <w:sz w:val="21"/>
                <w:szCs w:val="21"/>
                <w:vertAlign w:val="superscript"/>
              </w:rPr>
              <w:t>#</w:t>
            </w:r>
            <w:r>
              <w:rPr>
                <w:rFonts w:hint="eastAsia"/>
                <w:sz w:val="21"/>
                <w:szCs w:val="21"/>
              </w:rPr>
              <w:t>男子篮球比赛用球</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18"/>
                <w:szCs w:val="18"/>
              </w:rPr>
              <w:t>个</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10</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提供样品</w:t>
            </w: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17</w:t>
            </w:r>
          </w:p>
        </w:tc>
        <w:tc>
          <w:tcPr>
            <w:tcW w:w="1651" w:type="dxa"/>
            <w:vMerge w:val="continue"/>
            <w:tcBorders>
              <w:left w:val="single" w:color="000000" w:sz="4" w:space="0"/>
              <w:bottom w:val="single" w:color="auto" w:sz="4" w:space="0"/>
              <w:right w:val="single" w:color="000000" w:sz="4" w:space="0"/>
            </w:tcBorders>
            <w:vAlign w:val="center"/>
          </w:tcPr>
          <w:p>
            <w:pPr>
              <w:pStyle w:val="5"/>
              <w:widowControl/>
              <w:spacing w:line="500" w:lineRule="exact"/>
              <w:jc w:val="center"/>
              <w:rPr>
                <w:rFonts w:ascii="宋体" w:hAnsi="宋体"/>
                <w:sz w:val="21"/>
                <w:szCs w:val="21"/>
              </w:rPr>
            </w:pP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6</w:t>
            </w:r>
            <w:r>
              <w:rPr>
                <w:rFonts w:hint="eastAsia"/>
                <w:sz w:val="21"/>
                <w:szCs w:val="21"/>
                <w:vertAlign w:val="superscript"/>
              </w:rPr>
              <w:t>#</w:t>
            </w:r>
            <w:r>
              <w:rPr>
                <w:rFonts w:hint="eastAsia"/>
                <w:sz w:val="21"/>
                <w:szCs w:val="21"/>
              </w:rPr>
              <w:t>女子篮球比赛用球</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18"/>
                <w:szCs w:val="18"/>
              </w:rPr>
              <w:t>个</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10</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18</w:t>
            </w:r>
          </w:p>
        </w:tc>
        <w:tc>
          <w:tcPr>
            <w:tcW w:w="1651" w:type="dxa"/>
            <w:vMerge w:val="restart"/>
            <w:tcBorders>
              <w:top w:val="single" w:color="auto" w:sz="4" w:space="0"/>
              <w:left w:val="single" w:color="000000" w:sz="4" w:space="0"/>
              <w:right w:val="single" w:color="000000" w:sz="4" w:space="0"/>
            </w:tcBorders>
            <w:vAlign w:val="center"/>
          </w:tcPr>
          <w:p>
            <w:pPr>
              <w:pStyle w:val="5"/>
              <w:widowControl/>
              <w:spacing w:line="500" w:lineRule="exact"/>
              <w:jc w:val="center"/>
              <w:rPr>
                <w:rFonts w:ascii="宋体" w:hAnsi="宋体"/>
                <w:sz w:val="21"/>
                <w:szCs w:val="21"/>
              </w:rPr>
            </w:pPr>
            <w:r>
              <w:rPr>
                <w:rFonts w:hint="eastAsia"/>
                <w:sz w:val="18"/>
                <w:szCs w:val="18"/>
              </w:rPr>
              <w:t>田径器材</w:t>
            </w: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800克金属标枪</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18"/>
                <w:szCs w:val="18"/>
              </w:rPr>
              <w:t>支</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2</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19</w:t>
            </w:r>
          </w:p>
        </w:tc>
        <w:tc>
          <w:tcPr>
            <w:tcW w:w="1651" w:type="dxa"/>
            <w:vMerge w:val="continue"/>
            <w:tcBorders>
              <w:left w:val="single" w:color="000000" w:sz="4" w:space="0"/>
              <w:right w:val="single" w:color="000000" w:sz="4" w:space="0"/>
            </w:tcBorders>
            <w:vAlign w:val="center"/>
          </w:tcPr>
          <w:p>
            <w:pPr>
              <w:pStyle w:val="5"/>
              <w:widowControl/>
              <w:spacing w:line="500" w:lineRule="exact"/>
              <w:jc w:val="center"/>
              <w:rPr>
                <w:rFonts w:ascii="宋体" w:hAnsi="宋体"/>
                <w:sz w:val="21"/>
                <w:szCs w:val="21"/>
              </w:rPr>
            </w:pP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600克金属标枪</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18"/>
                <w:szCs w:val="18"/>
              </w:rPr>
              <w:t>支</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2</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cs="宋体"/>
                <w:szCs w:val="21"/>
              </w:rPr>
            </w:pPr>
            <w:r>
              <w:rPr>
                <w:rFonts w:hint="eastAsia"/>
                <w:sz w:val="18"/>
                <w:szCs w:val="18"/>
              </w:rPr>
              <w:t>20</w:t>
            </w:r>
          </w:p>
        </w:tc>
        <w:tc>
          <w:tcPr>
            <w:tcW w:w="1651" w:type="dxa"/>
            <w:vMerge w:val="continue"/>
            <w:tcBorders>
              <w:left w:val="single" w:color="000000" w:sz="4" w:space="0"/>
              <w:bottom w:val="single" w:color="auto" w:sz="4" w:space="0"/>
              <w:right w:val="single" w:color="000000" w:sz="4" w:space="0"/>
            </w:tcBorders>
            <w:vAlign w:val="center"/>
          </w:tcPr>
          <w:p>
            <w:pPr>
              <w:pStyle w:val="5"/>
              <w:widowControl/>
              <w:spacing w:line="500" w:lineRule="exact"/>
              <w:jc w:val="center"/>
              <w:rPr>
                <w:rFonts w:ascii="宋体" w:hAnsi="宋体"/>
                <w:sz w:val="21"/>
                <w:szCs w:val="21"/>
              </w:rPr>
            </w:pPr>
          </w:p>
        </w:tc>
        <w:tc>
          <w:tcPr>
            <w:tcW w:w="175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跨栏架</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18"/>
                <w:szCs w:val="18"/>
              </w:rPr>
              <w:t>付</w:t>
            </w: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rFonts w:ascii="宋体" w:hAnsi="宋体"/>
                <w:sz w:val="21"/>
                <w:szCs w:val="21"/>
              </w:rPr>
            </w:pPr>
            <w:r>
              <w:rPr>
                <w:rFonts w:hint="eastAsia"/>
                <w:sz w:val="21"/>
                <w:szCs w:val="21"/>
              </w:rPr>
              <w:t>10</w:t>
            </w: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500" w:hRule="atLeast"/>
        </w:trPr>
        <w:tc>
          <w:tcPr>
            <w:tcW w:w="817"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宋体" w:hAnsi="宋体" w:cs="宋体"/>
                <w:szCs w:val="21"/>
              </w:rPr>
            </w:pPr>
          </w:p>
        </w:tc>
        <w:tc>
          <w:tcPr>
            <w:tcW w:w="1651" w:type="dxa"/>
            <w:tcBorders>
              <w:top w:val="single" w:color="auto" w:sz="4" w:space="0"/>
              <w:left w:val="single" w:color="000000" w:sz="4" w:space="0"/>
              <w:bottom w:val="single" w:color="auto" w:sz="4" w:space="0"/>
              <w:right w:val="single" w:color="000000" w:sz="4" w:space="0"/>
            </w:tcBorders>
            <w:vAlign w:val="center"/>
          </w:tcPr>
          <w:p>
            <w:pPr>
              <w:pStyle w:val="5"/>
              <w:widowControl/>
              <w:spacing w:line="500" w:lineRule="exact"/>
              <w:jc w:val="center"/>
              <w:rPr>
                <w:rFonts w:ascii="宋体" w:hAnsi="宋体"/>
                <w:sz w:val="21"/>
                <w:szCs w:val="21"/>
              </w:rPr>
            </w:pPr>
            <w:r>
              <w:rPr>
                <w:rFonts w:hint="eastAsia" w:ascii="宋体" w:hAnsi="宋体"/>
                <w:sz w:val="21"/>
                <w:szCs w:val="21"/>
              </w:rPr>
              <w:t>合计</w:t>
            </w:r>
          </w:p>
        </w:tc>
        <w:tc>
          <w:tcPr>
            <w:tcW w:w="1752" w:type="dxa"/>
            <w:tcBorders>
              <w:top w:val="single" w:color="000000" w:sz="4" w:space="0"/>
              <w:left w:val="single" w:color="000000" w:sz="4" w:space="0"/>
              <w:bottom w:val="single" w:color="auto" w:sz="4" w:space="0"/>
              <w:right w:val="single" w:color="000000" w:sz="4" w:space="0"/>
            </w:tcBorders>
            <w:vAlign w:val="center"/>
          </w:tcPr>
          <w:p>
            <w:pPr>
              <w:pStyle w:val="5"/>
              <w:widowControl/>
              <w:spacing w:before="0" w:beforeAutospacing="0" w:after="0" w:afterAutospacing="0"/>
              <w:jc w:val="center"/>
              <w:rPr>
                <w:sz w:val="18"/>
                <w:szCs w:val="18"/>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1344" w:type="dxa"/>
            <w:tcBorders>
              <w:top w:val="single" w:color="000000" w:sz="4" w:space="0"/>
              <w:left w:val="single" w:color="000000" w:sz="4" w:space="0"/>
              <w:bottom w:val="single" w:color="000000" w:sz="4" w:space="0"/>
              <w:right w:val="single" w:color="000000" w:sz="4" w:space="0"/>
            </w:tcBorders>
            <w:vAlign w:val="center"/>
          </w:tcPr>
          <w:p>
            <w:pPr>
              <w:pStyle w:val="5"/>
              <w:widowControl/>
              <w:spacing w:before="0" w:beforeAutospacing="0" w:after="0" w:afterAutospacing="0"/>
              <w:jc w:val="center"/>
              <w:rPr>
                <w:sz w:val="18"/>
                <w:szCs w:val="18"/>
              </w:rPr>
            </w:pPr>
          </w:p>
        </w:tc>
        <w:tc>
          <w:tcPr>
            <w:tcW w:w="15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c>
          <w:tcPr>
            <w:tcW w:w="21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656" w:hRule="atLeast"/>
        </w:trPr>
        <w:tc>
          <w:tcPr>
            <w:tcW w:w="2468" w:type="dxa"/>
            <w:gridSpan w:val="2"/>
            <w:tcBorders>
              <w:top w:val="single" w:color="auto" w:sz="4" w:space="0"/>
              <w:left w:val="single" w:color="000000" w:sz="4" w:space="0"/>
              <w:bottom w:val="single" w:color="000000" w:sz="4" w:space="0"/>
              <w:right w:val="single" w:color="000000" w:sz="4" w:space="0"/>
            </w:tcBorders>
            <w:vAlign w:val="center"/>
          </w:tcPr>
          <w:p>
            <w:pPr>
              <w:pStyle w:val="5"/>
              <w:widowControl/>
              <w:spacing w:line="500" w:lineRule="exact"/>
              <w:jc w:val="center"/>
              <w:rPr>
                <w:rFonts w:ascii="宋体" w:hAnsi="宋体"/>
                <w:b/>
                <w:bCs/>
                <w:sz w:val="21"/>
                <w:szCs w:val="21"/>
              </w:rPr>
            </w:pPr>
            <w:r>
              <w:rPr>
                <w:rFonts w:hint="eastAsia" w:ascii="宋体" w:hAnsi="宋体"/>
                <w:b/>
                <w:bCs/>
                <w:sz w:val="21"/>
                <w:szCs w:val="21"/>
              </w:rPr>
              <w:t>合计</w:t>
            </w:r>
          </w:p>
        </w:tc>
        <w:tc>
          <w:tcPr>
            <w:tcW w:w="11412" w:type="dxa"/>
            <w:gridSpan w:val="7"/>
            <w:tcBorders>
              <w:top w:val="single" w:color="auto" w:sz="4" w:space="0"/>
              <w:left w:val="single" w:color="000000" w:sz="4" w:space="0"/>
              <w:bottom w:val="single" w:color="000000" w:sz="4" w:space="0"/>
              <w:right w:val="single" w:color="000000"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大写（人民币）：</w:t>
            </w:r>
          </w:p>
        </w:tc>
      </w:tr>
    </w:tbl>
    <w:p>
      <w:pPr>
        <w:spacing w:line="380" w:lineRule="exact"/>
        <w:ind w:firstLine="525" w:firstLineChars="250"/>
        <w:rPr>
          <w:rFonts w:ascii="宋体" w:hAnsi="宋体"/>
          <w:bCs/>
          <w:szCs w:val="21"/>
        </w:rPr>
      </w:pPr>
      <w:r>
        <w:rPr>
          <w:rFonts w:hint="eastAsia" w:ascii="宋体" w:hAnsi="宋体"/>
          <w:bCs/>
          <w:szCs w:val="21"/>
        </w:rPr>
        <w:t>报价说明（或报价人承诺）：</w:t>
      </w:r>
      <w:r>
        <w:rPr>
          <w:rFonts w:hint="eastAsia" w:ascii="宋体" w:hAnsi="宋体"/>
          <w:szCs w:val="21"/>
        </w:rPr>
        <w:t>投标报价所列单价应包括产品价款、材料损耗、运输保险费、搬运费、</w:t>
      </w:r>
      <w:r>
        <w:rPr>
          <w:rFonts w:hint="eastAsia" w:ascii="宋体" w:hAnsi="宋体"/>
          <w:bCs/>
          <w:szCs w:val="21"/>
        </w:rPr>
        <w:t>售后印字服务费、利税和应承担的风险等一切费用，为综合单价。</w:t>
      </w:r>
    </w:p>
    <w:p>
      <w:pPr>
        <w:widowControl/>
        <w:spacing w:line="480" w:lineRule="auto"/>
        <w:rPr>
          <w:rFonts w:ascii="宋体" w:hAnsi="宋体" w:cs="宋体"/>
          <w:color w:val="000000"/>
          <w:kern w:val="0"/>
          <w:szCs w:val="21"/>
        </w:rPr>
      </w:pPr>
    </w:p>
    <w:p>
      <w:pPr>
        <w:widowControl/>
        <w:spacing w:line="480" w:lineRule="auto"/>
        <w:rPr>
          <w:rFonts w:ascii="宋体" w:hAnsi="宋体" w:cs="宋体"/>
          <w:color w:val="000000"/>
          <w:kern w:val="0"/>
          <w:szCs w:val="21"/>
        </w:rPr>
      </w:pPr>
      <w:r>
        <w:rPr>
          <w:rFonts w:hint="eastAsia" w:ascii="宋体" w:hAnsi="宋体" w:cs="宋体"/>
          <w:color w:val="000000"/>
          <w:kern w:val="0"/>
          <w:szCs w:val="21"/>
        </w:rPr>
        <w:t>投标单位名称（公章）：</w:t>
      </w:r>
      <w:r>
        <w:rPr>
          <w:rFonts w:hint="eastAsia" w:ascii="宋体" w:hAnsi="宋体" w:cs="宋体"/>
          <w:color w:val="000000"/>
          <w:kern w:val="0"/>
          <w:szCs w:val="21"/>
          <w:u w:val="single"/>
          <w:bdr w:val="single" w:color="auto" w:sz="4" w:space="0"/>
        </w:rPr>
        <w:t xml:space="preserve">                </w:t>
      </w:r>
      <w:r>
        <w:rPr>
          <w:rFonts w:hint="eastAsia" w:ascii="宋体" w:hAnsi="宋体" w:cs="宋体"/>
          <w:color w:val="000000"/>
          <w:kern w:val="0"/>
          <w:szCs w:val="21"/>
          <w:bdr w:val="single" w:color="auto" w:sz="4" w:space="0"/>
        </w:rPr>
        <w:t xml:space="preserve">                     </w:t>
      </w:r>
    </w:p>
    <w:p>
      <w:pPr>
        <w:widowControl/>
        <w:spacing w:line="480" w:lineRule="auto"/>
        <w:rPr>
          <w:rFonts w:ascii="宋体" w:hAnsi="宋体" w:cs="宋体"/>
          <w:color w:val="000000"/>
          <w:kern w:val="0"/>
          <w:szCs w:val="21"/>
          <w:u w:val="single"/>
        </w:rPr>
      </w:pPr>
      <w:r>
        <w:rPr>
          <w:rFonts w:hint="eastAsia" w:ascii="宋体" w:hAnsi="宋体" w:cs="宋体"/>
          <w:color w:val="000000"/>
          <w:kern w:val="0"/>
          <w:szCs w:val="21"/>
        </w:rPr>
        <w:t>法定代表人签字或盖章：</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代理人（被授权人）签字：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联系电话：</w:t>
      </w:r>
      <w:r>
        <w:rPr>
          <w:rFonts w:hint="eastAsia" w:ascii="宋体" w:hAnsi="宋体" w:cs="宋体"/>
          <w:color w:val="000000"/>
          <w:kern w:val="0"/>
          <w:szCs w:val="21"/>
          <w:u w:val="single"/>
        </w:rPr>
        <w:t xml:space="preserve">                    </w:t>
      </w:r>
      <w:r>
        <w:rPr>
          <w:rFonts w:hint="eastAsia" w:ascii="宋体" w:hAnsi="宋体" w:cs="宋体"/>
          <w:i/>
          <w:color w:val="000000"/>
          <w:kern w:val="0"/>
          <w:szCs w:val="21"/>
        </w:rPr>
        <w:t xml:space="preserve"> </w:t>
      </w:r>
    </w:p>
    <w:p>
      <w:pPr>
        <w:widowControl/>
        <w:spacing w:line="480" w:lineRule="auto"/>
        <w:ind w:firstLine="9660" w:firstLineChars="4600"/>
        <w:rPr>
          <w:rFonts w:ascii="宋体" w:hAnsi="宋体" w:cs="宋体"/>
          <w:color w:val="000000"/>
          <w:kern w:val="0"/>
          <w:szCs w:val="21"/>
        </w:rPr>
      </w:pPr>
      <w:r>
        <w:rPr>
          <w:rFonts w:hint="eastAsia" w:ascii="宋体" w:hAnsi="宋体" w:cs="宋体"/>
          <w:color w:val="000000"/>
          <w:kern w:val="0"/>
          <w:szCs w:val="21"/>
        </w:rPr>
        <w:t xml:space="preserve"> 日期：</w:t>
      </w:r>
      <w:r>
        <w:rPr>
          <w:rFonts w:hint="eastAsia" w:ascii="宋体" w:hAnsi="宋体" w:cs="宋体"/>
          <w:color w:val="000000"/>
          <w:kern w:val="0"/>
          <w:szCs w:val="21"/>
          <w:u w:val="single"/>
        </w:rPr>
        <w:t xml:space="preserve">             </w:t>
      </w:r>
    </w:p>
    <w:p>
      <w:pPr>
        <w:rPr>
          <w:szCs w:val="21"/>
        </w:rPr>
      </w:pPr>
    </w:p>
    <w:sectPr>
      <w:pgSz w:w="16838" w:h="11906" w:orient="landscape"/>
      <w:pgMar w:top="1588" w:right="1361" w:bottom="1474"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A0"/>
    <w:rsid w:val="00012758"/>
    <w:rsid w:val="00035DA1"/>
    <w:rsid w:val="00046B49"/>
    <w:rsid w:val="00061119"/>
    <w:rsid w:val="00092545"/>
    <w:rsid w:val="001624DA"/>
    <w:rsid w:val="001B7AB6"/>
    <w:rsid w:val="001F71D1"/>
    <w:rsid w:val="00244D24"/>
    <w:rsid w:val="002A41E1"/>
    <w:rsid w:val="002C3693"/>
    <w:rsid w:val="00356A75"/>
    <w:rsid w:val="003D5B30"/>
    <w:rsid w:val="00432F02"/>
    <w:rsid w:val="004333C6"/>
    <w:rsid w:val="004E0382"/>
    <w:rsid w:val="00520763"/>
    <w:rsid w:val="005C237D"/>
    <w:rsid w:val="00644DB5"/>
    <w:rsid w:val="00663780"/>
    <w:rsid w:val="006924A0"/>
    <w:rsid w:val="007139FC"/>
    <w:rsid w:val="00727B73"/>
    <w:rsid w:val="00742BC7"/>
    <w:rsid w:val="007B21FC"/>
    <w:rsid w:val="00844816"/>
    <w:rsid w:val="008C7C86"/>
    <w:rsid w:val="008D15B8"/>
    <w:rsid w:val="008E75A0"/>
    <w:rsid w:val="00954535"/>
    <w:rsid w:val="00984420"/>
    <w:rsid w:val="009B2AD6"/>
    <w:rsid w:val="00A11B21"/>
    <w:rsid w:val="00AE3E84"/>
    <w:rsid w:val="00B03BE7"/>
    <w:rsid w:val="00B1502E"/>
    <w:rsid w:val="00B46A0F"/>
    <w:rsid w:val="00B47B7A"/>
    <w:rsid w:val="00B660E7"/>
    <w:rsid w:val="00B83202"/>
    <w:rsid w:val="00B83309"/>
    <w:rsid w:val="00BB7E62"/>
    <w:rsid w:val="00BD4067"/>
    <w:rsid w:val="00BD70E8"/>
    <w:rsid w:val="00BE5FAF"/>
    <w:rsid w:val="00BF6AE3"/>
    <w:rsid w:val="00CC4991"/>
    <w:rsid w:val="00CF603F"/>
    <w:rsid w:val="00DB32B8"/>
    <w:rsid w:val="00DF29E2"/>
    <w:rsid w:val="00E52C94"/>
    <w:rsid w:val="00E94064"/>
    <w:rsid w:val="00E971FC"/>
    <w:rsid w:val="00EC3AFB"/>
    <w:rsid w:val="00F13A26"/>
    <w:rsid w:val="00F42E16"/>
    <w:rsid w:val="00FD7414"/>
    <w:rsid w:val="040D62DF"/>
    <w:rsid w:val="04110291"/>
    <w:rsid w:val="064458A6"/>
    <w:rsid w:val="071554EC"/>
    <w:rsid w:val="11E80078"/>
    <w:rsid w:val="183A7C69"/>
    <w:rsid w:val="2FDF3848"/>
    <w:rsid w:val="3C1A6179"/>
    <w:rsid w:val="47597368"/>
    <w:rsid w:val="593B196F"/>
    <w:rsid w:val="63213EA7"/>
    <w:rsid w:val="67A3699E"/>
    <w:rsid w:val="7FA2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jc w:val="left"/>
    </w:pPr>
    <w:rPr>
      <w:rFonts w:ascii="Times New Roman" w:hAnsi="Times New Roman" w:eastAsia="宋体" w:cs="Times New Roman"/>
      <w:kern w:val="0"/>
      <w:sz w:val="24"/>
      <w:szCs w:val="20"/>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92B0D-8FFD-4D23-876A-1B971F8D61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683</Words>
  <Characters>3894</Characters>
  <Lines>32</Lines>
  <Paragraphs>9</Paragraphs>
  <TotalTime>0</TotalTime>
  <ScaleCrop>false</ScaleCrop>
  <LinksUpToDate>false</LinksUpToDate>
  <CharactersWithSpaces>4568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2017-09-26T00:33:00Z</dcterms:created>
  <dc:creator>acer</dc:creator>
  <cp:lastModifiedBy>acer</cp:lastModifiedBy>
  <cp:lastPrinted>2018-04-24T08:01:00Z</cp:lastPrinted>
  <dcterms:modified xsi:type="dcterms:W3CDTF">2018-04-25T00:41:52Z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