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cs="宋体"/>
          <w:b/>
          <w:bCs/>
          <w:sz w:val="44"/>
          <w:szCs w:val="44"/>
        </w:rPr>
      </w:pPr>
    </w:p>
    <w:p>
      <w:pPr>
        <w:jc w:val="center"/>
        <w:rPr>
          <w:rFonts w:ascii="宋体" w:hAnsi="宋体" w:eastAsia="宋体" w:cs="宋体"/>
          <w:b/>
          <w:bCs/>
          <w:sz w:val="48"/>
          <w:szCs w:val="48"/>
        </w:rPr>
      </w:pPr>
      <w:r>
        <w:rPr>
          <w:rFonts w:hint="eastAsia" w:ascii="宋体" w:hAnsi="宋体" w:eastAsia="宋体" w:cs="宋体"/>
          <w:b/>
          <w:bCs/>
          <w:sz w:val="48"/>
          <w:szCs w:val="48"/>
        </w:rPr>
        <w:t>铜陵学院毕业生就业第三方评价项目</w:t>
      </w:r>
    </w:p>
    <w:p>
      <w:pPr>
        <w:jc w:val="center"/>
        <w:rPr>
          <w:rFonts w:ascii="宋体" w:hAnsi="宋体" w:eastAsia="宋体" w:cs="宋体"/>
          <w:b/>
          <w:bCs/>
          <w:sz w:val="84"/>
          <w:szCs w:val="84"/>
        </w:rPr>
      </w:pPr>
    </w:p>
    <w:p>
      <w:pPr>
        <w:jc w:val="center"/>
        <w:rPr>
          <w:rFonts w:ascii="宋体" w:hAnsi="宋体" w:eastAsia="宋体" w:cs="宋体"/>
          <w:b/>
          <w:bCs/>
          <w:sz w:val="72"/>
          <w:szCs w:val="72"/>
        </w:rPr>
      </w:pPr>
    </w:p>
    <w:p>
      <w:pPr>
        <w:jc w:val="center"/>
        <w:rPr>
          <w:rFonts w:ascii="宋体" w:hAnsi="宋体" w:eastAsia="宋体" w:cs="宋体"/>
          <w:b/>
          <w:bCs/>
          <w:sz w:val="72"/>
          <w:szCs w:val="72"/>
        </w:rPr>
      </w:pPr>
    </w:p>
    <w:p>
      <w:pPr>
        <w:jc w:val="center"/>
        <w:rPr>
          <w:rFonts w:ascii="宋体" w:hAnsi="宋体" w:eastAsia="宋体"/>
          <w:b/>
          <w:bCs/>
          <w:sz w:val="72"/>
          <w:szCs w:val="72"/>
        </w:rPr>
      </w:pPr>
      <w:r>
        <w:rPr>
          <w:rFonts w:hint="eastAsia" w:ascii="宋体" w:hAnsi="宋体" w:eastAsia="宋体" w:cs="宋体"/>
          <w:b/>
          <w:bCs/>
          <w:sz w:val="72"/>
          <w:szCs w:val="72"/>
        </w:rPr>
        <w:t>竞争性磋商文件</w:t>
      </w:r>
    </w:p>
    <w:p>
      <w:pPr>
        <w:widowControl/>
        <w:shd w:val="clear" w:color="auto" w:fill="FFFFFF"/>
        <w:spacing w:after="600"/>
        <w:jc w:val="center"/>
        <w:rPr>
          <w:rFonts w:hint="eastAsia" w:ascii="宋体" w:hAnsi="宋体" w:eastAsia="宋体"/>
          <w:b/>
          <w:sz w:val="28"/>
        </w:rPr>
      </w:pPr>
      <w:r>
        <w:rPr>
          <w:rFonts w:hint="eastAsia" w:ascii="宋体" w:hAnsi="宋体"/>
          <w:b/>
          <w:sz w:val="28"/>
          <w:lang w:eastAsia="zh-CN"/>
        </w:rPr>
        <w:t>项目编号：</w:t>
      </w:r>
      <w:r>
        <w:rPr>
          <w:rFonts w:hint="eastAsia" w:ascii="宋体" w:hAnsi="宋体"/>
          <w:b/>
          <w:sz w:val="28"/>
          <w:lang w:val="en-US" w:eastAsia="zh-CN"/>
        </w:rPr>
        <w:t>tlxyzb[2020]42号</w:t>
      </w:r>
    </w:p>
    <w:p>
      <w:pPr>
        <w:pStyle w:val="7"/>
        <w:spacing w:line="540" w:lineRule="exact"/>
        <w:ind w:firstLine="560" w:firstLineChars="200"/>
        <w:jc w:val="center"/>
        <w:rPr>
          <w:rFonts w:ascii="宋体" w:hAnsi="宋体" w:eastAsia="宋体"/>
          <w:bCs/>
          <w:sz w:val="28"/>
          <w:szCs w:val="28"/>
        </w:rPr>
      </w:pPr>
    </w:p>
    <w:p>
      <w:pPr>
        <w:jc w:val="center"/>
        <w:rPr>
          <w:rFonts w:ascii="宋体" w:hAnsi="宋体" w:eastAsia="宋体"/>
          <w:b/>
          <w:bCs/>
          <w:sz w:val="48"/>
          <w:szCs w:val="48"/>
        </w:rPr>
      </w:pPr>
    </w:p>
    <w:p>
      <w:pPr>
        <w:rPr>
          <w:rFonts w:ascii="宋体" w:hAnsi="宋体" w:eastAsia="宋体"/>
          <w:b/>
          <w:bCs/>
          <w:sz w:val="30"/>
          <w:szCs w:val="30"/>
        </w:rPr>
      </w:pPr>
    </w:p>
    <w:p>
      <w:pPr>
        <w:rPr>
          <w:rFonts w:ascii="宋体" w:hAnsi="宋体" w:eastAsia="宋体"/>
          <w:b/>
          <w:bCs/>
          <w:sz w:val="30"/>
          <w:szCs w:val="30"/>
        </w:rPr>
      </w:pPr>
    </w:p>
    <w:p>
      <w:pPr>
        <w:snapToGrid w:val="0"/>
        <w:spacing w:line="360" w:lineRule="auto"/>
        <w:ind w:right="-45" w:firstLine="3313" w:firstLineChars="1100"/>
        <w:rPr>
          <w:rFonts w:ascii="宋体" w:hAnsi="宋体" w:eastAsia="宋体"/>
          <w:b/>
          <w:bCs/>
          <w:sz w:val="30"/>
          <w:szCs w:val="30"/>
          <w:u w:val="single"/>
        </w:rPr>
      </w:pPr>
      <w:r>
        <w:rPr>
          <w:rFonts w:hint="eastAsia" w:ascii="宋体" w:hAnsi="宋体" w:eastAsia="宋体"/>
          <w:b/>
          <w:sz w:val="30"/>
          <w:szCs w:val="30"/>
        </w:rPr>
        <w:t>采购人</w:t>
      </w:r>
      <w:r>
        <w:rPr>
          <w:rFonts w:ascii="宋体" w:hAnsi="宋体" w:eastAsia="宋体"/>
          <w:b/>
          <w:sz w:val="30"/>
          <w:szCs w:val="30"/>
        </w:rPr>
        <w:t>:</w:t>
      </w:r>
      <w:r>
        <w:rPr>
          <w:rFonts w:hint="eastAsia" w:ascii="宋体" w:hAnsi="宋体" w:eastAsia="宋体"/>
          <w:b/>
          <w:bCs/>
          <w:sz w:val="30"/>
          <w:szCs w:val="30"/>
          <w:u w:val="single"/>
        </w:rPr>
        <w:t xml:space="preserve"> 铜陵学院</w:t>
      </w:r>
    </w:p>
    <w:p>
      <w:pPr>
        <w:spacing w:line="360" w:lineRule="auto"/>
        <w:ind w:right="-645" w:firstLine="1761" w:firstLineChars="587"/>
        <w:jc w:val="center"/>
        <w:rPr>
          <w:rFonts w:ascii="宋体" w:hAnsi="宋体" w:eastAsia="宋体"/>
          <w:sz w:val="30"/>
          <w:szCs w:val="30"/>
        </w:rPr>
      </w:pPr>
    </w:p>
    <w:p>
      <w:pPr>
        <w:jc w:val="center"/>
        <w:rPr>
          <w:rFonts w:ascii="宋体" w:hAnsi="宋体" w:eastAsia="宋体"/>
          <w:b/>
          <w:bCs/>
          <w:sz w:val="30"/>
          <w:szCs w:val="30"/>
        </w:rPr>
      </w:pPr>
    </w:p>
    <w:p>
      <w:pPr>
        <w:jc w:val="center"/>
        <w:rPr>
          <w:rFonts w:ascii="宋体" w:hAnsi="宋体" w:eastAsia="宋体"/>
          <w:b/>
          <w:bCs/>
          <w:sz w:val="30"/>
          <w:szCs w:val="30"/>
        </w:rPr>
      </w:pPr>
      <w:r>
        <w:rPr>
          <w:rFonts w:hint="eastAsia" w:ascii="宋体" w:hAnsi="宋体" w:eastAsia="宋体" w:cs="宋体"/>
          <w:b/>
          <w:bCs/>
          <w:sz w:val="30"/>
          <w:szCs w:val="30"/>
        </w:rPr>
        <w:t>二〇二</w:t>
      </w:r>
      <w:r>
        <w:rPr>
          <w:rFonts w:hint="eastAsia" w:ascii="宋体" w:hAnsi="宋体" w:cs="宋体"/>
          <w:b/>
          <w:bCs/>
          <w:sz w:val="30"/>
          <w:szCs w:val="30"/>
          <w:lang w:eastAsia="zh-CN"/>
        </w:rPr>
        <w:t>二</w:t>
      </w:r>
      <w:r>
        <w:rPr>
          <w:rFonts w:hint="eastAsia" w:ascii="宋体" w:hAnsi="宋体" w:eastAsia="宋体" w:cs="宋体"/>
          <w:b/>
          <w:bCs/>
          <w:sz w:val="30"/>
          <w:szCs w:val="30"/>
        </w:rPr>
        <w:t>年六月</w:t>
      </w:r>
    </w:p>
    <w:p>
      <w:pPr>
        <w:jc w:val="center"/>
        <w:rPr>
          <w:rFonts w:ascii="宋体" w:hAnsi="宋体" w:eastAsia="宋体"/>
          <w:b/>
          <w:bCs/>
          <w:sz w:val="30"/>
          <w:szCs w:val="30"/>
        </w:rPr>
      </w:pPr>
    </w:p>
    <w:p>
      <w:pPr>
        <w:ind w:firstLine="643" w:firstLineChars="200"/>
        <w:jc w:val="center"/>
        <w:rPr>
          <w:rFonts w:ascii="宋体" w:hAnsi="宋体" w:eastAsia="宋体" w:cs="宋体"/>
          <w:b/>
          <w:bCs/>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440" w:header="851" w:footer="992" w:gutter="0"/>
          <w:cols w:space="720" w:num="1"/>
          <w:titlePg/>
          <w:docGrid w:type="lines" w:linePitch="319" w:charSpace="0"/>
        </w:sectPr>
      </w:pPr>
    </w:p>
    <w:p>
      <w:pPr>
        <w:ind w:firstLine="643" w:firstLineChars="200"/>
        <w:jc w:val="center"/>
        <w:rPr>
          <w:rFonts w:ascii="宋体" w:hAnsi="宋体" w:eastAsia="宋体"/>
          <w:b/>
          <w:bCs/>
          <w:sz w:val="30"/>
          <w:szCs w:val="30"/>
        </w:rPr>
      </w:pPr>
      <w:r>
        <w:rPr>
          <w:rFonts w:hint="eastAsia" w:ascii="宋体" w:hAnsi="宋体" w:eastAsia="宋体" w:cs="宋体"/>
          <w:b/>
          <w:bCs/>
          <w:sz w:val="32"/>
          <w:szCs w:val="32"/>
        </w:rPr>
        <w:t>目   录</w:t>
      </w:r>
    </w:p>
    <w:p>
      <w:pPr>
        <w:pStyle w:val="13"/>
        <w:tabs>
          <w:tab w:val="left" w:pos="1050"/>
          <w:tab w:val="right" w:leader="dot" w:pos="8296"/>
        </w:tabs>
        <w:spacing w:line="520" w:lineRule="exact"/>
        <w:rPr>
          <w:rFonts w:ascii="宋体" w:hAnsi="宋体" w:eastAsia="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TOC \h \z \t "001大标题,1,002标题,2"</w:instrText>
      </w:r>
      <w:r>
        <w:rPr>
          <w:rFonts w:hint="eastAsia" w:ascii="宋体" w:hAnsi="宋体" w:eastAsia="宋体" w:cs="宋体"/>
          <w:sz w:val="28"/>
          <w:szCs w:val="28"/>
        </w:rPr>
        <w:fldChar w:fldCharType="separate"/>
      </w:r>
      <w:r>
        <w:fldChar w:fldCharType="begin"/>
      </w:r>
      <w:r>
        <w:instrText xml:space="preserve"> HYPERLINK "file:///F:\\2016造价咨询\\2016招标代理\\081-铜官区《西湖镇产业发展规划》编制服务采购\\铜官区《西湖镇产业发展规划》编制服务采购竞争性磋商文件.rtf" \l "_Toc383776341#_Toc383776341" </w:instrText>
      </w:r>
      <w:r>
        <w:fldChar w:fldCharType="separate"/>
      </w:r>
      <w:r>
        <w:rPr>
          <w:rFonts w:hint="eastAsia" w:ascii="宋体" w:hAnsi="宋体" w:eastAsia="宋体" w:cs="宋体"/>
          <w:sz w:val="28"/>
          <w:szCs w:val="28"/>
        </w:rPr>
        <w:t>第一章</w:t>
      </w:r>
      <w:r>
        <w:rPr>
          <w:rFonts w:ascii="宋体" w:hAnsi="宋体" w:eastAsia="宋体"/>
          <w:sz w:val="28"/>
          <w:szCs w:val="28"/>
        </w:rPr>
        <w:tab/>
      </w:r>
      <w:r>
        <w:rPr>
          <w:rFonts w:hint="eastAsia" w:ascii="宋体" w:hAnsi="宋体" w:eastAsia="宋体" w:cs="宋体"/>
          <w:sz w:val="28"/>
          <w:szCs w:val="28"/>
        </w:rPr>
        <w:t>竞争性磋商书</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"_Toc383776342#_Toc383776342" </w:instrText>
      </w:r>
      <w:r>
        <w:fldChar w:fldCharType="separate"/>
      </w:r>
      <w:r>
        <w:rPr>
          <w:rFonts w:hint="eastAsia" w:ascii="宋体" w:hAnsi="宋体" w:eastAsia="宋体" w:cs="宋体"/>
          <w:sz w:val="28"/>
          <w:szCs w:val="28"/>
        </w:rPr>
        <w:t>一、供应商须知前附表</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"_Toc383776343#_Toc383776343" </w:instrText>
      </w:r>
      <w:r>
        <w:fldChar w:fldCharType="separate"/>
      </w:r>
      <w:r>
        <w:rPr>
          <w:rFonts w:hint="eastAsia" w:ascii="宋体" w:hAnsi="宋体" w:eastAsia="宋体" w:cs="宋体"/>
          <w:sz w:val="28"/>
          <w:szCs w:val="28"/>
        </w:rPr>
        <w:t>二、供应商须知</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"_Toc383776344#_Toc383776344" </w:instrText>
      </w:r>
      <w:r>
        <w:fldChar w:fldCharType="separate"/>
      </w:r>
      <w:r>
        <w:rPr>
          <w:rFonts w:hint="eastAsia" w:ascii="宋体" w:hAnsi="宋体" w:eastAsia="宋体" w:cs="宋体"/>
          <w:sz w:val="28"/>
          <w:szCs w:val="28"/>
        </w:rPr>
        <w:t>（一）总则</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"_Toc383776345#_Toc383776345" </w:instrText>
      </w:r>
      <w:r>
        <w:fldChar w:fldCharType="separate"/>
      </w:r>
      <w:r>
        <w:rPr>
          <w:rFonts w:hint="eastAsia" w:ascii="宋体" w:hAnsi="宋体" w:eastAsia="宋体" w:cs="宋体"/>
          <w:sz w:val="28"/>
          <w:szCs w:val="28"/>
        </w:rPr>
        <w:t>（二）竞争性磋商文件</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"_Toc383776346#_Toc383776346" </w:instrText>
      </w:r>
      <w:r>
        <w:fldChar w:fldCharType="separate"/>
      </w:r>
      <w:r>
        <w:rPr>
          <w:rFonts w:hint="eastAsia" w:ascii="宋体" w:hAnsi="宋体" w:eastAsia="宋体" w:cs="宋体"/>
          <w:sz w:val="28"/>
          <w:szCs w:val="28"/>
        </w:rPr>
        <w:t>（三）磋商响应书的编制</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"_Toc383776347#_Toc383776347" </w:instrText>
      </w:r>
      <w:r>
        <w:fldChar w:fldCharType="separate"/>
      </w:r>
      <w:r>
        <w:rPr>
          <w:rFonts w:hint="eastAsia" w:ascii="宋体" w:hAnsi="宋体" w:eastAsia="宋体" w:cs="宋体"/>
          <w:sz w:val="28"/>
          <w:szCs w:val="28"/>
        </w:rPr>
        <w:t>（四）磋商响应书的递交</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cs="宋体"/>
          <w:sz w:val="28"/>
          <w:szCs w:val="28"/>
        </w:rPr>
      </w:pPr>
      <w:r>
        <w:rPr>
          <w:rFonts w:ascii="宋体" w:hAnsi="宋体" w:eastAsia="宋体"/>
          <w:sz w:val="28"/>
          <w:szCs w:val="28"/>
        </w:rPr>
        <w:fldChar w:fldCharType="begin"/>
      </w:r>
      <w:r>
        <w:rPr>
          <w:rFonts w:hint="eastAsia" w:ascii="宋体" w:hAnsi="宋体" w:eastAsia="宋体"/>
          <w:sz w:val="28"/>
          <w:szCs w:val="28"/>
        </w:rPr>
        <w:instrText xml:space="preserve">HYPERLINK "file:///F:\\2016造价咨询\\2016招标代理\\081-铜官区《西湖镇产业发展规划》编制服务采购\\铜官区《西湖镇产业发展规划》编制服务采购竞争性磋商文件.rtf" \l "_Toc383776348#_Toc383776348"</w:instrText>
      </w:r>
      <w:r>
        <w:rPr>
          <w:rFonts w:ascii="宋体" w:hAnsi="宋体" w:eastAsia="宋体"/>
          <w:sz w:val="28"/>
          <w:szCs w:val="28"/>
        </w:rPr>
        <w:fldChar w:fldCharType="separate"/>
      </w:r>
      <w:r>
        <w:rPr>
          <w:rFonts w:hint="eastAsia" w:ascii="宋体" w:hAnsi="宋体" w:eastAsia="宋体" w:cs="宋体"/>
          <w:sz w:val="28"/>
          <w:szCs w:val="28"/>
        </w:rPr>
        <w:t>（五）磋商办法</w:t>
      </w:r>
    </w:p>
    <w:p>
      <w:pPr>
        <w:pStyle w:val="14"/>
        <w:tabs>
          <w:tab w:val="left" w:pos="532"/>
        </w:tabs>
        <w:spacing w:line="520" w:lineRule="exact"/>
        <w:ind w:left="0" w:leftChars="0" w:firstLine="420" w:firstLineChars="150"/>
        <w:rPr>
          <w:rFonts w:ascii="宋体" w:hAnsi="宋体" w:eastAsia="宋体" w:cs="宋体"/>
          <w:sz w:val="28"/>
          <w:szCs w:val="28"/>
        </w:rPr>
      </w:pPr>
      <w:r>
        <w:rPr>
          <w:rFonts w:ascii="宋体" w:hAnsi="宋体" w:eastAsia="宋体"/>
          <w:sz w:val="28"/>
          <w:szCs w:val="28"/>
        </w:rPr>
        <w:fldChar w:fldCharType="end"/>
      </w:r>
      <w:r>
        <w:rPr>
          <w:rFonts w:ascii="宋体" w:hAnsi="宋体" w:eastAsia="宋体"/>
          <w:sz w:val="28"/>
          <w:szCs w:val="28"/>
        </w:rPr>
        <w:fldChar w:fldCharType="begin"/>
      </w:r>
      <w:r>
        <w:rPr>
          <w:rFonts w:hint="eastAsia" w:ascii="宋体" w:hAnsi="宋体" w:eastAsia="宋体"/>
          <w:sz w:val="28"/>
          <w:szCs w:val="28"/>
        </w:rPr>
        <w:instrText xml:space="preserve">HYPERLINK "file:///F:\\2016造价咨询\\2016招标代理\\081-铜官区《西湖镇产业发展规划》编制服务采购\\铜官区《西湖镇产业发展规划》编制服务采购竞争性磋商文件.rtf" \l "_Toc383776349#_Toc383776349"</w:instrText>
      </w:r>
      <w:r>
        <w:rPr>
          <w:rFonts w:ascii="宋体" w:hAnsi="宋体" w:eastAsia="宋体"/>
          <w:sz w:val="28"/>
          <w:szCs w:val="28"/>
        </w:rPr>
        <w:fldChar w:fldCharType="separate"/>
      </w:r>
      <w:r>
        <w:rPr>
          <w:rFonts w:hint="eastAsia" w:ascii="宋体" w:hAnsi="宋体" w:eastAsia="宋体" w:cs="宋体"/>
          <w:sz w:val="28"/>
          <w:szCs w:val="28"/>
        </w:rPr>
        <w:t>（六）合同的签订、履行及签收</w:t>
      </w:r>
    </w:p>
    <w:p>
      <w:pPr>
        <w:pStyle w:val="14"/>
        <w:tabs>
          <w:tab w:val="right" w:leader="dot" w:pos="8296"/>
        </w:tabs>
        <w:spacing w:line="520" w:lineRule="exact"/>
        <w:rPr>
          <w:rFonts w:ascii="宋体" w:hAnsi="宋体" w:eastAsia="宋体"/>
          <w:sz w:val="28"/>
          <w:szCs w:val="28"/>
        </w:rPr>
      </w:pPr>
      <w:r>
        <w:rPr>
          <w:rFonts w:hint="eastAsia" w:ascii="宋体" w:hAnsi="宋体" w:eastAsia="宋体" w:cs="宋体"/>
          <w:sz w:val="28"/>
          <w:szCs w:val="28"/>
        </w:rPr>
        <w:t>（七）质疑</w:t>
      </w:r>
      <w:r>
        <w:rPr>
          <w:rFonts w:ascii="宋体" w:hAnsi="宋体" w:eastAsia="宋体"/>
          <w:sz w:val="28"/>
          <w:szCs w:val="28"/>
        </w:rPr>
        <w:fldChar w:fldCharType="end"/>
      </w:r>
    </w:p>
    <w:p>
      <w:pPr>
        <w:pStyle w:val="14"/>
        <w:tabs>
          <w:tab w:val="right" w:leader="dot" w:pos="8296"/>
        </w:tabs>
        <w:spacing w:line="520" w:lineRule="exact"/>
        <w:rPr>
          <w:rFonts w:ascii="宋体" w:hAnsi="宋体" w:eastAsia="宋体"/>
          <w:sz w:val="28"/>
          <w:szCs w:val="28"/>
        </w:rPr>
      </w:pPr>
      <w:r>
        <w:rPr>
          <w:rFonts w:hint="eastAsia" w:ascii="宋体" w:hAnsi="宋体" w:eastAsia="宋体"/>
          <w:sz w:val="28"/>
          <w:szCs w:val="28"/>
        </w:rPr>
        <w:t>三、项目的具体内容、技术要求及其方案</w:t>
      </w:r>
    </w:p>
    <w:p>
      <w:pPr>
        <w:pStyle w:val="13"/>
        <w:tabs>
          <w:tab w:val="left" w:pos="1050"/>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"_Toc383776351#_Toc383776351" </w:instrText>
      </w:r>
      <w:r>
        <w:fldChar w:fldCharType="separate"/>
      </w:r>
      <w:r>
        <w:rPr>
          <w:rFonts w:hint="eastAsia" w:ascii="宋体" w:hAnsi="宋体" w:eastAsia="宋体" w:cs="宋体"/>
          <w:sz w:val="28"/>
          <w:szCs w:val="28"/>
        </w:rPr>
        <w:t>第二章</w:t>
      </w:r>
      <w:r>
        <w:rPr>
          <w:rFonts w:ascii="宋体" w:hAnsi="宋体" w:eastAsia="宋体"/>
          <w:sz w:val="28"/>
          <w:szCs w:val="28"/>
        </w:rPr>
        <w:tab/>
      </w:r>
      <w:r>
        <w:rPr>
          <w:rFonts w:hint="eastAsia" w:ascii="宋体" w:hAnsi="宋体" w:eastAsia="宋体" w:cs="宋体"/>
          <w:sz w:val="28"/>
          <w:szCs w:val="28"/>
        </w:rPr>
        <w:t>磋商响应书</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"_Toc383776352#_Toc383776352" </w:instrText>
      </w:r>
      <w:r>
        <w:fldChar w:fldCharType="separate"/>
      </w:r>
      <w:r>
        <w:rPr>
          <w:rFonts w:hint="eastAsia" w:ascii="宋体" w:hAnsi="宋体" w:eastAsia="宋体" w:cs="宋体"/>
          <w:sz w:val="28"/>
          <w:szCs w:val="28"/>
        </w:rPr>
        <w:t>封面</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"_Toc383776353#_Toc383776353" </w:instrText>
      </w:r>
      <w:r>
        <w:fldChar w:fldCharType="separate"/>
      </w:r>
      <w:r>
        <w:rPr>
          <w:rFonts w:hint="eastAsia" w:ascii="宋体" w:hAnsi="宋体" w:eastAsia="宋体" w:cs="宋体"/>
          <w:sz w:val="28"/>
          <w:szCs w:val="28"/>
        </w:rPr>
        <w:t>一、磋商响应函格式</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"_Toc383776354#_Toc383776354" </w:instrText>
      </w:r>
      <w:r>
        <w:fldChar w:fldCharType="separate"/>
      </w:r>
      <w:r>
        <w:rPr>
          <w:rFonts w:hint="eastAsia" w:ascii="宋体" w:hAnsi="宋体" w:eastAsia="宋体" w:cs="宋体"/>
          <w:sz w:val="28"/>
          <w:szCs w:val="28"/>
        </w:rPr>
        <w:t>二、技术服务方案</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"_Toc383776355#_Toc383776355" </w:instrText>
      </w:r>
      <w:r>
        <w:fldChar w:fldCharType="separate"/>
      </w:r>
      <w:r>
        <w:rPr>
          <w:rFonts w:hint="eastAsia" w:ascii="宋体" w:hAnsi="宋体" w:eastAsia="宋体" w:cs="宋体"/>
          <w:sz w:val="28"/>
          <w:szCs w:val="28"/>
        </w:rPr>
        <w:t>三、法定代表人授权书</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"_Toc383776356#_Toc383776356" </w:instrText>
      </w:r>
      <w:r>
        <w:fldChar w:fldCharType="separate"/>
      </w:r>
      <w:r>
        <w:rPr>
          <w:rFonts w:hint="eastAsia" w:ascii="宋体" w:hAnsi="宋体" w:eastAsia="宋体" w:cs="宋体"/>
          <w:sz w:val="28"/>
          <w:szCs w:val="28"/>
        </w:rPr>
        <w:t>四、资格证明文件</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"_Toc383776357#_Toc383776357" </w:instrText>
      </w:r>
      <w:r>
        <w:fldChar w:fldCharType="separate"/>
      </w:r>
      <w:r>
        <w:rPr>
          <w:rFonts w:hint="eastAsia" w:ascii="宋体" w:hAnsi="宋体" w:eastAsia="宋体" w:cs="宋体"/>
          <w:sz w:val="28"/>
          <w:szCs w:val="28"/>
        </w:rPr>
        <w:t>五、需要提供其它的资料</w:t>
      </w:r>
      <w:r>
        <w:rPr>
          <w:rFonts w:hint="eastAsia" w:ascii="宋体" w:hAnsi="宋体" w:eastAsia="宋体" w:cs="宋体"/>
          <w:sz w:val="28"/>
          <w:szCs w:val="28"/>
        </w:rPr>
        <w:fldChar w:fldCharType="end"/>
      </w:r>
    </w:p>
    <w:p>
      <w:pPr>
        <w:pStyle w:val="14"/>
        <w:tabs>
          <w:tab w:val="right" w:leader="dot" w:pos="8296"/>
        </w:tabs>
        <w:spacing w:line="520" w:lineRule="exact"/>
        <w:rPr>
          <w:rFonts w:ascii="宋体" w:hAnsi="宋体" w:eastAsia="宋体"/>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"_Toc383776358#_Toc383776358" </w:instrText>
      </w:r>
      <w:r>
        <w:fldChar w:fldCharType="separate"/>
      </w:r>
      <w:r>
        <w:rPr>
          <w:rFonts w:hint="eastAsia" w:ascii="宋体" w:hAnsi="宋体" w:eastAsia="宋体" w:cs="宋体"/>
          <w:sz w:val="28"/>
          <w:szCs w:val="28"/>
        </w:rPr>
        <w:t>六、磋商响应报价表</w:t>
      </w:r>
      <w:r>
        <w:rPr>
          <w:rFonts w:hint="eastAsia" w:ascii="宋体" w:hAnsi="宋体" w:eastAsia="宋体" w:cs="宋体"/>
          <w:sz w:val="28"/>
          <w:szCs w:val="28"/>
        </w:rPr>
        <w:fldChar w:fldCharType="end"/>
      </w:r>
    </w:p>
    <w:p>
      <w:pPr>
        <w:spacing w:line="500" w:lineRule="exact"/>
        <w:ind w:right="42" w:rightChars="20" w:firstLine="560" w:firstLineChars="200"/>
        <w:jc w:val="left"/>
        <w:rPr>
          <w:rFonts w:ascii="宋体" w:hAnsi="宋体" w:eastAsia="宋体"/>
          <w:b/>
          <w:bCs/>
          <w:sz w:val="30"/>
          <w:szCs w:val="30"/>
        </w:rPr>
      </w:pPr>
      <w:r>
        <w:rPr>
          <w:rFonts w:hint="eastAsia" w:ascii="宋体" w:hAnsi="宋体" w:eastAsia="宋体" w:cs="宋体"/>
          <w:sz w:val="28"/>
          <w:szCs w:val="28"/>
        </w:rPr>
        <w:fldChar w:fldCharType="end"/>
      </w:r>
    </w:p>
    <w:p>
      <w:pPr>
        <w:pStyle w:val="21"/>
        <w:tabs>
          <w:tab w:val="left" w:pos="420"/>
        </w:tabs>
        <w:spacing w:line="420" w:lineRule="exact"/>
        <w:rPr>
          <w:rFonts w:ascii="宋体" w:hAnsi="宋体" w:eastAsia="宋体"/>
          <w:b w:val="0"/>
          <w:kern w:val="36"/>
          <w:sz w:val="32"/>
          <w:szCs w:val="32"/>
        </w:rPr>
      </w:pPr>
      <w:r>
        <w:rPr>
          <w:rFonts w:hint="eastAsia" w:ascii="宋体" w:hAnsi="宋体" w:eastAsia="宋体"/>
          <w:b w:val="0"/>
          <w:bCs w:val="0"/>
        </w:rPr>
        <w:br w:type="page"/>
      </w:r>
      <w:bookmarkStart w:id="0" w:name="_Toc338398712"/>
      <w:bookmarkStart w:id="1" w:name="_Toc272141463"/>
      <w:bookmarkStart w:id="2" w:name="_Hlk450146187"/>
      <w:bookmarkStart w:id="3" w:name="_Toc383776341"/>
      <w:r>
        <w:rPr>
          <w:rFonts w:hint="eastAsia" w:ascii="宋体" w:hAnsi="宋体" w:eastAsia="宋体"/>
        </w:rPr>
        <w:t>铜陵学院毕业生就业第三方评价项目</w:t>
      </w:r>
    </w:p>
    <w:p>
      <w:pPr>
        <w:pStyle w:val="21"/>
        <w:tabs>
          <w:tab w:val="left" w:pos="420"/>
        </w:tabs>
        <w:spacing w:line="420" w:lineRule="exact"/>
        <w:rPr>
          <w:rFonts w:ascii="宋体" w:hAnsi="宋体" w:eastAsia="宋体"/>
          <w:b w:val="0"/>
          <w:bCs w:val="0"/>
        </w:rPr>
      </w:pPr>
      <w:r>
        <w:rPr>
          <w:rFonts w:hint="eastAsia" w:ascii="宋体" w:hAnsi="宋体" w:eastAsia="宋体"/>
        </w:rPr>
        <w:t>竞争性磋商公告</w:t>
      </w:r>
    </w:p>
    <w:p>
      <w:pPr>
        <w:widowControl/>
        <w:snapToGrid w:val="0"/>
        <w:spacing w:line="420" w:lineRule="exact"/>
        <w:ind w:firstLine="480" w:firstLineChars="200"/>
        <w:rPr>
          <w:rFonts w:ascii="宋体" w:hAnsi="宋体" w:eastAsia="宋体" w:cs="宋体"/>
          <w:kern w:val="0"/>
          <w:sz w:val="24"/>
          <w:szCs w:val="24"/>
        </w:rPr>
      </w:pPr>
    </w:p>
    <w:p>
      <w:pPr>
        <w:widowControl/>
        <w:snapToGrid w:val="0"/>
        <w:spacing w:line="4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铜陵学院对</w:t>
      </w:r>
      <w:r>
        <w:rPr>
          <w:rFonts w:hint="eastAsia" w:ascii="宋体" w:hAnsi="宋体" w:cs="宋体"/>
          <w:kern w:val="0"/>
          <w:sz w:val="24"/>
          <w:szCs w:val="24"/>
          <w:lang w:val="en-US" w:eastAsia="zh-CN"/>
        </w:rPr>
        <w:t>2022届</w:t>
      </w:r>
      <w:r>
        <w:rPr>
          <w:rFonts w:hint="eastAsia" w:ascii="宋体" w:hAnsi="宋体" w:eastAsia="宋体" w:cs="宋体"/>
          <w:kern w:val="0"/>
          <w:sz w:val="24"/>
          <w:szCs w:val="24"/>
        </w:rPr>
        <w:t>毕业生就业第三方评价项目进行竞争性磋商，欢迎具备条件的供应商参加磋商。</w:t>
      </w:r>
    </w:p>
    <w:p>
      <w:pPr>
        <w:snapToGrid w:val="0"/>
        <w:spacing w:line="420" w:lineRule="exact"/>
        <w:ind w:firstLine="241" w:firstLineChars="100"/>
        <w:jc w:val="left"/>
        <w:rPr>
          <w:rFonts w:ascii="宋体" w:hAnsi="宋体" w:eastAsia="宋体" w:cs="宋体"/>
          <w:b/>
          <w:kern w:val="0"/>
          <w:sz w:val="24"/>
          <w:szCs w:val="24"/>
        </w:rPr>
      </w:pPr>
      <w:r>
        <w:rPr>
          <w:rFonts w:hint="eastAsia" w:ascii="宋体" w:hAnsi="宋体" w:eastAsia="宋体" w:cs="宋体"/>
          <w:b/>
          <w:kern w:val="0"/>
          <w:sz w:val="24"/>
          <w:szCs w:val="24"/>
        </w:rPr>
        <w:t>（一）项目概况与采购范围：</w:t>
      </w:r>
    </w:p>
    <w:p>
      <w:pPr>
        <w:pStyle w:val="16"/>
        <w:snapToGrid w:val="0"/>
        <w:spacing w:line="420" w:lineRule="exact"/>
        <w:ind w:firstLine="480" w:firstLineChars="200"/>
        <w:rPr>
          <w:rStyle w:val="19"/>
          <w:rFonts w:ascii="宋体" w:hAnsi="宋体" w:eastAsia="宋体" w:cs="宋体"/>
          <w:b w:val="0"/>
        </w:rPr>
      </w:pPr>
      <w:r>
        <w:rPr>
          <w:rStyle w:val="19"/>
          <w:rFonts w:hint="eastAsia" w:ascii="宋体" w:hAnsi="宋体" w:eastAsia="宋体" w:cs="宋体"/>
          <w:b w:val="0"/>
        </w:rPr>
        <w:t>1、项目编号：tlxyzb[202</w:t>
      </w:r>
      <w:r>
        <w:rPr>
          <w:rStyle w:val="19"/>
          <w:rFonts w:hint="eastAsia" w:ascii="宋体" w:hAnsi="宋体" w:cs="宋体"/>
          <w:b w:val="0"/>
          <w:lang w:val="en-US" w:eastAsia="zh-CN"/>
        </w:rPr>
        <w:t>2</w:t>
      </w:r>
      <w:r>
        <w:rPr>
          <w:rStyle w:val="19"/>
          <w:rFonts w:hint="eastAsia" w:ascii="宋体" w:hAnsi="宋体" w:eastAsia="宋体" w:cs="宋体"/>
          <w:b w:val="0"/>
        </w:rPr>
        <w:t>]</w:t>
      </w:r>
      <w:r>
        <w:rPr>
          <w:rStyle w:val="19"/>
          <w:rFonts w:hint="eastAsia" w:ascii="宋体" w:hAnsi="宋体" w:cs="宋体"/>
          <w:b w:val="0"/>
          <w:lang w:val="en-US" w:eastAsia="zh-CN"/>
        </w:rPr>
        <w:t>42</w:t>
      </w:r>
      <w:r>
        <w:rPr>
          <w:rStyle w:val="19"/>
          <w:rFonts w:hint="eastAsia" w:ascii="宋体" w:hAnsi="宋体" w:eastAsia="宋体" w:cs="宋体"/>
          <w:b w:val="0"/>
        </w:rPr>
        <w:t>号</w:t>
      </w:r>
    </w:p>
    <w:p>
      <w:pPr>
        <w:pStyle w:val="16"/>
        <w:snapToGrid w:val="0"/>
        <w:spacing w:line="420" w:lineRule="exact"/>
        <w:ind w:firstLine="480" w:firstLineChars="200"/>
        <w:rPr>
          <w:rStyle w:val="19"/>
          <w:rFonts w:ascii="宋体" w:hAnsi="宋体" w:eastAsia="宋体" w:cs="宋体"/>
          <w:b w:val="0"/>
        </w:rPr>
      </w:pPr>
      <w:r>
        <w:rPr>
          <w:rStyle w:val="19"/>
          <w:rFonts w:hint="eastAsia" w:ascii="宋体" w:hAnsi="宋体" w:eastAsia="宋体" w:cs="宋体"/>
          <w:b w:val="0"/>
        </w:rPr>
        <w:t>2、项目名称：铜陵学院毕业生就业第三方评价项目</w:t>
      </w:r>
    </w:p>
    <w:p>
      <w:pPr>
        <w:pStyle w:val="16"/>
        <w:snapToGrid w:val="0"/>
        <w:spacing w:line="420" w:lineRule="exact"/>
        <w:ind w:firstLine="480" w:firstLineChars="200"/>
        <w:rPr>
          <w:rStyle w:val="19"/>
          <w:rFonts w:ascii="宋体" w:hAnsi="宋体" w:eastAsia="宋体" w:cs="宋体"/>
          <w:b w:val="0"/>
        </w:rPr>
      </w:pPr>
      <w:r>
        <w:rPr>
          <w:rStyle w:val="19"/>
          <w:rFonts w:hint="eastAsia" w:ascii="宋体" w:hAnsi="宋体" w:eastAsia="宋体" w:cs="宋体"/>
          <w:b w:val="0"/>
        </w:rPr>
        <w:t>3、采购方式：竞争性磋商</w:t>
      </w:r>
    </w:p>
    <w:p>
      <w:pPr>
        <w:pStyle w:val="16"/>
        <w:snapToGrid w:val="0"/>
        <w:spacing w:line="420" w:lineRule="exact"/>
        <w:ind w:firstLine="480" w:firstLineChars="200"/>
        <w:rPr>
          <w:rStyle w:val="19"/>
          <w:rFonts w:ascii="宋体" w:hAnsi="宋体" w:eastAsia="宋体" w:cs="宋体"/>
          <w:b w:val="0"/>
        </w:rPr>
      </w:pPr>
      <w:r>
        <w:rPr>
          <w:rStyle w:val="19"/>
          <w:rFonts w:hint="eastAsia" w:ascii="宋体" w:hAnsi="宋体" w:eastAsia="宋体" w:cs="宋体"/>
          <w:b w:val="0"/>
        </w:rPr>
        <w:t>4、服务内容：对铜陵学院毕业生就业进行第三方评价</w:t>
      </w:r>
    </w:p>
    <w:p>
      <w:pPr>
        <w:pStyle w:val="16"/>
        <w:snapToGrid w:val="0"/>
        <w:spacing w:line="420" w:lineRule="exact"/>
        <w:ind w:firstLine="480" w:firstLineChars="200"/>
        <w:rPr>
          <w:rStyle w:val="19"/>
          <w:rFonts w:hint="default" w:ascii="宋体" w:hAnsi="宋体" w:eastAsia="宋体" w:cs="宋体"/>
          <w:b w:val="0"/>
          <w:lang w:val="en-US" w:eastAsia="zh-CN"/>
        </w:rPr>
      </w:pPr>
      <w:r>
        <w:rPr>
          <w:rStyle w:val="19"/>
          <w:rFonts w:hint="eastAsia" w:ascii="宋体" w:hAnsi="宋体" w:eastAsia="宋体" w:cs="宋体"/>
          <w:b w:val="0"/>
        </w:rPr>
        <w:t>5、</w:t>
      </w:r>
      <w:r>
        <w:rPr>
          <w:rStyle w:val="19"/>
          <w:rFonts w:hint="eastAsia" w:ascii="宋体" w:hAnsi="宋体" w:cs="宋体"/>
          <w:b w:val="0"/>
          <w:lang w:eastAsia="zh-CN"/>
        </w:rPr>
        <w:t>项目预算：</w:t>
      </w:r>
      <w:r>
        <w:rPr>
          <w:rStyle w:val="19"/>
          <w:rFonts w:hint="eastAsia" w:ascii="宋体" w:hAnsi="宋体" w:cs="宋体"/>
          <w:b w:val="0"/>
          <w:lang w:val="en-US" w:eastAsia="zh-CN"/>
        </w:rPr>
        <w:t>9万元</w:t>
      </w:r>
    </w:p>
    <w:p>
      <w:pPr>
        <w:pStyle w:val="16"/>
        <w:snapToGrid w:val="0"/>
        <w:spacing w:line="420" w:lineRule="exact"/>
        <w:ind w:firstLine="480" w:firstLineChars="200"/>
        <w:rPr>
          <w:rFonts w:ascii="宋体" w:hAnsi="宋体" w:eastAsia="宋体" w:cs="宋体"/>
          <w:kern w:val="0"/>
        </w:rPr>
      </w:pPr>
      <w:r>
        <w:rPr>
          <w:rStyle w:val="19"/>
          <w:rFonts w:hint="eastAsia" w:ascii="宋体" w:hAnsi="宋体" w:cs="宋体"/>
          <w:b w:val="0"/>
          <w:lang w:val="en-US" w:eastAsia="zh-CN"/>
        </w:rPr>
        <w:t>6、</w:t>
      </w:r>
      <w:r>
        <w:rPr>
          <w:rStyle w:val="19"/>
          <w:rFonts w:hint="eastAsia" w:ascii="宋体" w:hAnsi="宋体" w:eastAsia="宋体" w:cs="宋体"/>
          <w:b w:val="0"/>
        </w:rPr>
        <w:t>标段（包别）划分</w:t>
      </w:r>
      <w:r>
        <w:rPr>
          <w:rFonts w:hint="eastAsia" w:ascii="宋体" w:hAnsi="宋体" w:eastAsia="宋体" w:cs="宋体"/>
          <w:b/>
          <w:kern w:val="0"/>
        </w:rPr>
        <w:t>：一</w:t>
      </w:r>
      <w:r>
        <w:rPr>
          <w:rFonts w:hint="eastAsia" w:ascii="宋体" w:hAnsi="宋体" w:eastAsia="宋体" w:cs="宋体"/>
          <w:kern w:val="0"/>
        </w:rPr>
        <w:t>个标段。</w:t>
      </w:r>
    </w:p>
    <w:p>
      <w:pPr>
        <w:snapToGrid w:val="0"/>
        <w:spacing w:line="420" w:lineRule="exact"/>
        <w:ind w:firstLine="241" w:firstLineChars="100"/>
        <w:jc w:val="left"/>
        <w:rPr>
          <w:rFonts w:ascii="宋体" w:hAnsi="宋体" w:eastAsia="宋体" w:cs="宋体"/>
          <w:b/>
          <w:kern w:val="0"/>
          <w:sz w:val="24"/>
          <w:szCs w:val="24"/>
        </w:rPr>
      </w:pPr>
      <w:r>
        <w:rPr>
          <w:rFonts w:hint="eastAsia" w:ascii="宋体" w:hAnsi="宋体" w:eastAsia="宋体" w:cs="宋体"/>
          <w:b/>
          <w:kern w:val="0"/>
          <w:sz w:val="24"/>
          <w:szCs w:val="24"/>
        </w:rPr>
        <w:t>（二）合格供应商资格条件：</w:t>
      </w:r>
    </w:p>
    <w:p>
      <w:pPr>
        <w:pStyle w:val="16"/>
        <w:snapToGrid w:val="0"/>
        <w:spacing w:line="420" w:lineRule="exact"/>
        <w:ind w:firstLine="480" w:firstLineChars="200"/>
        <w:rPr>
          <w:rStyle w:val="19"/>
          <w:rFonts w:ascii="宋体" w:hAnsi="宋体" w:eastAsia="宋体" w:cs="宋体"/>
          <w:b w:val="0"/>
        </w:rPr>
      </w:pPr>
      <w:r>
        <w:rPr>
          <w:rStyle w:val="19"/>
          <w:rFonts w:hint="eastAsia" w:ascii="宋体" w:hAnsi="宋体" w:eastAsia="宋体" w:cs="宋体"/>
          <w:b w:val="0"/>
        </w:rPr>
        <w:t>1、具有独立法人资格，能独立承担民事责任能力；</w:t>
      </w:r>
    </w:p>
    <w:p>
      <w:pPr>
        <w:pStyle w:val="16"/>
        <w:snapToGrid w:val="0"/>
        <w:spacing w:line="420" w:lineRule="exact"/>
        <w:ind w:firstLine="480" w:firstLineChars="200"/>
        <w:rPr>
          <w:rStyle w:val="19"/>
          <w:rFonts w:ascii="宋体" w:hAnsi="宋体" w:eastAsia="宋体" w:cs="宋体"/>
          <w:b w:val="0"/>
        </w:rPr>
      </w:pPr>
      <w:r>
        <w:rPr>
          <w:rStyle w:val="19"/>
          <w:rFonts w:hint="eastAsia" w:ascii="宋体" w:hAnsi="宋体" w:eastAsia="宋体" w:cs="宋体"/>
          <w:b w:val="0"/>
        </w:rPr>
        <w:t>2、满足《中华人民共和国政府采购法》第二十二条的全部要求，</w:t>
      </w:r>
      <w:r>
        <w:rPr>
          <w:rFonts w:hint="eastAsia" w:ascii="宋体" w:hAnsi="宋体" w:eastAsia="宋体"/>
        </w:rPr>
        <w:t>具有从事本项目的经营范围和能力</w:t>
      </w:r>
      <w:r>
        <w:rPr>
          <w:rStyle w:val="19"/>
          <w:rFonts w:hint="eastAsia" w:ascii="宋体" w:hAnsi="宋体" w:eastAsia="宋体" w:cs="宋体"/>
          <w:b w:val="0"/>
        </w:rPr>
        <w:t>；</w:t>
      </w:r>
    </w:p>
    <w:p>
      <w:pPr>
        <w:pStyle w:val="16"/>
        <w:snapToGrid w:val="0"/>
        <w:spacing w:line="420" w:lineRule="exact"/>
        <w:ind w:firstLine="480" w:firstLineChars="200"/>
        <w:rPr>
          <w:rStyle w:val="19"/>
          <w:rFonts w:hint="eastAsia" w:ascii="宋体" w:hAnsi="宋体" w:eastAsia="宋体" w:cs="宋体"/>
          <w:b w:val="0"/>
          <w:lang w:eastAsia="zh-CN"/>
        </w:rPr>
      </w:pPr>
      <w:r>
        <w:rPr>
          <w:rStyle w:val="19"/>
          <w:rFonts w:hint="eastAsia" w:ascii="宋体" w:hAnsi="宋体" w:eastAsia="宋体" w:cs="宋体"/>
          <w:b w:val="0"/>
        </w:rPr>
        <w:t>3、</w:t>
      </w:r>
      <w:r>
        <w:rPr>
          <w:rFonts w:hint="eastAsia" w:ascii="宋体" w:hAnsi="宋体" w:eastAsia="宋体" w:cs="宋体"/>
          <w:kern w:val="2"/>
          <w:sz w:val="24"/>
          <w:szCs w:val="24"/>
          <w:lang w:val="en-US" w:eastAsia="zh-CN" w:bidi="ar"/>
        </w:rPr>
        <w:t>具有良好的商业信誉和健全的财务会计制度；具有履行合同所必需的设备和专业技术能力；有依法缴纳税收和社会保障资金的良好记录；</w:t>
      </w:r>
    </w:p>
    <w:p>
      <w:pPr>
        <w:pStyle w:val="16"/>
        <w:snapToGrid w:val="0"/>
        <w:spacing w:line="420" w:lineRule="exact"/>
        <w:ind w:firstLine="480" w:firstLineChars="200"/>
        <w:rPr>
          <w:rStyle w:val="19"/>
          <w:rFonts w:hint="eastAsia" w:ascii="宋体" w:hAnsi="宋体" w:eastAsia="宋体" w:cs="宋体"/>
          <w:b w:val="0"/>
          <w:lang w:val="en-US"/>
        </w:rPr>
      </w:pPr>
      <w:r>
        <w:rPr>
          <w:rStyle w:val="19"/>
          <w:rFonts w:hint="eastAsia" w:ascii="宋体" w:hAnsi="宋体" w:eastAsia="宋体" w:cs="宋体"/>
          <w:b w:val="0"/>
          <w:lang w:val="en-US" w:eastAsia="zh-CN"/>
        </w:rPr>
        <w:t>4、</w:t>
      </w:r>
      <w:r>
        <w:rPr>
          <w:rStyle w:val="19"/>
          <w:rFonts w:hint="eastAsia" w:ascii="宋体" w:hAnsi="宋体" w:eastAsia="宋体" w:cs="宋体"/>
          <w:b w:val="0"/>
          <w:lang w:eastAsia="zh-CN"/>
        </w:rPr>
        <w:t>供应商应具备服务高校相关业绩或具备平台开发能力；</w:t>
      </w:r>
    </w:p>
    <w:p>
      <w:pPr>
        <w:pStyle w:val="16"/>
        <w:snapToGrid w:val="0"/>
        <w:spacing w:line="420" w:lineRule="exact"/>
        <w:ind w:firstLine="480" w:firstLineChars="200"/>
        <w:rPr>
          <w:rStyle w:val="19"/>
          <w:rFonts w:hint="eastAsia" w:ascii="宋体" w:hAnsi="宋体" w:eastAsia="宋体" w:cs="宋体"/>
          <w:b w:val="0"/>
          <w:lang w:val="en-US"/>
        </w:rPr>
      </w:pPr>
      <w:r>
        <w:rPr>
          <w:rStyle w:val="19"/>
          <w:rFonts w:hint="eastAsia" w:ascii="宋体" w:hAnsi="宋体" w:eastAsia="宋体" w:cs="宋体"/>
          <w:b w:val="0"/>
          <w:lang w:val="en-US" w:eastAsia="zh-CN"/>
        </w:rPr>
        <w:t>5、参加政府采购活动前三年内，在经营活动中没有重大违法记录；</w:t>
      </w:r>
    </w:p>
    <w:p>
      <w:pPr>
        <w:pStyle w:val="16"/>
        <w:snapToGrid w:val="0"/>
        <w:spacing w:line="420" w:lineRule="exact"/>
        <w:ind w:firstLine="241" w:firstLineChars="100"/>
        <w:rPr>
          <w:rStyle w:val="19"/>
          <w:rFonts w:hint="eastAsia" w:ascii="宋体" w:hAnsi="宋体" w:eastAsia="宋体" w:cs="宋体"/>
          <w:b/>
          <w:bCs w:val="0"/>
        </w:rPr>
      </w:pPr>
      <w:r>
        <w:rPr>
          <w:rStyle w:val="19"/>
          <w:rFonts w:hint="eastAsia" w:ascii="宋体" w:hAnsi="宋体" w:eastAsia="宋体" w:cs="宋体"/>
          <w:b/>
          <w:bCs w:val="0"/>
        </w:rPr>
        <w:t>（三）资格审查：</w:t>
      </w:r>
    </w:p>
    <w:p>
      <w:pPr>
        <w:pStyle w:val="16"/>
        <w:snapToGrid w:val="0"/>
        <w:spacing w:line="420" w:lineRule="exact"/>
        <w:ind w:firstLine="480" w:firstLineChars="200"/>
        <w:rPr>
          <w:rFonts w:ascii="宋体" w:hAnsi="宋体" w:eastAsia="宋体" w:cs="宋体"/>
        </w:rPr>
      </w:pPr>
      <w:r>
        <w:rPr>
          <w:rFonts w:hint="eastAsia" w:ascii="宋体" w:hAnsi="宋体" w:eastAsia="宋体" w:cs="宋体"/>
        </w:rPr>
        <w:t>本次磋商采取资格后审方式，资格审查将在磋商时由磋商小组审查。</w:t>
      </w:r>
    </w:p>
    <w:p>
      <w:pPr>
        <w:pStyle w:val="16"/>
        <w:snapToGrid w:val="0"/>
        <w:spacing w:line="420" w:lineRule="exact"/>
        <w:ind w:firstLine="241" w:firstLineChars="100"/>
        <w:rPr>
          <w:rFonts w:ascii="宋体" w:hAnsi="宋体" w:eastAsia="宋体" w:cs="宋体"/>
          <w:b/>
        </w:rPr>
      </w:pPr>
      <w:r>
        <w:rPr>
          <w:rFonts w:hint="eastAsia" w:ascii="宋体" w:hAnsi="宋体" w:eastAsia="宋体" w:cs="宋体"/>
          <w:b/>
        </w:rPr>
        <w:t>（四）</w:t>
      </w:r>
      <w:r>
        <w:rPr>
          <w:rFonts w:hint="eastAsia" w:ascii="宋体" w:hAnsi="宋体" w:cs="宋体"/>
          <w:b/>
          <w:lang w:eastAsia="zh-CN"/>
        </w:rPr>
        <w:t>磋商文件获取</w:t>
      </w:r>
      <w:r>
        <w:rPr>
          <w:rFonts w:hint="eastAsia" w:ascii="宋体" w:hAnsi="宋体" w:eastAsia="宋体" w:cs="宋体"/>
          <w:b/>
        </w:rPr>
        <w:t>：</w:t>
      </w:r>
    </w:p>
    <w:p>
      <w:pPr>
        <w:widowControl/>
        <w:shd w:val="clear" w:color="auto" w:fill="FFFFFF"/>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1、获取时间：2022年6月15日至投标截止期前。</w:t>
      </w:r>
    </w:p>
    <w:p>
      <w:pPr>
        <w:widowControl/>
        <w:shd w:val="clear" w:color="auto" w:fill="FFFFFF"/>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2、获取地址：铜陵学院官网（www.tlu.edu.cn）自行下载。</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eastAsia="zh-CN"/>
        </w:rPr>
        <w:t>（五）</w:t>
      </w:r>
      <w:r>
        <w:rPr>
          <w:rFonts w:hint="eastAsia" w:ascii="宋体" w:hAnsi="宋体" w:eastAsia="宋体" w:cs="宋体"/>
          <w:b/>
          <w:bCs/>
          <w:color w:val="auto"/>
          <w:kern w:val="0"/>
          <w:sz w:val="24"/>
          <w:szCs w:val="24"/>
          <w:highlight w:val="none"/>
        </w:rPr>
        <w:t>响应文件提交</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1.标书递交时间：凡符合投标资格、有意向的投标单位，均为被询价对象。请有意参与投标报价的单位于2022年6月27日上午11：00前。</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2.递交地点：铜陵学院翠湖校区南大门值班室，联系人：胡老师（13955931061）。</w:t>
      </w:r>
    </w:p>
    <w:p>
      <w:pPr>
        <w:widowControl/>
        <w:shd w:val="clear" w:color="auto" w:fill="FFFFFF"/>
        <w:spacing w:line="360" w:lineRule="auto"/>
        <w:ind w:firstLine="480" w:firstLineChars="200"/>
        <w:rPr>
          <w:rFonts w:hint="eastAsia" w:ascii="宋体" w:hAnsi="宋体" w:eastAsia="宋体" w:cs="宋体"/>
          <w:color w:val="C00000"/>
          <w:kern w:val="0"/>
          <w:sz w:val="24"/>
          <w:szCs w:val="24"/>
          <w:highlight w:val="none"/>
          <w:lang w:val="en-US" w:eastAsia="zh-CN"/>
        </w:rPr>
      </w:pPr>
      <w:r>
        <w:rPr>
          <w:rFonts w:hint="eastAsia" w:ascii="宋体" w:hAnsi="宋体" w:eastAsia="宋体" w:cs="宋体"/>
          <w:color w:val="C00000"/>
          <w:kern w:val="0"/>
          <w:sz w:val="24"/>
          <w:szCs w:val="24"/>
          <w:highlight w:val="none"/>
          <w:lang w:val="en-US" w:eastAsia="zh-CN"/>
        </w:rPr>
        <w:t>（因新冠肺炎疫情防控要求，请投标人在2022年6月27日上午8:30-11:00期间投递投标函，其它时段不接收）递交投标文件。</w:t>
      </w:r>
    </w:p>
    <w:p>
      <w:pPr>
        <w:pStyle w:val="16"/>
        <w:snapToGrid w:val="0"/>
        <w:spacing w:line="420" w:lineRule="exact"/>
        <w:ind w:firstLine="361" w:firstLineChars="150"/>
        <w:rPr>
          <w:rFonts w:ascii="宋体" w:hAnsi="宋体" w:eastAsia="宋体" w:cs="宋体"/>
          <w:b/>
        </w:rPr>
      </w:pPr>
      <w:r>
        <w:rPr>
          <w:rFonts w:hint="eastAsia" w:ascii="宋体" w:hAnsi="宋体" w:eastAsia="宋体" w:cs="宋体"/>
          <w:b/>
        </w:rPr>
        <w:t>（六）响应文件提交截止时间</w:t>
      </w:r>
    </w:p>
    <w:p>
      <w:pPr>
        <w:pStyle w:val="16"/>
        <w:snapToGrid w:val="0"/>
        <w:spacing w:line="420" w:lineRule="exact"/>
        <w:ind w:firstLine="360" w:firstLineChars="150"/>
        <w:rPr>
          <w:rFonts w:ascii="宋体" w:hAnsi="宋体" w:eastAsia="宋体" w:cs="宋体"/>
        </w:rPr>
      </w:pPr>
      <w:r>
        <w:rPr>
          <w:rFonts w:hint="eastAsia" w:ascii="宋体" w:hAnsi="宋体" w:eastAsia="宋体" w:cs="宋体"/>
        </w:rPr>
        <w:t>同磋商时间</w:t>
      </w:r>
    </w:p>
    <w:p>
      <w:pPr>
        <w:pStyle w:val="16"/>
        <w:snapToGrid w:val="0"/>
        <w:spacing w:line="420" w:lineRule="exact"/>
        <w:ind w:firstLine="361" w:firstLineChars="150"/>
        <w:rPr>
          <w:rFonts w:ascii="宋体" w:hAnsi="宋体" w:eastAsia="宋体" w:cs="宋体"/>
          <w:b/>
        </w:rPr>
      </w:pPr>
      <w:r>
        <w:rPr>
          <w:rFonts w:hint="eastAsia" w:ascii="宋体" w:hAnsi="宋体" w:eastAsia="宋体" w:cs="宋体"/>
          <w:b/>
        </w:rPr>
        <w:t>（七）联系方法：</w:t>
      </w:r>
    </w:p>
    <w:p>
      <w:pPr>
        <w:spacing w:line="420" w:lineRule="exact"/>
        <w:ind w:firstLine="480" w:firstLineChars="200"/>
        <w:rPr>
          <w:rFonts w:ascii="宋体" w:hAnsi="宋体" w:eastAsia="宋体"/>
          <w:sz w:val="24"/>
          <w:szCs w:val="24"/>
        </w:rPr>
      </w:pPr>
      <w:r>
        <w:rPr>
          <w:rFonts w:hint="eastAsia" w:ascii="宋体" w:hAnsi="宋体" w:eastAsia="宋体"/>
          <w:sz w:val="24"/>
          <w:szCs w:val="24"/>
        </w:rPr>
        <w:t xml:space="preserve">采购人：铜陵学院       </w:t>
      </w:r>
    </w:p>
    <w:p>
      <w:pPr>
        <w:spacing w:line="420" w:lineRule="exact"/>
        <w:ind w:firstLine="480" w:firstLineChars="200"/>
        <w:rPr>
          <w:rFonts w:ascii="宋体" w:hAnsi="宋体" w:eastAsia="宋体"/>
          <w:sz w:val="24"/>
          <w:szCs w:val="24"/>
        </w:rPr>
      </w:pPr>
      <w:r>
        <w:rPr>
          <w:rFonts w:hint="eastAsia" w:ascii="宋体" w:hAnsi="宋体" w:eastAsia="宋体"/>
          <w:sz w:val="24"/>
          <w:szCs w:val="24"/>
        </w:rPr>
        <w:t xml:space="preserve">联系人：程老师   联系电话：0562-5881058 </w:t>
      </w:r>
    </w:p>
    <w:p>
      <w:pPr>
        <w:spacing w:line="420" w:lineRule="exact"/>
        <w:ind w:firstLine="480" w:firstLineChars="200"/>
        <w:rPr>
          <w:rFonts w:hint="eastAsia" w:ascii="宋体" w:hAnsi="宋体" w:cs="宋体"/>
          <w:kern w:val="0"/>
          <w:sz w:val="24"/>
          <w:szCs w:val="24"/>
        </w:rPr>
      </w:pPr>
      <w:r>
        <w:rPr>
          <w:rFonts w:hint="eastAsia" w:ascii="宋体" w:hAnsi="宋体" w:eastAsia="宋体"/>
          <w:sz w:val="24"/>
          <w:szCs w:val="24"/>
        </w:rPr>
        <w:t>技术咨询联系人 ：</w:t>
      </w:r>
      <w:r>
        <w:rPr>
          <w:rFonts w:hint="eastAsia" w:ascii="宋体" w:hAnsi="宋体" w:cs="宋体"/>
          <w:kern w:val="0"/>
          <w:sz w:val="24"/>
          <w:szCs w:val="24"/>
        </w:rPr>
        <w:t xml:space="preserve">汪老师    </w:t>
      </w:r>
      <w:r>
        <w:rPr>
          <w:rFonts w:hint="eastAsia" w:ascii="宋体" w:hAnsi="宋体" w:eastAsia="宋体"/>
          <w:sz w:val="24"/>
          <w:szCs w:val="24"/>
        </w:rPr>
        <w:t xml:space="preserve"> 联系电话：</w:t>
      </w:r>
      <w:r>
        <w:rPr>
          <w:rFonts w:hint="eastAsia" w:ascii="宋体" w:hAnsi="宋体" w:cs="宋体"/>
          <w:kern w:val="0"/>
          <w:sz w:val="24"/>
          <w:szCs w:val="24"/>
        </w:rPr>
        <w:t xml:space="preserve"> 0562-5881972</w:t>
      </w:r>
    </w:p>
    <w:p>
      <w:pPr>
        <w:rPr>
          <w:rFonts w:hint="eastAsia" w:ascii="宋体" w:hAnsi="宋体" w:cs="宋体"/>
          <w:kern w:val="0"/>
          <w:sz w:val="24"/>
          <w:szCs w:val="24"/>
        </w:rPr>
      </w:pPr>
      <w:r>
        <w:rPr>
          <w:rFonts w:hint="eastAsia" w:ascii="宋体" w:hAnsi="宋体" w:cs="宋体"/>
          <w:kern w:val="0"/>
          <w:sz w:val="24"/>
          <w:szCs w:val="24"/>
        </w:rPr>
        <w:br w:type="page"/>
      </w:r>
    </w:p>
    <w:p>
      <w:pPr>
        <w:pStyle w:val="21"/>
        <w:tabs>
          <w:tab w:val="left" w:pos="420"/>
        </w:tabs>
        <w:spacing w:line="480" w:lineRule="auto"/>
        <w:rPr>
          <w:rFonts w:ascii="宋体" w:hAnsi="宋体" w:eastAsia="宋体" w:cs="Times New Roman"/>
        </w:rPr>
      </w:pPr>
      <w:bookmarkStart w:id="34" w:name="_GoBack"/>
      <w:bookmarkEnd w:id="34"/>
      <w:r>
        <w:rPr>
          <w:rFonts w:hint="eastAsia" w:ascii="宋体" w:hAnsi="宋体" w:eastAsia="宋体"/>
        </w:rPr>
        <w:t>第一章 竞争性磋商书</w:t>
      </w:r>
      <w:bookmarkEnd w:id="0"/>
      <w:bookmarkEnd w:id="1"/>
      <w:bookmarkEnd w:id="2"/>
      <w:bookmarkEnd w:id="3"/>
    </w:p>
    <w:p>
      <w:pPr>
        <w:pStyle w:val="22"/>
        <w:spacing w:line="480" w:lineRule="auto"/>
        <w:rPr>
          <w:rFonts w:ascii="宋体" w:hAnsi="宋体" w:eastAsia="宋体"/>
        </w:rPr>
      </w:pPr>
      <w:bookmarkStart w:id="4" w:name="_Toc338398713"/>
      <w:bookmarkStart w:id="5" w:name="_Toc272141464"/>
      <w:bookmarkStart w:id="6" w:name="_Toc383776342"/>
      <w:r>
        <w:rPr>
          <w:rFonts w:hint="eastAsia" w:ascii="宋体" w:hAnsi="宋体" w:eastAsia="宋体" w:cs="宋体"/>
          <w:b/>
          <w:bCs/>
        </w:rPr>
        <w:t>一、磋商响应供应商须知前附表</w:t>
      </w:r>
      <w:bookmarkEnd w:id="4"/>
      <w:bookmarkEnd w:id="5"/>
      <w:bookmarkEnd w:id="6"/>
      <w:bookmarkStart w:id="7" w:name="_Hlk450145192"/>
    </w:p>
    <w:tbl>
      <w:tblPr>
        <w:tblStyle w:val="17"/>
        <w:tblW w:w="85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680"/>
        <w:gridCol w:w="2325"/>
        <w:gridCol w:w="555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29"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序号</w:t>
            </w:r>
          </w:p>
        </w:tc>
        <w:tc>
          <w:tcPr>
            <w:tcW w:w="2325" w:type="dxa"/>
            <w:vAlign w:val="center"/>
          </w:tcPr>
          <w:p>
            <w:pPr>
              <w:pStyle w:val="20"/>
              <w:keepNext w:val="0"/>
              <w:keepLines w:val="0"/>
              <w:suppressLineNumbers w:val="0"/>
              <w:adjustRightInd/>
              <w:spacing w:before="0" w:beforeAutospacing="0" w:after="0" w:afterAutospacing="0" w:line="380" w:lineRule="exact"/>
              <w:ind w:left="38" w:right="0"/>
              <w:jc w:val="center"/>
              <w:rPr>
                <w:rFonts w:hint="default" w:ascii="宋体" w:hAnsi="宋体" w:eastAsia="宋体" w:cs="华文仿宋"/>
                <w:szCs w:val="24"/>
                <w:lang w:val="zh-CN"/>
              </w:rPr>
            </w:pPr>
            <w:r>
              <w:rPr>
                <w:rFonts w:hint="eastAsia" w:ascii="宋体" w:hAnsi="宋体" w:eastAsia="宋体" w:cs="华文仿宋"/>
                <w:szCs w:val="24"/>
                <w:lang w:val="zh-CN"/>
              </w:rPr>
              <w:t>条款名称</w:t>
            </w:r>
          </w:p>
        </w:tc>
        <w:tc>
          <w:tcPr>
            <w:tcW w:w="5553"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b/>
                <w:szCs w:val="24"/>
                <w:lang w:val="zh-CN"/>
              </w:rPr>
            </w:pPr>
            <w:r>
              <w:rPr>
                <w:rFonts w:hint="eastAsia" w:ascii="宋体" w:hAnsi="宋体" w:eastAsia="宋体" w:cs="华文仿宋"/>
                <w:bCs/>
                <w:szCs w:val="24"/>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5"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1</w:t>
            </w:r>
          </w:p>
        </w:tc>
        <w:tc>
          <w:tcPr>
            <w:tcW w:w="2325"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资格审查资料</w:t>
            </w:r>
          </w:p>
        </w:tc>
        <w:tc>
          <w:tcPr>
            <w:tcW w:w="5553" w:type="dxa"/>
            <w:vAlign w:val="center"/>
          </w:tcPr>
          <w:p>
            <w:pPr>
              <w:pStyle w:val="20"/>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bCs/>
                <w:szCs w:val="24"/>
              </w:rPr>
              <w:t>营业执照副本复印件及相关复印件加盖公章装订入</w:t>
            </w:r>
            <w:r>
              <w:rPr>
                <w:rFonts w:hint="eastAsia" w:ascii="宋体" w:hAnsi="宋体" w:eastAsia="宋体"/>
                <w:bCs/>
                <w:szCs w:val="20"/>
              </w:rPr>
              <w:t>磋商响应</w:t>
            </w:r>
            <w:r>
              <w:rPr>
                <w:rFonts w:hint="eastAsia" w:ascii="宋体" w:hAnsi="宋体" w:eastAsia="宋体"/>
                <w:bCs/>
                <w:szCs w:val="24"/>
              </w:rPr>
              <w:t>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6"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2</w:t>
            </w:r>
          </w:p>
        </w:tc>
        <w:tc>
          <w:tcPr>
            <w:tcW w:w="2325"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资金来源</w:t>
            </w:r>
          </w:p>
        </w:tc>
        <w:tc>
          <w:tcPr>
            <w:tcW w:w="5553" w:type="dxa"/>
            <w:vAlign w:val="center"/>
          </w:tcPr>
          <w:p>
            <w:pPr>
              <w:pStyle w:val="20"/>
              <w:keepNext w:val="0"/>
              <w:keepLines w:val="0"/>
              <w:suppressLineNumbers w:val="0"/>
              <w:adjustRightInd/>
              <w:spacing w:before="0" w:beforeAutospacing="0" w:after="0" w:afterAutospacing="0" w:line="380" w:lineRule="exact"/>
              <w:ind w:left="34" w:right="0"/>
              <w:jc w:val="both"/>
              <w:rPr>
                <w:rFonts w:hint="eastAsia" w:ascii="宋体" w:hAnsi="宋体" w:eastAsia="宋体"/>
                <w:szCs w:val="24"/>
                <w:lang w:eastAsia="zh-CN"/>
              </w:rPr>
            </w:pPr>
            <w:r>
              <w:rPr>
                <w:rFonts w:hint="eastAsia"/>
                <w:szCs w:val="24"/>
                <w:lang w:eastAsia="zh-CN"/>
              </w:rPr>
              <w:t>资金已落实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93"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3</w:t>
            </w:r>
          </w:p>
        </w:tc>
        <w:tc>
          <w:tcPr>
            <w:tcW w:w="2325"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szCs w:val="24"/>
              </w:rPr>
            </w:pPr>
            <w:r>
              <w:rPr>
                <w:rFonts w:hint="eastAsia" w:ascii="宋体" w:hAnsi="宋体" w:eastAsia="宋体"/>
                <w:szCs w:val="24"/>
              </w:rPr>
              <w:t>采购范围</w:t>
            </w:r>
          </w:p>
        </w:tc>
        <w:tc>
          <w:tcPr>
            <w:tcW w:w="5553" w:type="dxa"/>
            <w:vAlign w:val="center"/>
          </w:tcPr>
          <w:p>
            <w:pPr>
              <w:keepNext w:val="0"/>
              <w:keepLines w:val="0"/>
              <w:widowControl/>
              <w:suppressLineNumbers w:val="0"/>
              <w:shd w:val="clear" w:color="auto" w:fill="FFFFFF"/>
              <w:spacing w:before="0" w:beforeAutospacing="0" w:after="0" w:afterAutospacing="0" w:line="380" w:lineRule="exact"/>
              <w:ind w:left="0" w:right="0"/>
              <w:rPr>
                <w:rFonts w:hint="default" w:ascii="宋体" w:hAnsi="宋体" w:eastAsia="宋体"/>
                <w:sz w:val="24"/>
                <w:szCs w:val="24"/>
              </w:rPr>
            </w:pPr>
            <w:r>
              <w:rPr>
                <w:rFonts w:hint="eastAsia" w:ascii="宋体" w:hAnsi="宋体" w:eastAsia="宋体"/>
                <w:kern w:val="0"/>
                <w:sz w:val="24"/>
                <w:szCs w:val="24"/>
              </w:rPr>
              <w:t>详见磋商公告及文件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4</w:t>
            </w:r>
          </w:p>
        </w:tc>
        <w:tc>
          <w:tcPr>
            <w:tcW w:w="2325"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标段划分</w:t>
            </w:r>
          </w:p>
        </w:tc>
        <w:tc>
          <w:tcPr>
            <w:tcW w:w="5553" w:type="dxa"/>
            <w:vAlign w:val="center"/>
          </w:tcPr>
          <w:p>
            <w:pPr>
              <w:pStyle w:val="20"/>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89"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5</w:t>
            </w:r>
          </w:p>
        </w:tc>
        <w:tc>
          <w:tcPr>
            <w:tcW w:w="2325" w:type="dxa"/>
            <w:vAlign w:val="center"/>
          </w:tcPr>
          <w:p>
            <w:pPr>
              <w:pStyle w:val="20"/>
              <w:keepNext w:val="0"/>
              <w:keepLines w:val="0"/>
              <w:suppressLineNumbers w:val="0"/>
              <w:adjustRightInd/>
              <w:spacing w:before="0" w:beforeAutospacing="0" w:after="0" w:afterAutospacing="0" w:line="380" w:lineRule="exact"/>
              <w:ind w:left="38" w:right="0"/>
              <w:jc w:val="center"/>
              <w:rPr>
                <w:rFonts w:hint="default" w:ascii="宋体" w:hAnsi="宋体" w:eastAsia="宋体" w:cs="华文仿宋"/>
                <w:szCs w:val="24"/>
                <w:lang w:val="zh-CN"/>
              </w:rPr>
            </w:pPr>
            <w:r>
              <w:rPr>
                <w:rFonts w:hint="eastAsia" w:ascii="宋体" w:hAnsi="宋体" w:eastAsia="宋体" w:cs="华文仿宋"/>
                <w:szCs w:val="24"/>
                <w:lang w:val="zh-CN"/>
              </w:rPr>
              <w:t>最高磋商限价</w:t>
            </w:r>
          </w:p>
        </w:tc>
        <w:tc>
          <w:tcPr>
            <w:tcW w:w="5553" w:type="dxa"/>
            <w:vAlign w:val="center"/>
          </w:tcPr>
          <w:p>
            <w:pPr>
              <w:pStyle w:val="20"/>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rPr>
              <w:t>9万元/年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1"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6</w:t>
            </w:r>
          </w:p>
        </w:tc>
        <w:tc>
          <w:tcPr>
            <w:tcW w:w="2325" w:type="dxa"/>
            <w:vAlign w:val="center"/>
          </w:tcPr>
          <w:p>
            <w:pPr>
              <w:pStyle w:val="20"/>
              <w:keepNext w:val="0"/>
              <w:keepLines w:val="0"/>
              <w:suppressLineNumbers w:val="0"/>
              <w:adjustRightInd/>
              <w:spacing w:before="0" w:beforeAutospacing="0" w:after="0" w:afterAutospacing="0" w:line="380" w:lineRule="exact"/>
              <w:ind w:left="38" w:right="0"/>
              <w:jc w:val="center"/>
              <w:rPr>
                <w:rFonts w:hint="default" w:ascii="宋体" w:hAnsi="宋体" w:eastAsia="宋体" w:cs="华文仿宋"/>
                <w:szCs w:val="24"/>
                <w:lang w:val="zh-CN"/>
              </w:rPr>
            </w:pPr>
            <w:r>
              <w:rPr>
                <w:rFonts w:hint="eastAsia" w:ascii="宋体" w:hAnsi="宋体" w:eastAsia="宋体" w:cs="华文仿宋"/>
                <w:szCs w:val="24"/>
                <w:lang w:val="zh-CN"/>
              </w:rPr>
              <w:t>采购方式</w:t>
            </w:r>
          </w:p>
        </w:tc>
        <w:tc>
          <w:tcPr>
            <w:tcW w:w="5553" w:type="dxa"/>
            <w:vAlign w:val="center"/>
          </w:tcPr>
          <w:p>
            <w:pPr>
              <w:pStyle w:val="20"/>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rPr>
              <w:t>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6"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rPr>
            </w:pPr>
            <w:r>
              <w:rPr>
                <w:rFonts w:hint="eastAsia" w:ascii="宋体" w:hAnsi="宋体" w:eastAsia="宋体" w:cs="华文仿宋"/>
                <w:szCs w:val="24"/>
              </w:rPr>
              <w:t>7</w:t>
            </w:r>
          </w:p>
        </w:tc>
        <w:tc>
          <w:tcPr>
            <w:tcW w:w="2325"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是否接受联合体</w:t>
            </w:r>
          </w:p>
        </w:tc>
        <w:tc>
          <w:tcPr>
            <w:tcW w:w="5553" w:type="dxa"/>
            <w:vAlign w:val="center"/>
          </w:tcPr>
          <w:p>
            <w:pPr>
              <w:pStyle w:val="20"/>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6"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8</w:t>
            </w:r>
          </w:p>
        </w:tc>
        <w:tc>
          <w:tcPr>
            <w:tcW w:w="2325"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是否接受分包履约</w:t>
            </w:r>
          </w:p>
        </w:tc>
        <w:tc>
          <w:tcPr>
            <w:tcW w:w="5553" w:type="dxa"/>
            <w:vAlign w:val="center"/>
          </w:tcPr>
          <w:p>
            <w:pPr>
              <w:pStyle w:val="20"/>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szCs w:val="24"/>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90"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9</w:t>
            </w:r>
          </w:p>
        </w:tc>
        <w:tc>
          <w:tcPr>
            <w:tcW w:w="2325"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构成竞争性磋商文件的其他文件</w:t>
            </w:r>
          </w:p>
        </w:tc>
        <w:tc>
          <w:tcPr>
            <w:tcW w:w="5553" w:type="dxa"/>
            <w:vAlign w:val="center"/>
          </w:tcPr>
          <w:p>
            <w:pPr>
              <w:pStyle w:val="20"/>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rPr>
              <w:t>竞争性磋商文件的澄清、修改书及有关补充通知为竞争性磋商文件的有效组成部分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75"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10</w:t>
            </w:r>
          </w:p>
        </w:tc>
        <w:tc>
          <w:tcPr>
            <w:tcW w:w="2325" w:type="dxa"/>
            <w:vAlign w:val="center"/>
          </w:tcPr>
          <w:p>
            <w:pPr>
              <w:pStyle w:val="20"/>
              <w:keepNext w:val="0"/>
              <w:keepLines w:val="0"/>
              <w:suppressLineNumbers w:val="0"/>
              <w:adjustRightInd/>
              <w:spacing w:before="0" w:beforeAutospacing="0" w:after="0" w:afterAutospacing="0" w:line="380" w:lineRule="exact"/>
              <w:ind w:left="52" w:right="0"/>
              <w:jc w:val="center"/>
              <w:rPr>
                <w:rFonts w:hint="default" w:ascii="宋体" w:hAnsi="宋体" w:eastAsia="宋体" w:cs="华文仿宋"/>
                <w:szCs w:val="24"/>
                <w:lang w:val="zh-CN"/>
              </w:rPr>
            </w:pPr>
            <w:r>
              <w:rPr>
                <w:rFonts w:hint="eastAsia" w:ascii="宋体" w:hAnsi="宋体" w:eastAsia="宋体" w:cs="华文仿宋"/>
                <w:szCs w:val="24"/>
                <w:lang w:val="zh-CN"/>
              </w:rPr>
              <w:t>磋商及响应截止时间</w:t>
            </w:r>
          </w:p>
        </w:tc>
        <w:tc>
          <w:tcPr>
            <w:tcW w:w="5553" w:type="dxa"/>
            <w:vAlign w:val="center"/>
          </w:tcPr>
          <w:p>
            <w:pPr>
              <w:pStyle w:val="20"/>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11</w:t>
            </w:r>
          </w:p>
        </w:tc>
        <w:tc>
          <w:tcPr>
            <w:tcW w:w="2325"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磋商及磋商响应书</w:t>
            </w:r>
          </w:p>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lang w:val="zh-CN"/>
              </w:rPr>
              <w:t>递交地点</w:t>
            </w:r>
          </w:p>
        </w:tc>
        <w:tc>
          <w:tcPr>
            <w:tcW w:w="5553" w:type="dxa"/>
            <w:vAlign w:val="center"/>
          </w:tcPr>
          <w:p>
            <w:pPr>
              <w:pStyle w:val="20"/>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53"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rPr>
            </w:pPr>
            <w:r>
              <w:rPr>
                <w:rFonts w:hint="eastAsia" w:ascii="宋体" w:hAnsi="宋体" w:eastAsia="宋体" w:cs="华文仿宋"/>
                <w:szCs w:val="24"/>
              </w:rPr>
              <w:t>12</w:t>
            </w:r>
          </w:p>
        </w:tc>
        <w:tc>
          <w:tcPr>
            <w:tcW w:w="2325" w:type="dxa"/>
            <w:vAlign w:val="center"/>
          </w:tcPr>
          <w:p>
            <w:pPr>
              <w:pStyle w:val="20"/>
              <w:keepNext w:val="0"/>
              <w:keepLines w:val="0"/>
              <w:suppressLineNumbers w:val="0"/>
              <w:adjustRightInd/>
              <w:spacing w:before="0" w:beforeAutospacing="0" w:after="0" w:afterAutospacing="0" w:line="380" w:lineRule="exact"/>
              <w:ind w:left="33" w:right="0"/>
              <w:jc w:val="center"/>
              <w:rPr>
                <w:rFonts w:hint="default" w:ascii="宋体" w:hAnsi="宋体" w:eastAsia="宋体" w:cs="华文仿宋"/>
                <w:szCs w:val="24"/>
                <w:lang w:val="zh-CN"/>
              </w:rPr>
            </w:pPr>
            <w:r>
              <w:rPr>
                <w:rFonts w:hint="eastAsia" w:ascii="宋体" w:hAnsi="宋体" w:eastAsia="宋体" w:cs="华文仿宋"/>
                <w:szCs w:val="24"/>
                <w:lang w:val="zh-CN"/>
              </w:rPr>
              <w:t>服务期</w:t>
            </w:r>
          </w:p>
        </w:tc>
        <w:tc>
          <w:tcPr>
            <w:tcW w:w="5553" w:type="dxa"/>
            <w:vAlign w:val="center"/>
          </w:tcPr>
          <w:p>
            <w:pPr>
              <w:keepNext w:val="0"/>
              <w:keepLines w:val="0"/>
              <w:suppressLineNumbers w:val="0"/>
              <w:adjustRightInd w:val="0"/>
              <w:snapToGrid w:val="0"/>
              <w:spacing w:before="0" w:beforeAutospacing="0" w:after="0" w:afterAutospacing="0" w:line="380" w:lineRule="exact"/>
              <w:ind w:left="0" w:right="0"/>
              <w:rPr>
                <w:rFonts w:hint="default" w:ascii="宋体" w:hAnsi="宋体" w:eastAsia="宋体" w:cs="仿宋_GB2312"/>
                <w:szCs w:val="24"/>
              </w:rPr>
            </w:pPr>
            <w:r>
              <w:rPr>
                <w:rFonts w:hint="eastAsia" w:ascii="宋体" w:hAnsi="宋体" w:eastAsia="宋体"/>
                <w:color w:val="000000"/>
                <w:sz w:val="24"/>
                <w:szCs w:val="24"/>
              </w:rPr>
              <w:t>暂定1年（根据项目实施情况及采购人的满意程度</w:t>
            </w:r>
            <w:r>
              <w:rPr>
                <w:rFonts w:hint="eastAsia" w:ascii="宋体" w:hAnsi="宋体" w:cs="宋体"/>
                <w:bCs/>
                <w:kern w:val="0"/>
                <w:sz w:val="24"/>
                <w:szCs w:val="24"/>
              </w:rPr>
              <w:t>，拟采用1+1+1方式签订服务合同</w:t>
            </w:r>
            <w:r>
              <w:rPr>
                <w:rFonts w:hint="eastAsia" w:ascii="宋体" w:hAnsi="宋体" w:eastAsia="宋体"/>
                <w:color w:val="000000"/>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9" w:hRule="atLeast"/>
          <w:jc w:val="center"/>
        </w:trPr>
        <w:tc>
          <w:tcPr>
            <w:tcW w:w="680"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rPr>
            </w:pPr>
            <w:r>
              <w:rPr>
                <w:rFonts w:hint="eastAsia" w:ascii="宋体" w:hAnsi="宋体" w:eastAsia="宋体" w:cs="华文仿宋"/>
                <w:szCs w:val="24"/>
              </w:rPr>
              <w:t>13</w:t>
            </w:r>
          </w:p>
        </w:tc>
        <w:tc>
          <w:tcPr>
            <w:tcW w:w="2325" w:type="dxa"/>
            <w:vAlign w:val="center"/>
          </w:tcPr>
          <w:p>
            <w:pPr>
              <w:pStyle w:val="20"/>
              <w:keepNext w:val="0"/>
              <w:keepLines w:val="0"/>
              <w:suppressLineNumbers w:val="0"/>
              <w:adjustRightInd/>
              <w:spacing w:before="0" w:beforeAutospacing="0" w:after="0" w:afterAutospacing="0" w:line="380" w:lineRule="exact"/>
              <w:ind w:left="33" w:right="0"/>
              <w:jc w:val="center"/>
              <w:rPr>
                <w:rFonts w:hint="default" w:ascii="宋体" w:hAnsi="宋体" w:eastAsia="宋体" w:cs="华文仿宋"/>
                <w:szCs w:val="24"/>
                <w:lang w:val="zh-CN"/>
              </w:rPr>
            </w:pPr>
            <w:r>
              <w:rPr>
                <w:rFonts w:hint="eastAsia" w:ascii="宋体" w:hAnsi="宋体" w:eastAsia="宋体" w:cs="华文仿宋"/>
                <w:szCs w:val="24"/>
                <w:lang w:val="zh-CN"/>
              </w:rPr>
              <w:t>合同价款的支付</w:t>
            </w:r>
          </w:p>
        </w:tc>
        <w:tc>
          <w:tcPr>
            <w:tcW w:w="5553" w:type="dxa"/>
            <w:vAlign w:val="center"/>
          </w:tcPr>
          <w:p>
            <w:pPr>
              <w:pStyle w:val="20"/>
              <w:keepNext w:val="0"/>
              <w:keepLines w:val="0"/>
              <w:suppressLineNumbers w:val="0"/>
              <w:adjustRightInd/>
              <w:spacing w:before="0" w:beforeAutospacing="0" w:after="0" w:afterAutospacing="0" w:line="380" w:lineRule="exact"/>
              <w:ind w:left="0" w:right="0"/>
              <w:jc w:val="both"/>
              <w:rPr>
                <w:rFonts w:hint="default" w:ascii="宋体" w:hAnsi="宋体" w:eastAsia="宋体"/>
                <w:szCs w:val="24"/>
              </w:rPr>
            </w:pPr>
            <w:r>
              <w:rPr>
                <w:rFonts w:hint="eastAsia" w:ascii="宋体" w:hAnsi="宋体" w:eastAsia="宋体"/>
                <w:szCs w:val="24"/>
                <w:lang w:val="zh-CN"/>
              </w:rPr>
              <w:t>项目完成且采购人验收合格后</w:t>
            </w:r>
            <w:r>
              <w:rPr>
                <w:rFonts w:hint="eastAsia" w:ascii="宋体" w:hAnsi="宋体" w:eastAsia="宋体"/>
                <w:szCs w:val="24"/>
              </w:rPr>
              <w:t>一次性付清款项。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7" w:hRule="atLeast"/>
          <w:jc w:val="center"/>
        </w:trPr>
        <w:tc>
          <w:tcPr>
            <w:tcW w:w="68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华文仿宋"/>
                <w:sz w:val="24"/>
                <w:szCs w:val="24"/>
              </w:rPr>
            </w:pPr>
            <w:r>
              <w:rPr>
                <w:rFonts w:hint="eastAsia" w:ascii="宋体" w:hAnsi="宋体" w:eastAsia="宋体" w:cs="华文仿宋"/>
                <w:sz w:val="24"/>
                <w:szCs w:val="24"/>
              </w:rPr>
              <w:t>14</w:t>
            </w:r>
          </w:p>
        </w:tc>
        <w:tc>
          <w:tcPr>
            <w:tcW w:w="2325" w:type="dxa"/>
            <w:vAlign w:val="center"/>
          </w:tcPr>
          <w:p>
            <w:pPr>
              <w:pStyle w:val="20"/>
              <w:keepNext w:val="0"/>
              <w:keepLines w:val="0"/>
              <w:suppressLineNumbers w:val="0"/>
              <w:adjustRightInd/>
              <w:spacing w:before="0" w:beforeAutospacing="0" w:after="0" w:afterAutospacing="0" w:line="380" w:lineRule="exact"/>
              <w:ind w:left="33" w:right="0"/>
              <w:jc w:val="center"/>
              <w:rPr>
                <w:rFonts w:hint="default" w:ascii="宋体" w:hAnsi="宋体" w:eastAsia="宋体" w:cs="华文仿宋"/>
                <w:szCs w:val="24"/>
              </w:rPr>
            </w:pPr>
            <w:r>
              <w:rPr>
                <w:rFonts w:hint="eastAsia" w:ascii="宋体" w:hAnsi="宋体" w:eastAsia="宋体" w:cs="华文仿宋"/>
                <w:szCs w:val="24"/>
                <w:lang w:val="zh-CN"/>
              </w:rPr>
              <w:t>磋商响应文件</w:t>
            </w:r>
            <w:r>
              <w:rPr>
                <w:rFonts w:hint="eastAsia" w:ascii="宋体" w:hAnsi="宋体" w:eastAsia="宋体" w:cs="华文仿宋"/>
                <w:szCs w:val="24"/>
              </w:rPr>
              <w:t>份数</w:t>
            </w:r>
          </w:p>
        </w:tc>
        <w:tc>
          <w:tcPr>
            <w:tcW w:w="5553" w:type="dxa"/>
            <w:vAlign w:val="center"/>
          </w:tcPr>
          <w:p>
            <w:pPr>
              <w:pStyle w:val="20"/>
              <w:keepNext w:val="0"/>
              <w:keepLines w:val="0"/>
              <w:suppressLineNumbers w:val="0"/>
              <w:adjustRightInd/>
              <w:spacing w:before="0" w:beforeAutospacing="0" w:after="0" w:afterAutospacing="0" w:line="380" w:lineRule="exact"/>
              <w:ind w:left="34" w:right="0"/>
              <w:jc w:val="both"/>
              <w:rPr>
                <w:rFonts w:hint="default" w:ascii="宋体" w:hAnsi="宋体" w:eastAsia="宋体"/>
                <w:szCs w:val="24"/>
              </w:rPr>
            </w:pPr>
            <w:r>
              <w:rPr>
                <w:rFonts w:hint="eastAsia" w:ascii="宋体" w:hAnsi="宋体" w:eastAsia="宋体" w:cs="宋体"/>
                <w:szCs w:val="24"/>
                <w:lang w:val="zh-CN"/>
              </w:rPr>
              <w:t>正本1份、副本</w:t>
            </w:r>
            <w:r>
              <w:rPr>
                <w:rFonts w:hint="eastAsia" w:cs="宋体"/>
                <w:szCs w:val="24"/>
                <w:lang w:val="en-US" w:eastAsia="zh-CN"/>
              </w:rPr>
              <w:t>1</w:t>
            </w:r>
            <w:r>
              <w:rPr>
                <w:rFonts w:hint="eastAsia" w:ascii="宋体" w:hAnsi="宋体" w:eastAsia="宋体" w:cs="宋体"/>
                <w:szCs w:val="24"/>
                <w:lang w:val="zh-CN"/>
              </w:rPr>
              <w:t>份（</w:t>
            </w:r>
            <w:r>
              <w:rPr>
                <w:rFonts w:hint="eastAsia" w:ascii="宋体" w:hAnsi="宋体" w:eastAsia="宋体" w:cs="宋体"/>
                <w:szCs w:val="24"/>
              </w:rPr>
              <w:t>正本与副本单独或一起封装</w:t>
            </w:r>
            <w:r>
              <w:rPr>
                <w:rFonts w:hint="eastAsia" w:ascii="宋体" w:hAnsi="宋体" w:eastAsia="宋体" w:cs="宋体"/>
                <w:szCs w:val="24"/>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3" w:hRule="atLeast"/>
          <w:jc w:val="center"/>
        </w:trPr>
        <w:tc>
          <w:tcPr>
            <w:tcW w:w="68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华文仿宋"/>
                <w:sz w:val="24"/>
                <w:szCs w:val="24"/>
              </w:rPr>
            </w:pPr>
            <w:r>
              <w:rPr>
                <w:rFonts w:hint="eastAsia" w:ascii="宋体" w:hAnsi="宋体" w:eastAsia="宋体" w:cs="华文仿宋"/>
                <w:sz w:val="24"/>
                <w:szCs w:val="24"/>
              </w:rPr>
              <w:t>15</w:t>
            </w:r>
          </w:p>
        </w:tc>
        <w:tc>
          <w:tcPr>
            <w:tcW w:w="2325" w:type="dxa"/>
            <w:vAlign w:val="center"/>
          </w:tcPr>
          <w:p>
            <w:pPr>
              <w:pStyle w:val="20"/>
              <w:keepNext w:val="0"/>
              <w:keepLines w:val="0"/>
              <w:suppressLineNumbers w:val="0"/>
              <w:adjustRightInd/>
              <w:spacing w:before="0" w:beforeAutospacing="0" w:after="0" w:afterAutospacing="0" w:line="380" w:lineRule="exact"/>
              <w:ind w:left="33" w:right="0"/>
              <w:jc w:val="center"/>
              <w:rPr>
                <w:rFonts w:hint="default" w:ascii="宋体" w:hAnsi="宋体" w:eastAsia="宋体" w:cs="华文仿宋"/>
                <w:szCs w:val="24"/>
                <w:lang w:val="zh-CN"/>
              </w:rPr>
            </w:pPr>
            <w:r>
              <w:rPr>
                <w:rFonts w:hint="eastAsia" w:ascii="宋体" w:hAnsi="宋体" w:eastAsia="宋体" w:cs="华文仿宋"/>
                <w:szCs w:val="24"/>
                <w:lang w:val="zh-CN"/>
              </w:rPr>
              <w:t>项目实施地点</w:t>
            </w:r>
          </w:p>
        </w:tc>
        <w:tc>
          <w:tcPr>
            <w:tcW w:w="5553" w:type="dxa"/>
            <w:vAlign w:val="center"/>
          </w:tcPr>
          <w:p>
            <w:pPr>
              <w:pStyle w:val="20"/>
              <w:keepNext w:val="0"/>
              <w:keepLines w:val="0"/>
              <w:suppressLineNumbers w:val="0"/>
              <w:adjustRightInd/>
              <w:spacing w:before="0" w:beforeAutospacing="0" w:after="0" w:afterAutospacing="0" w:line="380" w:lineRule="exact"/>
              <w:ind w:left="34" w:right="0" w:hanging="34"/>
              <w:jc w:val="both"/>
              <w:rPr>
                <w:rFonts w:hint="default" w:ascii="宋体" w:hAnsi="宋体" w:eastAsia="宋体"/>
                <w:szCs w:val="24"/>
              </w:rPr>
            </w:pPr>
            <w:r>
              <w:rPr>
                <w:rFonts w:hint="eastAsia" w:ascii="宋体" w:hAnsi="宋体" w:eastAsia="宋体" w:cs="宋体"/>
                <w:szCs w:val="24"/>
                <w:lang w:val="zh-CN"/>
              </w:rPr>
              <w:t>铜陵学院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33" w:hRule="atLeast"/>
          <w:jc w:val="center"/>
        </w:trPr>
        <w:tc>
          <w:tcPr>
            <w:tcW w:w="68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华文仿宋"/>
                <w:sz w:val="24"/>
                <w:szCs w:val="24"/>
              </w:rPr>
            </w:pPr>
            <w:r>
              <w:rPr>
                <w:rFonts w:hint="eastAsia" w:ascii="宋体" w:hAnsi="宋体" w:eastAsia="宋体" w:cs="华文仿宋"/>
                <w:sz w:val="24"/>
                <w:szCs w:val="24"/>
              </w:rPr>
              <w:t>16</w:t>
            </w:r>
          </w:p>
        </w:tc>
        <w:tc>
          <w:tcPr>
            <w:tcW w:w="2325" w:type="dxa"/>
            <w:vAlign w:val="center"/>
          </w:tcPr>
          <w:p>
            <w:pPr>
              <w:pStyle w:val="20"/>
              <w:keepNext w:val="0"/>
              <w:keepLines w:val="0"/>
              <w:suppressLineNumbers w:val="0"/>
              <w:adjustRightInd/>
              <w:spacing w:before="0" w:beforeAutospacing="0" w:after="0" w:afterAutospacing="0" w:line="380" w:lineRule="exact"/>
              <w:ind w:left="0" w:right="0" w:firstLine="44"/>
              <w:jc w:val="center"/>
              <w:rPr>
                <w:rFonts w:hint="default" w:ascii="宋体" w:hAnsi="宋体" w:eastAsia="宋体" w:cs="华文仿宋"/>
                <w:szCs w:val="24"/>
                <w:lang w:val="zh-CN"/>
              </w:rPr>
            </w:pPr>
            <w:r>
              <w:rPr>
                <w:rFonts w:hint="eastAsia" w:ascii="宋体" w:hAnsi="宋体" w:eastAsia="宋体" w:cs="华文仿宋"/>
                <w:szCs w:val="24"/>
              </w:rPr>
              <w:t>费用承担</w:t>
            </w:r>
          </w:p>
        </w:tc>
        <w:tc>
          <w:tcPr>
            <w:tcW w:w="5553" w:type="dxa"/>
            <w:vAlign w:val="center"/>
          </w:tcPr>
          <w:p>
            <w:pPr>
              <w:pStyle w:val="20"/>
              <w:keepNext w:val="0"/>
              <w:keepLines w:val="0"/>
              <w:suppressLineNumbers w:val="0"/>
              <w:adjustRightInd/>
              <w:spacing w:before="0" w:beforeAutospacing="0" w:after="0" w:afterAutospacing="0" w:line="380" w:lineRule="exact"/>
              <w:ind w:left="34" w:right="0" w:hanging="34"/>
              <w:jc w:val="both"/>
              <w:rPr>
                <w:rFonts w:hint="default" w:ascii="宋体" w:hAnsi="宋体" w:eastAsia="宋体"/>
                <w:szCs w:val="24"/>
              </w:rPr>
            </w:pPr>
            <w:r>
              <w:rPr>
                <w:rFonts w:hint="eastAsia" w:ascii="宋体" w:hAnsi="宋体" w:eastAsia="宋体"/>
                <w:szCs w:val="24"/>
              </w:rPr>
              <w:t>供应商参加磋商活动发生的一切费用均自理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985" w:hRule="atLeast"/>
          <w:jc w:val="center"/>
        </w:trPr>
        <w:tc>
          <w:tcPr>
            <w:tcW w:w="68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Courier New"/>
                <w:color w:val="000000"/>
                <w:sz w:val="24"/>
                <w:szCs w:val="24"/>
              </w:rPr>
            </w:pPr>
            <w:r>
              <w:rPr>
                <w:rFonts w:hint="eastAsia" w:ascii="宋体" w:hAnsi="宋体" w:eastAsia="宋体" w:cs="华文仿宋"/>
                <w:sz w:val="24"/>
                <w:szCs w:val="24"/>
              </w:rPr>
              <w:t>17</w:t>
            </w:r>
          </w:p>
        </w:tc>
        <w:tc>
          <w:tcPr>
            <w:tcW w:w="2325" w:type="dxa"/>
            <w:vAlign w:val="center"/>
          </w:tcPr>
          <w:p>
            <w:pPr>
              <w:pStyle w:val="20"/>
              <w:keepNext w:val="0"/>
              <w:keepLines w:val="0"/>
              <w:suppressLineNumbers w:val="0"/>
              <w:adjustRightInd/>
              <w:spacing w:before="0" w:beforeAutospacing="0" w:after="0" w:afterAutospacing="0" w:line="380" w:lineRule="exact"/>
              <w:ind w:left="0" w:right="0"/>
              <w:jc w:val="center"/>
              <w:rPr>
                <w:rFonts w:hint="default" w:ascii="宋体" w:hAnsi="宋体" w:eastAsia="宋体" w:cs="华文仿宋"/>
                <w:szCs w:val="24"/>
                <w:lang w:val="zh-CN"/>
              </w:rPr>
            </w:pPr>
            <w:r>
              <w:rPr>
                <w:rFonts w:hint="eastAsia" w:ascii="宋体" w:hAnsi="宋体" w:eastAsia="宋体" w:cs="华文仿宋"/>
                <w:szCs w:val="24"/>
              </w:rPr>
              <w:t>合同签订时间</w:t>
            </w:r>
          </w:p>
        </w:tc>
        <w:tc>
          <w:tcPr>
            <w:tcW w:w="5553" w:type="dxa"/>
            <w:vAlign w:val="center"/>
          </w:tcPr>
          <w:p>
            <w:pPr>
              <w:pStyle w:val="20"/>
              <w:keepNext w:val="0"/>
              <w:keepLines w:val="0"/>
              <w:suppressLineNumbers w:val="0"/>
              <w:adjustRightInd/>
              <w:spacing w:before="0" w:beforeAutospacing="0" w:after="0" w:afterAutospacing="0" w:line="380" w:lineRule="exact"/>
              <w:ind w:left="34" w:right="0" w:hanging="34"/>
              <w:jc w:val="both"/>
              <w:rPr>
                <w:rFonts w:hint="default" w:ascii="宋体" w:hAnsi="宋体" w:eastAsia="宋体"/>
                <w:szCs w:val="24"/>
              </w:rPr>
            </w:pPr>
            <w:r>
              <w:rPr>
                <w:rFonts w:hint="eastAsia" w:ascii="宋体" w:hAnsi="宋体" w:eastAsia="宋体"/>
                <w:szCs w:val="24"/>
              </w:rPr>
              <w:t>采购人通知后，成交供应商应在</w:t>
            </w:r>
            <w:r>
              <w:rPr>
                <w:rFonts w:hint="default" w:ascii="宋体" w:hAnsi="宋体" w:eastAsia="宋体"/>
                <w:szCs w:val="24"/>
              </w:rPr>
              <w:t>5</w:t>
            </w:r>
            <w:r>
              <w:rPr>
                <w:rFonts w:hint="eastAsia"/>
                <w:szCs w:val="24"/>
                <w:lang w:eastAsia="zh-CN"/>
              </w:rPr>
              <w:t>个工作日</w:t>
            </w:r>
            <w:r>
              <w:rPr>
                <w:rFonts w:hint="default" w:ascii="宋体" w:hAnsi="宋体" w:eastAsia="宋体"/>
                <w:szCs w:val="24"/>
              </w:rPr>
              <w:t>日内与</w:t>
            </w:r>
            <w:r>
              <w:rPr>
                <w:rFonts w:hint="eastAsia" w:ascii="宋体" w:hAnsi="宋体" w:eastAsia="宋体"/>
                <w:szCs w:val="24"/>
              </w:rPr>
              <w:t>采购</w:t>
            </w:r>
            <w:r>
              <w:rPr>
                <w:rFonts w:hint="default" w:ascii="宋体" w:hAnsi="宋体" w:eastAsia="宋体"/>
                <w:szCs w:val="24"/>
              </w:rPr>
              <w:t>人签订合同，逾期不</w:t>
            </w:r>
            <w:r>
              <w:rPr>
                <w:rFonts w:hint="eastAsia"/>
                <w:szCs w:val="24"/>
                <w:lang w:eastAsia="zh-CN"/>
              </w:rPr>
              <w:t>联系</w:t>
            </w:r>
            <w:r>
              <w:rPr>
                <w:rFonts w:hint="default" w:ascii="宋体" w:hAnsi="宋体" w:eastAsia="宋体"/>
                <w:szCs w:val="24"/>
              </w:rPr>
              <w:t>或由于成交供应商不响应谈判承诺原因无法签订合同的，</w:t>
            </w:r>
            <w:r>
              <w:rPr>
                <w:rFonts w:hint="eastAsia" w:ascii="宋体" w:hAnsi="宋体" w:eastAsia="宋体"/>
                <w:szCs w:val="24"/>
              </w:rPr>
              <w:t>采购</w:t>
            </w:r>
            <w:r>
              <w:rPr>
                <w:rFonts w:hint="default" w:ascii="宋体" w:hAnsi="宋体" w:eastAsia="宋体"/>
                <w:szCs w:val="24"/>
              </w:rPr>
              <w:t>人可以顺延至第二</w:t>
            </w:r>
            <w:r>
              <w:rPr>
                <w:rFonts w:hint="eastAsia" w:ascii="宋体" w:hAnsi="宋体" w:eastAsia="宋体"/>
                <w:szCs w:val="24"/>
              </w:rPr>
              <w:t>成交</w:t>
            </w:r>
            <w:r>
              <w:rPr>
                <w:rFonts w:hint="default" w:ascii="宋体" w:hAnsi="宋体" w:eastAsia="宋体"/>
                <w:szCs w:val="24"/>
              </w:rPr>
              <w:t>侯选供应商或重新</w:t>
            </w:r>
            <w:r>
              <w:rPr>
                <w:rFonts w:hint="eastAsia" w:ascii="宋体" w:hAnsi="宋体" w:eastAsia="宋体"/>
                <w:szCs w:val="24"/>
              </w:rPr>
              <w:t>采购</w:t>
            </w:r>
            <w:r>
              <w:rPr>
                <w:rFonts w:hint="default" w:ascii="宋体" w:hAnsi="宋体" w:eastAsia="宋体"/>
                <w:szCs w:val="24"/>
              </w:rPr>
              <w:t>。</w:t>
            </w:r>
          </w:p>
        </w:tc>
      </w:tr>
    </w:tbl>
    <w:p>
      <w:pPr>
        <w:pStyle w:val="22"/>
        <w:spacing w:line="380" w:lineRule="exact"/>
        <w:rPr>
          <w:rFonts w:ascii="宋体" w:hAnsi="宋体" w:eastAsia="宋体"/>
          <w:b/>
          <w:bCs/>
        </w:rPr>
      </w:pPr>
      <w:r>
        <w:rPr>
          <w:rFonts w:hint="eastAsia" w:ascii="宋体" w:hAnsi="宋体" w:eastAsia="宋体"/>
        </w:rPr>
        <w:br w:type="page"/>
      </w:r>
      <w:bookmarkEnd w:id="7"/>
      <w:bookmarkStart w:id="8" w:name="_Toc383776343"/>
      <w:bookmarkStart w:id="9" w:name="_Toc383776345"/>
      <w:r>
        <w:rPr>
          <w:rFonts w:hint="eastAsia" w:ascii="宋体" w:hAnsi="宋体" w:eastAsia="宋体" w:cs="宋体"/>
          <w:b/>
          <w:bCs/>
        </w:rPr>
        <w:t>二、磋商响应供应商须知</w:t>
      </w:r>
      <w:bookmarkEnd w:id="8"/>
    </w:p>
    <w:p>
      <w:pPr>
        <w:pStyle w:val="22"/>
        <w:spacing w:line="380" w:lineRule="exact"/>
        <w:rPr>
          <w:rFonts w:ascii="宋体" w:hAnsi="宋体" w:eastAsia="宋体"/>
          <w:b/>
          <w:bCs/>
          <w:sz w:val="24"/>
          <w:szCs w:val="24"/>
        </w:rPr>
      </w:pPr>
      <w:bookmarkStart w:id="10" w:name="_Toc383776344"/>
      <w:r>
        <w:rPr>
          <w:rFonts w:hint="eastAsia" w:ascii="宋体" w:hAnsi="宋体" w:eastAsia="宋体" w:cs="宋体"/>
          <w:b/>
          <w:bCs/>
          <w:sz w:val="24"/>
          <w:szCs w:val="24"/>
        </w:rPr>
        <w:t>（一）总则</w:t>
      </w:r>
      <w:bookmarkEnd w:id="10"/>
    </w:p>
    <w:p>
      <w:pPr>
        <w:pStyle w:val="20"/>
        <w:spacing w:line="380" w:lineRule="exact"/>
        <w:ind w:firstLine="480" w:firstLineChars="200"/>
        <w:rPr>
          <w:rFonts w:ascii="宋体" w:hAnsi="宋体" w:eastAsia="宋体"/>
          <w:bCs/>
          <w:szCs w:val="24"/>
        </w:rPr>
      </w:pPr>
      <w:r>
        <w:rPr>
          <w:rFonts w:hint="eastAsia" w:ascii="宋体" w:hAnsi="宋体" w:eastAsia="宋体"/>
          <w:bCs/>
          <w:szCs w:val="24"/>
        </w:rPr>
        <w:t>1．磋商响应供应商（以下简称供应商）资格要求</w:t>
      </w:r>
    </w:p>
    <w:p>
      <w:pPr>
        <w:widowControl/>
        <w:spacing w:line="380" w:lineRule="exact"/>
        <w:ind w:firstLine="480" w:firstLineChars="200"/>
        <w:jc w:val="left"/>
        <w:rPr>
          <w:rFonts w:ascii="宋体" w:hAnsi="宋体" w:eastAsia="宋体"/>
          <w:kern w:val="0"/>
          <w:sz w:val="24"/>
          <w:szCs w:val="24"/>
        </w:rPr>
      </w:pPr>
      <w:r>
        <w:rPr>
          <w:rFonts w:hint="eastAsia" w:ascii="宋体" w:hAnsi="宋体" w:eastAsia="宋体" w:cs="宋体"/>
          <w:kern w:val="0"/>
          <w:sz w:val="24"/>
          <w:szCs w:val="24"/>
        </w:rPr>
        <w:t>见磋商公告</w:t>
      </w:r>
    </w:p>
    <w:p>
      <w:pPr>
        <w:pStyle w:val="20"/>
        <w:spacing w:line="380" w:lineRule="exact"/>
        <w:ind w:firstLine="480" w:firstLineChars="200"/>
        <w:rPr>
          <w:rFonts w:ascii="宋体" w:hAnsi="宋体" w:eastAsia="宋体"/>
          <w:szCs w:val="24"/>
        </w:rPr>
      </w:pPr>
      <w:r>
        <w:rPr>
          <w:rFonts w:hint="eastAsia" w:ascii="宋体" w:hAnsi="宋体" w:eastAsia="宋体"/>
          <w:szCs w:val="24"/>
        </w:rPr>
        <w:t>注：本磋商文件中规定提供的复印件须装订入磋商响应书正、副本中，原件带至磋商现场审查。</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2．磋商响应费用</w:t>
      </w:r>
    </w:p>
    <w:p>
      <w:pPr>
        <w:pStyle w:val="22"/>
        <w:spacing w:line="380" w:lineRule="exact"/>
        <w:ind w:firstLine="480" w:firstLineChars="200"/>
        <w:jc w:val="both"/>
        <w:rPr>
          <w:rFonts w:ascii="宋体" w:hAnsi="宋体" w:eastAsia="宋体"/>
          <w:sz w:val="24"/>
          <w:szCs w:val="24"/>
        </w:rPr>
      </w:pPr>
      <w:r>
        <w:rPr>
          <w:rFonts w:hint="eastAsia" w:ascii="宋体" w:hAnsi="宋体" w:eastAsia="宋体" w:cs="宋体"/>
          <w:sz w:val="24"/>
          <w:szCs w:val="24"/>
        </w:rPr>
        <w:t>供应商必须自行承担所有与参加磋商有关的一切费用。不论磋商的结果如何，采购人在任何情况下均无义务和责任承担这些费用。</w:t>
      </w:r>
    </w:p>
    <w:p>
      <w:pPr>
        <w:pStyle w:val="22"/>
        <w:spacing w:line="380" w:lineRule="exact"/>
        <w:rPr>
          <w:rFonts w:hint="eastAsia" w:ascii="宋体" w:hAnsi="宋体" w:eastAsia="宋体" w:cs="宋体"/>
          <w:b/>
          <w:bCs/>
          <w:sz w:val="24"/>
          <w:szCs w:val="24"/>
        </w:rPr>
      </w:pPr>
    </w:p>
    <w:p>
      <w:pPr>
        <w:pStyle w:val="22"/>
        <w:spacing w:line="380" w:lineRule="exact"/>
        <w:rPr>
          <w:rFonts w:ascii="宋体" w:hAnsi="宋体" w:eastAsia="宋体"/>
          <w:b/>
          <w:bCs/>
          <w:sz w:val="24"/>
          <w:szCs w:val="24"/>
        </w:rPr>
      </w:pPr>
      <w:r>
        <w:rPr>
          <w:rFonts w:hint="eastAsia" w:ascii="宋体" w:hAnsi="宋体" w:eastAsia="宋体" w:cs="宋体"/>
          <w:b/>
          <w:bCs/>
          <w:sz w:val="24"/>
          <w:szCs w:val="24"/>
        </w:rPr>
        <w:t>（二）竞争性磋商文件</w:t>
      </w:r>
      <w:bookmarkEnd w:id="9"/>
    </w:p>
    <w:p>
      <w:pPr>
        <w:pStyle w:val="6"/>
        <w:spacing w:line="380" w:lineRule="exact"/>
        <w:ind w:firstLine="480" w:firstLineChars="200"/>
        <w:jc w:val="both"/>
        <w:rPr>
          <w:rFonts w:ascii="宋体" w:hAnsi="宋体" w:eastAsia="宋体" w:cs="宋体"/>
          <w:b w:val="0"/>
          <w:sz w:val="24"/>
          <w:szCs w:val="24"/>
        </w:rPr>
      </w:pPr>
      <w:r>
        <w:rPr>
          <w:rFonts w:hint="eastAsia" w:ascii="宋体" w:hAnsi="宋体" w:eastAsia="宋体" w:cs="宋体"/>
          <w:b w:val="0"/>
          <w:sz w:val="24"/>
          <w:szCs w:val="24"/>
        </w:rPr>
        <w:t xml:space="preserve">3．供应商应认真阅读和充分理解竞争性磋商文件中所有的内容。如果供应商没有满足竞争性磋商文件的有关要求，其风险由供应商自行承担。  </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4．竞争性磋商文件的澄清</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4.1供应商可以要求采购人对竞争性磋商文件中的有关问题进行答疑、澄清。</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4.2供应商对竞争性磋商文件如有疑问，应在磋商文件要求的截止时间前以书面形式（如传真、信件、电报等）通知采购人和采购代理机构。</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5．竞争性磋商文件的修改</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5.1</w:t>
      </w:r>
      <w:r>
        <w:rPr>
          <w:rFonts w:hint="eastAsia" w:ascii="宋体" w:hAnsi="宋体" w:eastAsia="宋体" w:cs="宋体"/>
          <w:sz w:val="24"/>
          <w:szCs w:val="24"/>
        </w:rPr>
        <w:t>在某些情况下，采购人可能对竞争性磋商文件进行修改。</w:t>
      </w:r>
    </w:p>
    <w:p>
      <w:pPr>
        <w:spacing w:line="380" w:lineRule="exact"/>
        <w:ind w:firstLine="480" w:firstLineChars="200"/>
        <w:rPr>
          <w:rFonts w:ascii="宋体" w:hAnsi="宋体" w:eastAsia="宋体" w:cs="宋体"/>
          <w:sz w:val="24"/>
          <w:szCs w:val="24"/>
        </w:rPr>
      </w:pPr>
      <w:r>
        <w:rPr>
          <w:rFonts w:hint="eastAsia" w:ascii="宋体" w:hAnsi="宋体" w:eastAsia="宋体" w:cs="宋体"/>
          <w:bCs/>
          <w:sz w:val="24"/>
          <w:szCs w:val="24"/>
        </w:rPr>
        <w:t>5.2</w:t>
      </w:r>
      <w:r>
        <w:rPr>
          <w:rFonts w:hint="eastAsia" w:ascii="宋体" w:hAnsi="宋体" w:eastAsia="宋体" w:cs="宋体"/>
          <w:sz w:val="24"/>
          <w:szCs w:val="24"/>
        </w:rPr>
        <w:t xml:space="preserve">采购人对竞争性磋商文件的修改，将在竞争性磋商公告中的网站以补充公告的形式通知所有供应商，并对这些供应商具有约束力。  </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5.3</w:t>
      </w:r>
      <w:r>
        <w:rPr>
          <w:rFonts w:hint="eastAsia" w:ascii="宋体" w:hAnsi="宋体" w:eastAsia="宋体" w:cs="宋体"/>
          <w:sz w:val="24"/>
          <w:szCs w:val="24"/>
        </w:rPr>
        <w:t xml:space="preserve"> 为使供应商有充分时间对竞争性磋商文件的修改部分进行研究或由于其他原因，采购人可以决定延长磋商响应截止日期，并以前款方式将变更时间通知所有供应商。</w:t>
      </w:r>
    </w:p>
    <w:p>
      <w:pPr>
        <w:pStyle w:val="22"/>
        <w:spacing w:line="380" w:lineRule="exact"/>
        <w:rPr>
          <w:rFonts w:hint="eastAsia" w:ascii="宋体" w:hAnsi="宋体" w:eastAsia="宋体" w:cs="宋体"/>
          <w:b/>
          <w:bCs/>
          <w:sz w:val="24"/>
          <w:szCs w:val="24"/>
        </w:rPr>
      </w:pPr>
      <w:bookmarkStart w:id="11" w:name="_Toc383776346"/>
    </w:p>
    <w:p>
      <w:pPr>
        <w:pStyle w:val="22"/>
        <w:spacing w:line="380" w:lineRule="exact"/>
        <w:rPr>
          <w:rFonts w:ascii="宋体" w:hAnsi="宋体" w:eastAsia="宋体"/>
          <w:b/>
          <w:bCs/>
          <w:sz w:val="24"/>
          <w:szCs w:val="24"/>
        </w:rPr>
      </w:pPr>
      <w:r>
        <w:rPr>
          <w:rFonts w:hint="eastAsia" w:ascii="宋体" w:hAnsi="宋体" w:eastAsia="宋体" w:cs="宋体"/>
          <w:b/>
          <w:bCs/>
          <w:sz w:val="24"/>
          <w:szCs w:val="24"/>
        </w:rPr>
        <w:t>（三）磋商响应书的编制</w:t>
      </w:r>
      <w:bookmarkEnd w:id="11"/>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6．磋商响应的语言及度量衡单位</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6.1</w:t>
      </w:r>
      <w:r>
        <w:rPr>
          <w:rFonts w:hint="eastAsia" w:ascii="宋体" w:hAnsi="宋体" w:eastAsia="宋体" w:cs="宋体"/>
          <w:sz w:val="24"/>
          <w:szCs w:val="24"/>
        </w:rPr>
        <w:t>供应商的磋商响应书、以及供应商与采购人就磋商响应的所有往来函电，均须使用简体中文。</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6.2</w:t>
      </w:r>
      <w:r>
        <w:rPr>
          <w:rFonts w:hint="eastAsia" w:ascii="宋体" w:hAnsi="宋体" w:eastAsia="宋体" w:cs="宋体"/>
          <w:sz w:val="24"/>
          <w:szCs w:val="24"/>
        </w:rPr>
        <w:t>除竞争性磋商文件中另有规定外，磋商响应书所使用的度量衡均须采用法定计量单位。</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7. 磋商响应书构成</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 xml:space="preserve">7.1 </w:t>
      </w:r>
      <w:r>
        <w:rPr>
          <w:rFonts w:hint="eastAsia" w:ascii="宋体" w:hAnsi="宋体" w:eastAsia="宋体" w:cs="宋体"/>
          <w:sz w:val="24"/>
          <w:szCs w:val="24"/>
        </w:rPr>
        <w:t>磋商响应书应包括本竞争性磋商文件第二章磋商响应书中所规定的全部内容。</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7.2</w:t>
      </w:r>
      <w:r>
        <w:rPr>
          <w:rFonts w:hint="eastAsia" w:ascii="宋体" w:hAnsi="宋体" w:eastAsia="宋体" w:cs="宋体"/>
          <w:sz w:val="24"/>
          <w:szCs w:val="24"/>
        </w:rPr>
        <w:t xml:space="preserve"> 供应商必须对其磋商响应书的真实性与准确性负责。供应商一旦成为成交供应商，其磋商响应书将作为合同的重要组成部分。</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7.3</w:t>
      </w:r>
      <w:r>
        <w:rPr>
          <w:rFonts w:hint="eastAsia" w:ascii="宋体" w:hAnsi="宋体" w:eastAsia="宋体" w:cs="宋体"/>
          <w:sz w:val="24"/>
          <w:szCs w:val="24"/>
        </w:rPr>
        <w:t>供应商不得擅自对竞争性磋商文件的格式、条款和技术要求进行修改。否则，其磋商响应书在磋商时有可能被认为是未对竞争性磋商文件做出实质性的响应而中止对其作进一步的评审。</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8．磋商响应报价</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8.1</w:t>
      </w:r>
      <w:r>
        <w:rPr>
          <w:rFonts w:hint="eastAsia" w:ascii="宋体" w:hAnsi="宋体" w:eastAsia="宋体" w:cs="宋体"/>
          <w:sz w:val="24"/>
          <w:szCs w:val="24"/>
        </w:rPr>
        <w:t xml:space="preserve"> 磋商响应报价应清楚地标明供应商拟提供服务的名称、单价。只允许有一个方案、一个报价，多方案、多报价的磋商响应文件将不被接受。</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8.2</w:t>
      </w:r>
      <w:r>
        <w:rPr>
          <w:rFonts w:hint="eastAsia" w:ascii="宋体" w:hAnsi="宋体" w:eastAsia="宋体" w:cs="宋体"/>
          <w:sz w:val="24"/>
          <w:szCs w:val="24"/>
        </w:rPr>
        <w:t>　磋商报价表上的总价即为履行合同的固定价格。</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8.3</w:t>
      </w:r>
      <w:r>
        <w:rPr>
          <w:rFonts w:hint="eastAsia" w:ascii="宋体" w:hAnsi="宋体" w:eastAsia="宋体" w:cs="宋体"/>
          <w:sz w:val="24"/>
          <w:szCs w:val="24"/>
        </w:rPr>
        <w:t>　技术要求中规定的现场服务、售后服务等一切费用应包括在报价中（本磋商文件中有特殊规定的除外）。</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 xml:space="preserve">8.4  </w:t>
      </w:r>
      <w:r>
        <w:rPr>
          <w:rFonts w:hint="eastAsia" w:ascii="宋体" w:hAnsi="宋体" w:eastAsia="宋体" w:cs="宋体"/>
          <w:sz w:val="24"/>
          <w:szCs w:val="24"/>
        </w:rPr>
        <w:t>供应商的磋商报价，应是完成本项目采购合同条款上全部费用。</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8.5磋商响应货币：</w:t>
      </w:r>
      <w:r>
        <w:rPr>
          <w:rFonts w:hint="eastAsia" w:ascii="宋体" w:hAnsi="宋体" w:eastAsia="宋体" w:cs="宋体"/>
          <w:sz w:val="24"/>
          <w:szCs w:val="24"/>
        </w:rPr>
        <w:t>须以人民币报价。</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9．证明供应商合格的资格文件</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9.1</w:t>
      </w:r>
      <w:r>
        <w:rPr>
          <w:rFonts w:hint="eastAsia" w:ascii="宋体" w:hAnsi="宋体" w:eastAsia="宋体" w:cs="宋体"/>
          <w:sz w:val="24"/>
          <w:szCs w:val="24"/>
        </w:rPr>
        <w:t>供应商在其磋商响应书中，应包括证明其有资格参加磋商和成交后有能力履行合同的资质证明文件。</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9.2</w:t>
      </w:r>
      <w:r>
        <w:rPr>
          <w:rFonts w:hint="eastAsia" w:ascii="宋体" w:hAnsi="宋体" w:eastAsia="宋体" w:cs="宋体"/>
          <w:sz w:val="24"/>
          <w:szCs w:val="24"/>
        </w:rPr>
        <w:t>供应商必须具有履行合同所必需的能力。</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10．磋商响应保证金（详见前附表）。</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11．磋商响应书份数和签署</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11.1</w:t>
      </w:r>
      <w:r>
        <w:rPr>
          <w:rFonts w:hint="eastAsia" w:ascii="宋体" w:hAnsi="宋体" w:eastAsia="宋体" w:cs="宋体"/>
          <w:sz w:val="24"/>
          <w:szCs w:val="24"/>
        </w:rPr>
        <w:t>供应商应准备供应商须知前附表规定份数的磋商响应书。每份磋商响应书须清楚地标明“正本”或“副本”字样，正本与副本必须一致；若正本与副本不一致，以正本为准。</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11.2</w:t>
      </w:r>
      <w:r>
        <w:rPr>
          <w:rFonts w:hint="eastAsia" w:ascii="宋体" w:hAnsi="宋体" w:eastAsia="宋体" w:cs="宋体"/>
          <w:sz w:val="24"/>
          <w:szCs w:val="24"/>
        </w:rPr>
        <w:t xml:space="preserve"> 磋商响应书的正本和所有的副本均需打印，由供应商的法定代表人或其授权代表正确签署。授权代表须将以书面形式出具的“法定代表人授权书”附在磋商响应书上。</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11.3</w:t>
      </w:r>
      <w:r>
        <w:rPr>
          <w:rFonts w:hint="eastAsia" w:ascii="宋体" w:hAnsi="宋体" w:eastAsia="宋体" w:cs="宋体"/>
          <w:sz w:val="24"/>
          <w:szCs w:val="24"/>
        </w:rPr>
        <w:t>磋商响应书不得行间插字、涂改或增删。如有修改错漏处，必须由供应商的法定代表人或其授权代表签字和盖章。</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12．磋商响应书的密封和标记</w:t>
      </w:r>
    </w:p>
    <w:p>
      <w:pPr>
        <w:spacing w:line="380" w:lineRule="exact"/>
        <w:ind w:firstLine="480" w:firstLineChars="200"/>
        <w:rPr>
          <w:rFonts w:ascii="宋体" w:hAnsi="宋体" w:eastAsia="宋体" w:cs="宋体"/>
          <w:kern w:val="0"/>
          <w:sz w:val="24"/>
          <w:szCs w:val="24"/>
        </w:rPr>
      </w:pPr>
      <w:r>
        <w:rPr>
          <w:rFonts w:hint="eastAsia" w:ascii="宋体" w:hAnsi="宋体" w:eastAsia="宋体" w:cs="宋体"/>
          <w:bCs/>
          <w:sz w:val="24"/>
          <w:szCs w:val="24"/>
        </w:rPr>
        <w:t>12.1</w:t>
      </w:r>
      <w:r>
        <w:rPr>
          <w:rFonts w:hint="eastAsia" w:ascii="宋体" w:hAnsi="宋体" w:eastAsia="宋体" w:cs="宋体"/>
          <w:bCs/>
          <w:kern w:val="0"/>
          <w:sz w:val="24"/>
          <w:szCs w:val="24"/>
        </w:rPr>
        <w:t>供应商应将磋商响应书的正本和副本单独或一起用包装袋封装好。封装应该严密、不易破损。封口处应盖有供应商公章。</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12.2</w:t>
      </w:r>
      <w:r>
        <w:rPr>
          <w:rFonts w:hint="eastAsia" w:ascii="宋体" w:hAnsi="宋体" w:eastAsia="宋体" w:cs="宋体"/>
          <w:sz w:val="24"/>
          <w:szCs w:val="24"/>
        </w:rPr>
        <w:t>磋商响应书包装袋上必须清楚写明项目的名称、项目编号、供应商全称。</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12．3 磋商响应书不得活页装订，否则响应无效。</w:t>
      </w:r>
    </w:p>
    <w:p>
      <w:pPr>
        <w:pStyle w:val="22"/>
        <w:spacing w:line="380" w:lineRule="exact"/>
        <w:rPr>
          <w:rFonts w:hint="eastAsia" w:ascii="宋体" w:hAnsi="宋体" w:eastAsia="宋体" w:cs="宋体"/>
          <w:b/>
          <w:bCs/>
          <w:sz w:val="24"/>
          <w:szCs w:val="24"/>
        </w:rPr>
      </w:pPr>
      <w:bookmarkStart w:id="12" w:name="_Toc383776347"/>
    </w:p>
    <w:p>
      <w:pPr>
        <w:pStyle w:val="22"/>
        <w:spacing w:line="380" w:lineRule="exact"/>
        <w:rPr>
          <w:rFonts w:ascii="宋体" w:hAnsi="宋体" w:eastAsia="宋体"/>
          <w:b/>
          <w:bCs/>
          <w:sz w:val="24"/>
          <w:szCs w:val="24"/>
        </w:rPr>
      </w:pPr>
      <w:r>
        <w:rPr>
          <w:rFonts w:hint="eastAsia" w:ascii="宋体" w:hAnsi="宋体" w:eastAsia="宋体" w:cs="宋体"/>
          <w:b/>
          <w:bCs/>
          <w:sz w:val="24"/>
          <w:szCs w:val="24"/>
        </w:rPr>
        <w:t>（四）磋商响应书的递交</w:t>
      </w:r>
      <w:bookmarkEnd w:id="12"/>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13．磋商响应书超过时间递交的将被拒绝。磋商响应书有下列情形之一的，采购人将不予受理：</w:t>
      </w:r>
    </w:p>
    <w:p>
      <w:pPr>
        <w:pStyle w:val="9"/>
        <w:spacing w:line="380" w:lineRule="exact"/>
        <w:ind w:firstLine="475" w:firstLineChars="198"/>
        <w:rPr>
          <w:rFonts w:ascii="宋体" w:hAnsi="宋体" w:eastAsia="宋体"/>
          <w:bCs/>
          <w:sz w:val="24"/>
          <w:szCs w:val="24"/>
        </w:rPr>
      </w:pPr>
      <w:r>
        <w:rPr>
          <w:rFonts w:hint="eastAsia" w:ascii="宋体" w:hAnsi="宋体" w:eastAsia="宋体"/>
          <w:bCs/>
          <w:sz w:val="24"/>
          <w:szCs w:val="24"/>
        </w:rPr>
        <w:t xml:space="preserve">13.1逾期送达的或者未送达指定地点的； </w:t>
      </w:r>
    </w:p>
    <w:p>
      <w:pPr>
        <w:pStyle w:val="9"/>
        <w:spacing w:line="380" w:lineRule="exact"/>
        <w:ind w:firstLine="475" w:firstLineChars="198"/>
        <w:rPr>
          <w:rFonts w:ascii="宋体" w:hAnsi="宋体" w:eastAsia="宋体"/>
          <w:bCs/>
          <w:sz w:val="24"/>
          <w:szCs w:val="24"/>
        </w:rPr>
      </w:pPr>
      <w:r>
        <w:rPr>
          <w:rFonts w:hint="eastAsia" w:ascii="宋体" w:hAnsi="宋体" w:eastAsia="宋体"/>
          <w:bCs/>
          <w:sz w:val="24"/>
          <w:szCs w:val="24"/>
        </w:rPr>
        <w:t>13.2未按磋商文件要求包装、密封和标记的。</w:t>
      </w:r>
    </w:p>
    <w:p>
      <w:pPr>
        <w:spacing w:line="380" w:lineRule="exact"/>
        <w:ind w:firstLine="480" w:firstLineChars="200"/>
        <w:rPr>
          <w:rFonts w:ascii="宋体" w:hAnsi="宋体" w:eastAsia="宋体"/>
          <w:sz w:val="24"/>
          <w:szCs w:val="24"/>
        </w:rPr>
      </w:pPr>
      <w:r>
        <w:rPr>
          <w:rFonts w:hint="eastAsia" w:ascii="宋体" w:hAnsi="宋体" w:eastAsia="宋体" w:cs="宋体"/>
          <w:bCs/>
          <w:sz w:val="24"/>
          <w:szCs w:val="24"/>
        </w:rPr>
        <w:t>14．磋商响应书的修改和撤回</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14.1供应商递交磋商响应书后，可以在规定的磋商响应截止时间前修改或撤回其磋商响应书。但这种修改和撤回，必须以书面形式通知采购人和采购代理机构。补充修改的内容与响应文件不一致的，以补充、修改的内容为准。</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14.2供应商修改书或撤回通知书，应由法定代表人或其授权代表签署，并按规定进行密封、标记和提交。</w:t>
      </w:r>
    </w:p>
    <w:p>
      <w:pPr>
        <w:pStyle w:val="6"/>
        <w:spacing w:line="380" w:lineRule="exact"/>
        <w:ind w:firstLine="480" w:firstLineChars="200"/>
        <w:jc w:val="both"/>
        <w:rPr>
          <w:rFonts w:ascii="宋体" w:hAnsi="宋体" w:eastAsia="宋体" w:cs="Times New Roman"/>
          <w:b w:val="0"/>
          <w:sz w:val="24"/>
          <w:szCs w:val="24"/>
        </w:rPr>
      </w:pPr>
      <w:r>
        <w:rPr>
          <w:rFonts w:hint="eastAsia" w:ascii="宋体" w:hAnsi="宋体" w:eastAsia="宋体" w:cs="宋体"/>
          <w:b w:val="0"/>
          <w:sz w:val="24"/>
          <w:szCs w:val="24"/>
        </w:rPr>
        <w:t>15．磋商现场</w:t>
      </w:r>
    </w:p>
    <w:p>
      <w:pPr>
        <w:pStyle w:val="6"/>
        <w:spacing w:line="380" w:lineRule="exact"/>
        <w:ind w:firstLine="480" w:firstLineChars="200"/>
        <w:jc w:val="both"/>
        <w:rPr>
          <w:rFonts w:ascii="宋体" w:hAnsi="宋体" w:eastAsia="宋体" w:cs="Times New Roman"/>
          <w:b w:val="0"/>
          <w:bCs w:val="0"/>
          <w:kern w:val="0"/>
          <w:sz w:val="24"/>
          <w:szCs w:val="24"/>
        </w:rPr>
      </w:pPr>
      <w:r>
        <w:rPr>
          <w:rFonts w:hint="eastAsia" w:ascii="宋体" w:hAnsi="宋体" w:eastAsia="宋体" w:cs="宋体"/>
          <w:b w:val="0"/>
          <w:bCs w:val="0"/>
          <w:kern w:val="0"/>
          <w:sz w:val="24"/>
          <w:szCs w:val="24"/>
        </w:rPr>
        <w:t>按照磋商响应供应商须知前附表载明的时间和地点举行磋商。</w:t>
      </w:r>
    </w:p>
    <w:p>
      <w:pPr>
        <w:spacing w:line="380" w:lineRule="exact"/>
        <w:ind w:firstLine="480" w:firstLineChars="200"/>
        <w:rPr>
          <w:rFonts w:ascii="宋体" w:hAnsi="宋体" w:eastAsia="宋体"/>
          <w:bCs/>
          <w:sz w:val="24"/>
          <w:szCs w:val="24"/>
        </w:rPr>
      </w:pPr>
      <w:r>
        <w:rPr>
          <w:rFonts w:hint="eastAsia" w:ascii="宋体" w:hAnsi="宋体" w:eastAsia="宋体" w:cs="宋体"/>
          <w:bCs/>
          <w:kern w:val="0"/>
          <w:sz w:val="24"/>
          <w:szCs w:val="24"/>
        </w:rPr>
        <w:t>16．</w:t>
      </w:r>
      <w:r>
        <w:rPr>
          <w:rFonts w:hint="eastAsia" w:ascii="宋体" w:hAnsi="宋体" w:eastAsia="宋体" w:cs="宋体"/>
          <w:bCs/>
          <w:sz w:val="24"/>
          <w:szCs w:val="24"/>
        </w:rPr>
        <w:t>磋商与评审</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16.1磋商与评审程序</w:t>
      </w:r>
    </w:p>
    <w:p>
      <w:pPr>
        <w:numPr>
          <w:ilvl w:val="0"/>
          <w:numId w:val="0"/>
        </w:numPr>
        <w:spacing w:line="3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1、磋商小组由采购人和评审专家构成，成员人数为3人以上单数。</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2、磋商小组首先对供应商的资格进行审查，资格审查不通过的，将不得进入磋商。</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3、磋商小组对供应商提交的磋商响应书及样品（如有）进行审查，为磋商做好准备工作。</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4、磋商小组所有成员集中与单一供应商进行逐一磋商。磋商过程中可对磋商文件规定的内容进行变动，变动内容须经采购人代表确认。</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5、对否定的供应商，磋商小组要提出充足的否定理由，并填写在评审记录上；对评审结果持有异议的，按照少数服从多数的原则由磋商小组采取投票方式表决确定并记录入评审记录。</w:t>
      </w:r>
    </w:p>
    <w:p>
      <w:pPr>
        <w:spacing w:line="380" w:lineRule="exact"/>
        <w:ind w:firstLine="480" w:firstLineChars="200"/>
        <w:rPr>
          <w:rFonts w:ascii="宋体" w:hAnsi="宋体" w:eastAsia="宋体" w:cs="宋体"/>
          <w:sz w:val="24"/>
          <w:szCs w:val="24"/>
        </w:rPr>
      </w:pPr>
      <w:r>
        <w:rPr>
          <w:rFonts w:hint="eastAsia" w:ascii="宋体" w:hAnsi="宋体" w:eastAsia="宋体" w:cs="宋体"/>
          <w:bCs/>
          <w:sz w:val="24"/>
          <w:szCs w:val="24"/>
        </w:rPr>
        <w:t>16.1.1 资格审查</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经磋商小组确定，有以下情形的供应商属于无效响应：</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1）未按本磋商文件要求提供营业执照以及相关资质、资格证明材料或提供的材料不符合要求的；</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2）未提供样品的。（如有）</w:t>
      </w:r>
    </w:p>
    <w:p>
      <w:pPr>
        <w:numPr>
          <w:ilvl w:val="0"/>
          <w:numId w:val="1"/>
        </w:numPr>
        <w:spacing w:line="380" w:lineRule="exact"/>
        <w:ind w:firstLine="480" w:firstLineChars="200"/>
        <w:jc w:val="left"/>
        <w:rPr>
          <w:rFonts w:ascii="宋体" w:hAnsi="宋体" w:eastAsia="宋体" w:cs="黑体"/>
          <w:sz w:val="24"/>
          <w:szCs w:val="24"/>
        </w:rPr>
      </w:pPr>
      <w:r>
        <w:rPr>
          <w:rFonts w:hint="eastAsia" w:ascii="宋体" w:hAnsi="宋体" w:eastAsia="宋体" w:cs="黑体"/>
          <w:sz w:val="24"/>
          <w:szCs w:val="24"/>
        </w:rPr>
        <w:t>供应商未按照磋商文件要求提交磋商保证金的；</w:t>
      </w:r>
    </w:p>
    <w:p>
      <w:pPr>
        <w:numPr>
          <w:ilvl w:val="0"/>
          <w:numId w:val="1"/>
        </w:numPr>
        <w:spacing w:line="380" w:lineRule="exact"/>
        <w:ind w:firstLine="480" w:firstLineChars="200"/>
        <w:jc w:val="left"/>
        <w:rPr>
          <w:rFonts w:ascii="宋体" w:hAnsi="宋体" w:eastAsia="宋体" w:cs="黑体"/>
          <w:sz w:val="24"/>
          <w:szCs w:val="24"/>
        </w:rPr>
      </w:pPr>
      <w:r>
        <w:rPr>
          <w:rFonts w:hint="eastAsia" w:ascii="宋体" w:hAnsi="宋体" w:eastAsia="宋体" w:cs="黑体"/>
          <w:sz w:val="24"/>
          <w:szCs w:val="24"/>
        </w:rPr>
        <w:t>供应商递交磋商响应书后提交书面修改或撤回申请，但未在规定的磋商响应截止时间前提交已修改的磋商响应书的，视为响应无效。</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16.1.2 磋商响应书及样品（如有）</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磋商开始前，磋商小组将认真审查供应商提交的磋商响应书，了解其与磋商文件要求是否有偏离，并对照本磋商文件规定评判供应商是否合格。审查完磋商响应书后，对合格供应商提供的样品(如有)进行检验。</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16.1.3 磋商</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1、在掌握了供应商磋商响应书及样品的基本情况后，磋商小组将与供应商分别进行磋商。 </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2、在磋商过程中，磋商小组可以根据磋商文件和磋商情况实质性变动采购需求中的技术、服务要求以及合同草案条款，实质性变动内容是磋商文件的有效组成部分。实质性变动的内容，经采购人代表确认。</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16.1.4 报价</w:t>
      </w:r>
    </w:p>
    <w:p>
      <w:pPr>
        <w:numPr>
          <w:ilvl w:val="0"/>
          <w:numId w:val="2"/>
        </w:numPr>
        <w:spacing w:line="380" w:lineRule="exact"/>
        <w:ind w:firstLine="480" w:firstLineChars="200"/>
        <w:rPr>
          <w:rFonts w:ascii="宋体" w:hAnsi="宋体" w:eastAsia="宋体"/>
          <w:sz w:val="24"/>
          <w:szCs w:val="24"/>
        </w:rPr>
      </w:pPr>
      <w:r>
        <w:rPr>
          <w:rFonts w:hint="eastAsia" w:ascii="宋体" w:hAnsi="宋体" w:eastAsia="宋体" w:cs="宋体"/>
          <w:sz w:val="24"/>
          <w:szCs w:val="24"/>
        </w:rPr>
        <w:t>响应报价超过项目预算控制数或不按规定格式进行报价的属于无效响应。报价表应按要求填写并装订入响应文件内。</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2、磋商结束后，磋商小组将要求所有继续参加磋商的供应商在规定的时间内提交最后报价，最后报价表由采购代理机构工作人员现场发放。最后报价不得高于本单位第一轮报价，否则为无效报价。</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16.1.5成交候选供应商</w:t>
      </w:r>
    </w:p>
    <w:p>
      <w:pPr>
        <w:spacing w:line="380" w:lineRule="exact"/>
        <w:ind w:firstLine="480" w:firstLineChars="200"/>
        <w:rPr>
          <w:rFonts w:ascii="宋体" w:hAnsi="宋体" w:eastAsia="宋体" w:cs="宋体"/>
          <w:color w:val="0000FF"/>
          <w:sz w:val="24"/>
          <w:szCs w:val="24"/>
        </w:rPr>
      </w:pPr>
      <w:r>
        <w:rPr>
          <w:rFonts w:hint="eastAsia" w:ascii="宋体" w:hAnsi="宋体" w:eastAsia="宋体" w:cs="宋体"/>
          <w:bCs/>
          <w:sz w:val="24"/>
          <w:szCs w:val="24"/>
          <w:u w:val="single"/>
        </w:rPr>
        <w:t>磋商小组应当根据综合评分情况，按照评审得分由高到低顺序推荐有排序的2名成交候选供应商，并编写评审报告。</w:t>
      </w:r>
      <w:r>
        <w:rPr>
          <w:rFonts w:hint="eastAsia" w:ascii="宋体" w:hAnsi="宋体" w:eastAsia="宋体" w:cs="宋体"/>
          <w:sz w:val="24"/>
          <w:szCs w:val="24"/>
        </w:rPr>
        <w:t>评审得分相同的，按照最后报价由低到高的顺序推荐。评审得分且最后报价相同的，按照现场抽签顺序推荐。同时将评审结果形成评审意见，报采购人依法确定成交供应商</w:t>
      </w:r>
      <w:r>
        <w:rPr>
          <w:rFonts w:hint="eastAsia" w:ascii="宋体" w:hAnsi="宋体" w:eastAsia="宋体" w:cs="宋体"/>
          <w:color w:val="0000FF"/>
          <w:sz w:val="24"/>
          <w:szCs w:val="24"/>
        </w:rPr>
        <w:t>。</w:t>
      </w:r>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17. 经磋商小组确定，有以下情形的供应商视为不合格供应商，其磋商响应将被否决：</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1）资格审查未通过的；</w:t>
      </w:r>
    </w:p>
    <w:p>
      <w:pPr>
        <w:spacing w:line="380" w:lineRule="exact"/>
        <w:ind w:firstLine="480" w:firstLineChars="200"/>
        <w:rPr>
          <w:rFonts w:ascii="宋体" w:hAnsi="宋体" w:eastAsia="宋体"/>
          <w:kern w:val="0"/>
          <w:sz w:val="24"/>
          <w:szCs w:val="24"/>
        </w:rPr>
      </w:pPr>
      <w:r>
        <w:rPr>
          <w:rFonts w:hint="eastAsia" w:ascii="宋体" w:hAnsi="宋体" w:eastAsia="宋体" w:cs="宋体"/>
          <w:kern w:val="0"/>
          <w:sz w:val="24"/>
          <w:szCs w:val="24"/>
        </w:rPr>
        <w:t>2）磋商响应书未加盖单位印章和法定代表人（或授权委托人）签章的；</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3）所提供的货物/服务/采购清单缺少的；</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4）关键性商务、技术参数以及相关要求不能得到真正满足的；</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5）样品不符合要求的（如有）；</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6) 报价超过项目预算控制数或不按规定格式进行报价的属于无效报价。</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7）其它不满足本磋商文件要求和法律法规规定应当否决的情形。</w:t>
      </w:r>
    </w:p>
    <w:p>
      <w:pPr>
        <w:pStyle w:val="20"/>
        <w:adjustRightInd/>
        <w:spacing w:line="380" w:lineRule="exact"/>
        <w:jc w:val="center"/>
        <w:rPr>
          <w:rFonts w:ascii="宋体" w:hAnsi="宋体" w:eastAsia="宋体"/>
          <w:b/>
          <w:bCs/>
          <w:szCs w:val="24"/>
        </w:rPr>
      </w:pPr>
      <w:bookmarkStart w:id="13" w:name="_Toc383776348"/>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center"/>
        <w:rPr>
          <w:rFonts w:ascii="宋体" w:hAnsi="宋体" w:eastAsia="宋体"/>
          <w:b/>
          <w:bCs/>
          <w:szCs w:val="24"/>
        </w:rPr>
      </w:pPr>
    </w:p>
    <w:p>
      <w:pPr>
        <w:pStyle w:val="20"/>
        <w:adjustRightInd/>
        <w:spacing w:line="380" w:lineRule="exact"/>
        <w:jc w:val="both"/>
        <w:rPr>
          <w:rFonts w:ascii="宋体" w:hAnsi="宋体" w:eastAsia="宋体"/>
          <w:b/>
          <w:bCs/>
          <w:szCs w:val="24"/>
        </w:rPr>
      </w:pPr>
    </w:p>
    <w:p>
      <w:pPr>
        <w:pStyle w:val="20"/>
        <w:numPr>
          <w:ilvl w:val="0"/>
          <w:numId w:val="3"/>
        </w:numPr>
        <w:adjustRightInd/>
        <w:spacing w:line="380" w:lineRule="exact"/>
        <w:jc w:val="center"/>
        <w:rPr>
          <w:rFonts w:hint="eastAsia" w:ascii="宋体" w:hAnsi="宋体" w:eastAsia="宋体"/>
          <w:b/>
          <w:bCs/>
          <w:szCs w:val="24"/>
        </w:rPr>
      </w:pPr>
      <w:r>
        <w:rPr>
          <w:rFonts w:hint="eastAsia" w:ascii="宋体" w:hAnsi="宋体" w:eastAsia="宋体"/>
          <w:b/>
          <w:bCs/>
          <w:szCs w:val="24"/>
        </w:rPr>
        <w:t>磋商办法</w:t>
      </w:r>
    </w:p>
    <w:p>
      <w:pPr>
        <w:pStyle w:val="20"/>
        <w:numPr>
          <w:ilvl w:val="0"/>
          <w:numId w:val="0"/>
        </w:numPr>
        <w:adjustRightInd/>
        <w:spacing w:line="380" w:lineRule="exact"/>
        <w:jc w:val="both"/>
        <w:rPr>
          <w:rFonts w:hint="eastAsia" w:ascii="宋体" w:hAnsi="宋体" w:eastAsia="宋体"/>
          <w:b/>
          <w:bCs/>
          <w:szCs w:val="24"/>
        </w:rPr>
      </w:pP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磋商小组首先进行符合性评审，评审通过后，然后对满足磋商文件实质性要求的磋商响应文件，按照评分标准和二次商务报价打分，汇总最终商务报价得分和技术得分为各供应商的最终得分。</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一、资格审查</w:t>
      </w:r>
    </w:p>
    <w:tbl>
      <w:tblPr>
        <w:tblStyle w:val="17"/>
        <w:tblpPr w:leftFromText="180" w:rightFromText="180" w:vertAnchor="text" w:horzAnchor="page" w:tblpX="1552" w:tblpY="588"/>
        <w:tblOverlap w:val="never"/>
        <w:tblW w:w="9472"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1340"/>
        <w:gridCol w:w="2683"/>
        <w:gridCol w:w="2487"/>
        <w:gridCol w:w="2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6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序</w:t>
            </w:r>
          </w:p>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号</w:t>
            </w:r>
          </w:p>
        </w:tc>
        <w:tc>
          <w:tcPr>
            <w:tcW w:w="134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合格条件</w:t>
            </w:r>
          </w:p>
        </w:tc>
        <w:tc>
          <w:tcPr>
            <w:tcW w:w="2683" w:type="dxa"/>
            <w:vAlign w:val="center"/>
          </w:tcPr>
          <w:p>
            <w:pPr>
              <w:keepNext w:val="0"/>
              <w:keepLines w:val="0"/>
              <w:suppressLineNumbers w:val="0"/>
              <w:spacing w:before="0" w:beforeAutospacing="0" w:after="0" w:afterAutospacing="0" w:line="380" w:lineRule="exact"/>
              <w:ind w:left="15" w:right="0" w:hanging="14" w:hangingChars="7"/>
              <w:jc w:val="center"/>
              <w:rPr>
                <w:rFonts w:hint="default" w:ascii="宋体" w:hAnsi="宋体" w:eastAsia="宋体" w:cs="宋体"/>
              </w:rPr>
            </w:pPr>
            <w:r>
              <w:rPr>
                <w:rFonts w:hint="eastAsia" w:ascii="宋体" w:hAnsi="宋体" w:eastAsia="宋体" w:cs="宋体"/>
              </w:rPr>
              <w:t>投标资格合格条件标准</w:t>
            </w:r>
          </w:p>
        </w:tc>
        <w:tc>
          <w:tcPr>
            <w:tcW w:w="2487" w:type="dxa"/>
            <w:vAlign w:val="center"/>
          </w:tcPr>
          <w:p>
            <w:pPr>
              <w:keepNext w:val="0"/>
              <w:keepLines w:val="0"/>
              <w:suppressLineNumbers w:val="0"/>
              <w:spacing w:before="0" w:beforeAutospacing="0" w:after="0" w:afterAutospacing="0" w:line="380" w:lineRule="exact"/>
              <w:ind w:left="4" w:right="0" w:hanging="4" w:hangingChars="2"/>
              <w:jc w:val="center"/>
              <w:rPr>
                <w:rFonts w:hint="default" w:ascii="宋体" w:hAnsi="宋体" w:eastAsia="宋体" w:cs="宋体"/>
              </w:rPr>
            </w:pPr>
            <w:r>
              <w:rPr>
                <w:rFonts w:hint="eastAsia" w:ascii="宋体" w:hAnsi="宋体" w:eastAsia="宋体" w:cs="宋体"/>
              </w:rPr>
              <w:t>有效证明材料</w:t>
            </w:r>
          </w:p>
        </w:tc>
        <w:tc>
          <w:tcPr>
            <w:tcW w:w="2302"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定性的结论以及</w:t>
            </w:r>
          </w:p>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相关情况说明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660" w:type="dxa"/>
            <w:vAlign w:val="center"/>
          </w:tcPr>
          <w:p>
            <w:pPr>
              <w:keepNext w:val="0"/>
              <w:keepLines w:val="0"/>
              <w:suppressLineNumbers w:val="0"/>
              <w:spacing w:before="0" w:beforeAutospacing="0" w:after="0" w:afterAutospacing="0" w:line="380" w:lineRule="exact"/>
              <w:ind w:left="0" w:right="0"/>
              <w:jc w:val="center"/>
              <w:rPr>
                <w:rFonts w:hint="eastAsia" w:ascii="宋体" w:hAnsi="宋体" w:eastAsia="宋体" w:cs="宋体"/>
                <w:lang w:eastAsia="zh-CN"/>
              </w:rPr>
            </w:pPr>
            <w:r>
              <w:rPr>
                <w:rFonts w:hint="eastAsia" w:ascii="宋体" w:hAnsi="宋体" w:cs="宋体"/>
                <w:lang w:val="en-US" w:eastAsia="zh-CN"/>
              </w:rPr>
              <w:t>1</w:t>
            </w:r>
          </w:p>
        </w:tc>
        <w:tc>
          <w:tcPr>
            <w:tcW w:w="134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独立的法人营业资格</w:t>
            </w:r>
          </w:p>
        </w:tc>
        <w:tc>
          <w:tcPr>
            <w:tcW w:w="2683"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在中华人民共和国境内合法注册的独立法人资格，并具有相应的经营范围。</w:t>
            </w:r>
          </w:p>
        </w:tc>
        <w:tc>
          <w:tcPr>
            <w:tcW w:w="2487" w:type="dxa"/>
            <w:vAlign w:val="center"/>
          </w:tcPr>
          <w:p>
            <w:pPr>
              <w:keepNext w:val="0"/>
              <w:keepLines w:val="0"/>
              <w:suppressLineNumbers w:val="0"/>
              <w:spacing w:before="0" w:beforeAutospacing="0" w:after="0" w:afterAutospacing="0" w:line="380" w:lineRule="exact"/>
              <w:ind w:left="4" w:right="0" w:hanging="4" w:hangingChars="2"/>
              <w:jc w:val="center"/>
              <w:rPr>
                <w:rFonts w:hint="default" w:ascii="宋体" w:hAnsi="宋体" w:eastAsia="宋体" w:cs="宋体"/>
              </w:rPr>
            </w:pPr>
            <w:r>
              <w:rPr>
                <w:rFonts w:hint="eastAsia" w:ascii="宋体" w:hAnsi="宋体" w:eastAsia="宋体" w:cs="宋体"/>
              </w:rPr>
              <w:t>企业法人营业执照（副本）</w:t>
            </w:r>
          </w:p>
        </w:tc>
        <w:tc>
          <w:tcPr>
            <w:tcW w:w="2302"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复印件加盖公章装订在磋商响应文件内，原件备查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8" w:hRule="atLeast"/>
          <w:tblCellSpacing w:w="0" w:type="dxa"/>
        </w:trPr>
        <w:tc>
          <w:tcPr>
            <w:tcW w:w="660" w:type="dxa"/>
            <w:vAlign w:val="center"/>
          </w:tcPr>
          <w:p>
            <w:pPr>
              <w:keepNext w:val="0"/>
              <w:keepLines w:val="0"/>
              <w:suppressLineNumbers w:val="0"/>
              <w:spacing w:before="0" w:beforeAutospacing="0" w:after="0" w:afterAutospacing="0" w:line="380" w:lineRule="exact"/>
              <w:ind w:left="0" w:right="0"/>
              <w:jc w:val="center"/>
              <w:rPr>
                <w:rFonts w:hint="eastAsia" w:ascii="宋体" w:hAnsi="宋体" w:eastAsia="宋体" w:cs="宋体"/>
                <w:lang w:eastAsia="zh-CN"/>
              </w:rPr>
            </w:pPr>
            <w:r>
              <w:rPr>
                <w:rFonts w:hint="eastAsia" w:ascii="宋体" w:hAnsi="宋体" w:cs="宋体"/>
                <w:lang w:val="en-US" w:eastAsia="zh-CN"/>
              </w:rPr>
              <w:t>2</w:t>
            </w:r>
          </w:p>
        </w:tc>
        <w:tc>
          <w:tcPr>
            <w:tcW w:w="134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授权委托书</w:t>
            </w:r>
          </w:p>
        </w:tc>
        <w:tc>
          <w:tcPr>
            <w:tcW w:w="2683"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按格式要求填写、签章</w:t>
            </w:r>
          </w:p>
        </w:tc>
        <w:tc>
          <w:tcPr>
            <w:tcW w:w="2487" w:type="dxa"/>
            <w:vAlign w:val="center"/>
          </w:tcPr>
          <w:p>
            <w:pPr>
              <w:keepNext w:val="0"/>
              <w:keepLines w:val="0"/>
              <w:suppressLineNumbers w:val="0"/>
              <w:spacing w:before="0" w:beforeAutospacing="0" w:after="0" w:afterAutospacing="0" w:line="380" w:lineRule="exact"/>
              <w:ind w:left="4" w:right="0" w:hanging="4" w:hangingChars="2"/>
              <w:jc w:val="center"/>
              <w:rPr>
                <w:rFonts w:hint="default" w:ascii="宋体" w:hAnsi="宋体" w:eastAsia="宋体" w:cs="宋体"/>
              </w:rPr>
            </w:pPr>
            <w:r>
              <w:rPr>
                <w:rFonts w:hint="eastAsia" w:ascii="宋体" w:hAnsi="宋体" w:eastAsia="宋体" w:cs="宋体"/>
              </w:rPr>
              <w:t>由法定代表人签署并加盖公章</w:t>
            </w:r>
          </w:p>
        </w:tc>
        <w:tc>
          <w:tcPr>
            <w:tcW w:w="2302"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eastAsia="宋体" w:cs="宋体"/>
              </w:rPr>
            </w:pPr>
            <w:r>
              <w:rPr>
                <w:rFonts w:hint="eastAsia" w:ascii="宋体" w:hAnsi="宋体" w:eastAsia="宋体" w:cs="宋体"/>
              </w:rPr>
              <w:t>必须原件装订在磋商响应文件内。</w:t>
            </w:r>
          </w:p>
        </w:tc>
      </w:tr>
    </w:tbl>
    <w:p>
      <w:pPr>
        <w:spacing w:line="380" w:lineRule="exact"/>
        <w:ind w:firstLine="480" w:firstLineChars="200"/>
        <w:rPr>
          <w:rFonts w:ascii="宋体" w:hAnsi="宋体" w:eastAsia="宋体" w:cs="宋体"/>
          <w:sz w:val="24"/>
          <w:szCs w:val="24"/>
        </w:rPr>
      </w:pPr>
      <w:bookmarkStart w:id="14" w:name="_Toc513623392"/>
      <w:bookmarkStart w:id="15" w:name="_Toc23811"/>
      <w:bookmarkStart w:id="16" w:name="_Toc17631"/>
      <w:bookmarkStart w:id="17" w:name="_Toc23778"/>
      <w:r>
        <w:rPr>
          <w:rFonts w:hint="eastAsia" w:ascii="宋体" w:hAnsi="宋体" w:eastAsia="宋体" w:cs="宋体"/>
          <w:sz w:val="24"/>
          <w:szCs w:val="24"/>
        </w:rPr>
        <w:t>符合性评审内容（原件备查）</w:t>
      </w:r>
      <w:bookmarkEnd w:id="14"/>
      <w:bookmarkEnd w:id="15"/>
      <w:bookmarkEnd w:id="16"/>
      <w:bookmarkEnd w:id="17"/>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注: 1.以上条款中有一条不符合即为不合格。</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2.经公证部门公证的复印件和原件具有同等效力。</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3.以上评审内容均应在磋商响应文件中体现。</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4.以上所有证书原件与磋商响应文件同一时间递交，超过磋商规定截止时间外提交或补交的证书原件一律不再接收并评审。</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5.以上评审有任何一项未通过的，资格审查不合格，磋商响应文件按无效处理。</w:t>
      </w:r>
    </w:p>
    <w:p>
      <w:pPr>
        <w:spacing w:line="380" w:lineRule="exact"/>
        <w:ind w:firstLine="480" w:firstLineChars="200"/>
        <w:rPr>
          <w:rFonts w:ascii="宋体" w:hAnsi="宋体" w:eastAsia="宋体" w:cs="宋体"/>
          <w:b/>
          <w:bCs/>
          <w:sz w:val="24"/>
          <w:szCs w:val="24"/>
        </w:rPr>
      </w:pPr>
      <w:r>
        <w:rPr>
          <w:rFonts w:hint="eastAsia" w:ascii="宋体" w:hAnsi="宋体" w:eastAsia="宋体" w:cs="宋体"/>
          <w:sz w:val="24"/>
          <w:szCs w:val="24"/>
        </w:rPr>
        <w:t>6.供应商原件如有虚假，一经查实，不予退还其磋商保证金，并列入不良行为予以记录，是成交候选供应商的，取消其成交候选供应商资格。</w:t>
      </w:r>
    </w:p>
    <w:p>
      <w:pPr>
        <w:spacing w:line="380" w:lineRule="exact"/>
        <w:ind w:firstLine="480" w:firstLineChars="200"/>
        <w:rPr>
          <w:rFonts w:hint="eastAsia" w:ascii="宋体" w:hAnsi="宋体" w:eastAsia="宋体" w:cs="宋体"/>
          <w:sz w:val="24"/>
          <w:szCs w:val="24"/>
        </w:rPr>
      </w:pP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二、评分标准</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（满分100分，计算过程和结果四舍五入，精确到小数点后两位。）</w:t>
      </w:r>
    </w:p>
    <w:tbl>
      <w:tblPr>
        <w:tblStyle w:val="17"/>
        <w:tblW w:w="961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870"/>
        <w:gridCol w:w="6108"/>
        <w:gridCol w:w="1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852"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rPr>
            </w:pPr>
            <w:r>
              <w:rPr>
                <w:rFonts w:hint="eastAsia" w:ascii="宋体" w:hAnsi="宋体" w:cs="宋体"/>
              </w:rPr>
              <w:t>评分项目</w:t>
            </w:r>
          </w:p>
        </w:tc>
        <w:tc>
          <w:tcPr>
            <w:tcW w:w="87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rPr>
            </w:pPr>
            <w:r>
              <w:rPr>
                <w:rFonts w:hint="eastAsia" w:ascii="宋体" w:hAnsi="宋体" w:cs="宋体"/>
              </w:rPr>
              <w:t>分值</w:t>
            </w:r>
          </w:p>
        </w:tc>
        <w:tc>
          <w:tcPr>
            <w:tcW w:w="6108"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rPr>
            </w:pPr>
            <w:r>
              <w:rPr>
                <w:rFonts w:hint="eastAsia" w:ascii="宋体" w:hAnsi="宋体" w:cs="宋体"/>
              </w:rPr>
              <w:t>评分标准</w:t>
            </w:r>
          </w:p>
        </w:tc>
        <w:tc>
          <w:tcPr>
            <w:tcW w:w="1788"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rPr>
            </w:pPr>
            <w:r>
              <w:rPr>
                <w:rFonts w:hint="eastAsia" w:ascii="宋体" w:hAnsi="宋体" w:cs="宋体"/>
              </w:rPr>
              <w:t>所需提供材料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852"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rPr>
            </w:pPr>
            <w:r>
              <w:rPr>
                <w:rFonts w:hint="eastAsia" w:ascii="宋体" w:hAnsi="宋体" w:cs="宋体"/>
              </w:rPr>
              <w:t>整体技术服务方案</w:t>
            </w:r>
          </w:p>
        </w:tc>
        <w:tc>
          <w:tcPr>
            <w:tcW w:w="870" w:type="dxa"/>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rPr>
            </w:pPr>
            <w:r>
              <w:rPr>
                <w:rFonts w:hint="eastAsia" w:ascii="宋体" w:hAnsi="宋体" w:cs="宋体"/>
              </w:rPr>
              <w:t>30</w:t>
            </w:r>
          </w:p>
        </w:tc>
        <w:tc>
          <w:tcPr>
            <w:tcW w:w="6108" w:type="dxa"/>
            <w:vAlign w:val="center"/>
          </w:tcPr>
          <w:p>
            <w:pPr>
              <w:keepNext w:val="0"/>
              <w:keepLines w:val="0"/>
              <w:suppressLineNumbers w:val="0"/>
              <w:spacing w:before="0" w:beforeAutospacing="0" w:after="0" w:afterAutospacing="0" w:line="380" w:lineRule="exact"/>
              <w:ind w:left="0" w:right="0"/>
              <w:rPr>
                <w:rFonts w:hint="default" w:ascii="宋体" w:hAnsi="宋体" w:cs="宋体"/>
              </w:rPr>
            </w:pPr>
            <w:r>
              <w:rPr>
                <w:rFonts w:hint="eastAsia" w:ascii="宋体" w:hAnsi="宋体" w:cs="宋体"/>
              </w:rPr>
              <w:t>根据各响应单位针对本项目提供的方案内容（报告大纲、问卷、实施流程、人员配置、管理机制、质量保障等）完整程度、细节全面性，措施合理性等综合评判，优秀得2</w:t>
            </w:r>
            <w:r>
              <w:rPr>
                <w:rFonts w:hint="eastAsia" w:ascii="宋体" w:hAnsi="宋体" w:cs="宋体"/>
                <w:lang w:val="en-US" w:eastAsia="zh-CN"/>
              </w:rPr>
              <w:t>1</w:t>
            </w:r>
            <w:r>
              <w:rPr>
                <w:rFonts w:hint="eastAsia" w:ascii="宋体" w:hAnsi="宋体" w:cs="宋体"/>
              </w:rPr>
              <w:t>-</w:t>
            </w:r>
            <w:r>
              <w:rPr>
                <w:rFonts w:hint="default" w:ascii="宋体" w:hAnsi="宋体" w:cs="宋体"/>
              </w:rPr>
              <w:t>30分</w:t>
            </w:r>
            <w:r>
              <w:rPr>
                <w:rFonts w:hint="eastAsia" w:ascii="宋体" w:hAnsi="宋体" w:cs="宋体"/>
              </w:rPr>
              <w:t>，良得10-2</w:t>
            </w:r>
            <w:r>
              <w:rPr>
                <w:rFonts w:hint="default" w:ascii="宋体" w:hAnsi="宋体" w:cs="宋体"/>
              </w:rPr>
              <w:t>0</w:t>
            </w:r>
            <w:r>
              <w:rPr>
                <w:rFonts w:hint="eastAsia" w:ascii="宋体" w:hAnsi="宋体" w:cs="宋体"/>
              </w:rPr>
              <w:t>分；</w:t>
            </w:r>
            <w:r>
              <w:rPr>
                <w:rFonts w:hint="eastAsia" w:ascii="宋体" w:hAnsi="宋体" w:cs="宋体"/>
                <w:lang w:eastAsia="zh-CN"/>
              </w:rPr>
              <w:t>一般</w:t>
            </w:r>
            <w:r>
              <w:rPr>
                <w:rFonts w:hint="eastAsia" w:ascii="宋体" w:hAnsi="宋体" w:cs="宋体"/>
              </w:rPr>
              <w:t>得</w:t>
            </w:r>
            <w:r>
              <w:rPr>
                <w:rFonts w:hint="eastAsia" w:ascii="宋体" w:hAnsi="宋体" w:cs="宋体"/>
                <w:lang w:val="en-US" w:eastAsia="zh-CN"/>
              </w:rPr>
              <w:t>6</w:t>
            </w:r>
            <w:r>
              <w:rPr>
                <w:rFonts w:hint="eastAsia" w:ascii="宋体" w:hAnsi="宋体" w:cs="宋体"/>
              </w:rPr>
              <w:t>-</w:t>
            </w:r>
            <w:r>
              <w:rPr>
                <w:rFonts w:hint="default" w:ascii="宋体" w:hAnsi="宋体" w:cs="宋体"/>
              </w:rPr>
              <w:t>10分</w:t>
            </w:r>
            <w:r>
              <w:rPr>
                <w:rFonts w:hint="eastAsia" w:ascii="宋体" w:hAnsi="宋体" w:cs="宋体"/>
              </w:rPr>
              <w:t>，</w:t>
            </w:r>
            <w:r>
              <w:rPr>
                <w:rFonts w:hint="default" w:ascii="宋体" w:hAnsi="宋体" w:cs="宋体"/>
              </w:rPr>
              <w:t>差</w:t>
            </w:r>
            <w:r>
              <w:rPr>
                <w:rFonts w:hint="eastAsia" w:ascii="宋体" w:hAnsi="宋体" w:cs="宋体"/>
              </w:rPr>
              <w:t>得0</w:t>
            </w:r>
            <w:r>
              <w:rPr>
                <w:rFonts w:hint="eastAsia" w:ascii="宋体" w:hAnsi="宋体" w:cs="宋体"/>
                <w:lang w:val="en-US" w:eastAsia="zh-CN"/>
              </w:rPr>
              <w:t>-5</w:t>
            </w:r>
            <w:r>
              <w:rPr>
                <w:rFonts w:hint="eastAsia" w:ascii="宋体" w:hAnsi="宋体" w:cs="宋体"/>
              </w:rPr>
              <w:t>分。</w:t>
            </w:r>
          </w:p>
        </w:tc>
        <w:tc>
          <w:tcPr>
            <w:tcW w:w="1788" w:type="dxa"/>
            <w:vAlign w:val="center"/>
          </w:tcPr>
          <w:p>
            <w:pPr>
              <w:keepNext w:val="0"/>
              <w:keepLines w:val="0"/>
              <w:suppressLineNumbers w:val="0"/>
              <w:spacing w:before="0" w:beforeAutospacing="0" w:after="0" w:afterAutospacing="0" w:line="380" w:lineRule="exact"/>
              <w:ind w:left="0" w:right="0"/>
              <w:rPr>
                <w:rFonts w:hint="default" w:ascii="宋体" w:hAnsi="宋体" w:cs="宋体"/>
              </w:rPr>
            </w:pPr>
            <w:r>
              <w:rPr>
                <w:rFonts w:hint="eastAsia" w:ascii="宋体" w:hAnsi="宋体" w:cs="宋体"/>
              </w:rPr>
              <w:t>服务方案加盖公章，装订在磋商响应文件内。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85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olor w:val="000000"/>
                <w:highlight w:val="white"/>
              </w:rPr>
            </w:pPr>
            <w:r>
              <w:rPr>
                <w:rFonts w:hint="eastAsia" w:ascii="宋体" w:hAnsi="宋体"/>
                <w:color w:val="000000"/>
                <w:highlight w:val="white"/>
              </w:rPr>
              <w:t xml:space="preserve"> 研究成果</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color w:val="000000"/>
              </w:rPr>
            </w:pPr>
            <w:r>
              <w:rPr>
                <w:rFonts w:hint="eastAsia" w:ascii="宋体" w:hAnsi="宋体"/>
                <w:color w:val="000000"/>
                <w:highlight w:val="white"/>
              </w:rPr>
              <w:t>10分</w:t>
            </w:r>
          </w:p>
        </w:tc>
        <w:tc>
          <w:tcPr>
            <w:tcW w:w="61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rPr>
                <w:rFonts w:hint="default" w:ascii="宋体" w:hAnsi="宋体"/>
                <w:color w:val="000000"/>
                <w:highlight w:val="white"/>
              </w:rPr>
            </w:pPr>
            <w:r>
              <w:rPr>
                <w:rFonts w:hint="eastAsia" w:ascii="宋体" w:hAnsi="宋体"/>
                <w:color w:val="000000"/>
                <w:highlight w:val="white"/>
              </w:rPr>
              <w:t>1.供应商与</w:t>
            </w:r>
            <w:bookmarkStart w:id="18" w:name="OLE_LINK15"/>
            <w:r>
              <w:rPr>
                <w:rFonts w:hint="eastAsia" w:ascii="宋体" w:hAnsi="宋体"/>
                <w:color w:val="000000"/>
                <w:highlight w:val="white"/>
              </w:rPr>
              <w:t>本采购项目类似的研究成果能够被教育部引用或权威媒体报道</w:t>
            </w:r>
            <w:bookmarkEnd w:id="18"/>
            <w:r>
              <w:rPr>
                <w:rFonts w:hint="eastAsia" w:ascii="宋体" w:hAnsi="宋体"/>
                <w:color w:val="000000"/>
                <w:highlight w:val="white"/>
              </w:rPr>
              <w:t>（包括教育部、新浪、搜狐、人民网、腾讯、网易、光明日报等一线权威媒体），有一项得1分，最多</w:t>
            </w:r>
            <w:r>
              <w:rPr>
                <w:rFonts w:hint="default" w:ascii="宋体" w:hAnsi="宋体"/>
                <w:color w:val="000000"/>
                <w:highlight w:val="white"/>
              </w:rPr>
              <w:t>5</w:t>
            </w:r>
            <w:r>
              <w:rPr>
                <w:rFonts w:hint="eastAsia" w:ascii="宋体" w:hAnsi="宋体"/>
                <w:color w:val="000000"/>
                <w:highlight w:val="white"/>
              </w:rPr>
              <w:t>分。</w:t>
            </w:r>
          </w:p>
          <w:p>
            <w:pPr>
              <w:keepNext w:val="0"/>
              <w:keepLines w:val="0"/>
              <w:suppressLineNumbers w:val="0"/>
              <w:spacing w:before="0" w:beforeAutospacing="0" w:after="0" w:afterAutospacing="0" w:line="380" w:lineRule="exact"/>
              <w:ind w:left="0" w:right="0"/>
              <w:rPr>
                <w:rFonts w:hint="default"/>
              </w:rPr>
            </w:pPr>
            <w:r>
              <w:rPr>
                <w:rFonts w:hint="eastAsia" w:ascii="宋体" w:hAnsi="宋体"/>
                <w:color w:val="000000"/>
                <w:highlight w:val="white"/>
              </w:rPr>
              <w:t>2.供应商能够提供与本项目相关的公开出版物或核心期刊证明研发能力及先进性，满足得5分，不满足得0分</w:t>
            </w:r>
            <w:r>
              <w:rPr>
                <w:rFonts w:hint="eastAsia" w:ascii="宋体" w:hAnsi="宋体"/>
                <w:color w:val="000000"/>
              </w:rPr>
              <w:t>。</w:t>
            </w:r>
            <w:r>
              <w:rPr>
                <w:rFonts w:hint="default" w:ascii="宋体" w:hAnsi="宋体" w:cs="宋体"/>
                <w:kern w:val="0"/>
                <w:sz w:val="24"/>
              </w:rPr>
              <w:t xml:space="preserve"> </w:t>
            </w:r>
          </w:p>
        </w:tc>
        <w:tc>
          <w:tcPr>
            <w:tcW w:w="17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80" w:lineRule="exact"/>
              <w:ind w:left="0" w:right="0"/>
              <w:jc w:val="left"/>
              <w:rPr>
                <w:rFonts w:hint="default" w:ascii="宋体" w:hAnsi="宋体"/>
                <w:color w:val="000000"/>
                <w:highlight w:val="white"/>
              </w:rPr>
            </w:pPr>
            <w:r>
              <w:rPr>
                <w:rFonts w:hint="eastAsia" w:ascii="宋体" w:hAnsi="宋体"/>
                <w:color w:val="000000"/>
                <w:highlight w:val="white"/>
              </w:rPr>
              <w:t>提供相关证明材料加盖公章，装订在磋商响应文件内（如网上截图、出版物中相关内容等）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85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olor w:val="000000"/>
                <w:highlight w:val="white"/>
              </w:rPr>
            </w:pPr>
            <w:r>
              <w:rPr>
                <w:rFonts w:hint="eastAsia" w:ascii="宋体" w:hAnsi="宋体"/>
                <w:color w:val="000000"/>
                <w:highlight w:val="white"/>
              </w:rPr>
              <w:t>项目知识产权保障</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olor w:val="000000"/>
                <w:highlight w:val="white"/>
              </w:rPr>
            </w:pPr>
            <w:r>
              <w:rPr>
                <w:rFonts w:hint="eastAsia" w:ascii="宋体" w:hAnsi="宋体"/>
                <w:color w:val="000000"/>
                <w:highlight w:val="white"/>
              </w:rPr>
              <w:t>14分</w:t>
            </w:r>
          </w:p>
        </w:tc>
        <w:tc>
          <w:tcPr>
            <w:tcW w:w="610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rPr>
                <w:rFonts w:hint="default" w:ascii="宋体" w:hAnsi="宋体"/>
                <w:color w:val="000000"/>
                <w:highlight w:val="white"/>
              </w:rPr>
            </w:pPr>
            <w:r>
              <w:rPr>
                <w:rFonts w:hint="eastAsia" w:ascii="宋体" w:hAnsi="宋体"/>
                <w:color w:val="000000"/>
                <w:highlight w:val="white"/>
              </w:rPr>
              <w:t>1.为保证供应商对所提供的产品拥有完全的知识产权，需要提供“数据调研、数据分析、报告撰写系统、就业质量数据结果呈现系统</w:t>
            </w:r>
            <w:r>
              <w:rPr>
                <w:rFonts w:hint="default" w:ascii="宋体" w:hAnsi="宋体"/>
                <w:color w:val="000000"/>
                <w:highlight w:val="white"/>
              </w:rPr>
              <w:t>”</w:t>
            </w:r>
            <w:r>
              <w:rPr>
                <w:rFonts w:hint="eastAsia" w:ascii="宋体" w:hAnsi="宋体"/>
                <w:color w:val="000000"/>
                <w:highlight w:val="white"/>
              </w:rPr>
              <w:t>或具有相同功能的软件著作权登记证书，满足1项得</w:t>
            </w:r>
            <w:r>
              <w:rPr>
                <w:rFonts w:hint="default" w:ascii="宋体" w:hAnsi="宋体"/>
                <w:color w:val="000000"/>
                <w:highlight w:val="white"/>
              </w:rPr>
              <w:t>2</w:t>
            </w:r>
            <w:r>
              <w:rPr>
                <w:rFonts w:hint="eastAsia" w:ascii="宋体" w:hAnsi="宋体"/>
                <w:color w:val="000000"/>
                <w:highlight w:val="white"/>
              </w:rPr>
              <w:t>分，最多</w:t>
            </w:r>
            <w:r>
              <w:rPr>
                <w:rFonts w:hint="default" w:ascii="宋体" w:hAnsi="宋体"/>
                <w:color w:val="000000"/>
                <w:highlight w:val="white"/>
              </w:rPr>
              <w:t>8</w:t>
            </w:r>
            <w:r>
              <w:rPr>
                <w:rFonts w:hint="eastAsia" w:ascii="宋体" w:hAnsi="宋体"/>
                <w:color w:val="000000"/>
                <w:highlight w:val="white"/>
              </w:rPr>
              <w:t>分。</w:t>
            </w:r>
          </w:p>
          <w:p>
            <w:pPr>
              <w:keepNext w:val="0"/>
              <w:keepLines w:val="0"/>
              <w:suppressLineNumbers w:val="0"/>
              <w:spacing w:before="0" w:beforeAutospacing="0" w:after="0" w:afterAutospacing="0" w:line="380" w:lineRule="exact"/>
              <w:ind w:left="0" w:right="0"/>
              <w:rPr>
                <w:rFonts w:hint="default" w:ascii="宋体" w:hAnsi="宋体"/>
                <w:color w:val="000000"/>
                <w:highlight w:val="white"/>
              </w:rPr>
            </w:pPr>
            <w:r>
              <w:rPr>
                <w:rFonts w:hint="default" w:ascii="宋体" w:hAnsi="宋体"/>
                <w:color w:val="000000"/>
                <w:highlight w:val="white"/>
              </w:rPr>
              <w:t>2</w:t>
            </w:r>
            <w:r>
              <w:rPr>
                <w:rFonts w:hint="eastAsia" w:ascii="宋体" w:hAnsi="宋体"/>
                <w:color w:val="000000"/>
                <w:highlight w:val="white"/>
              </w:rPr>
              <w:t>.</w:t>
            </w:r>
            <w:r>
              <w:rPr>
                <w:rFonts w:hint="default" w:ascii="宋体" w:hAnsi="宋体"/>
                <w:color w:val="000000"/>
                <w:highlight w:val="white"/>
              </w:rPr>
              <w:t>具有</w:t>
            </w:r>
            <w:r>
              <w:rPr>
                <w:rFonts w:hint="eastAsia" w:ascii="宋体" w:hAnsi="宋体"/>
                <w:color w:val="000000"/>
                <w:highlight w:val="white"/>
              </w:rPr>
              <w:t>有效期内的质量管理体系认证证书</w:t>
            </w:r>
            <w:r>
              <w:rPr>
                <w:rFonts w:hint="default" w:ascii="宋体" w:hAnsi="宋体"/>
                <w:color w:val="000000"/>
                <w:highlight w:val="white"/>
              </w:rPr>
              <w:t>得2</w:t>
            </w:r>
            <w:r>
              <w:rPr>
                <w:rFonts w:hint="eastAsia" w:ascii="宋体" w:hAnsi="宋体"/>
                <w:color w:val="000000"/>
                <w:highlight w:val="white"/>
              </w:rPr>
              <w:t>分，没有不得分</w:t>
            </w:r>
            <w:r>
              <w:rPr>
                <w:rFonts w:hint="default" w:ascii="宋体" w:hAnsi="宋体"/>
                <w:color w:val="000000"/>
                <w:highlight w:val="white"/>
              </w:rPr>
              <w:t>。</w:t>
            </w:r>
          </w:p>
          <w:p>
            <w:pPr>
              <w:keepNext w:val="0"/>
              <w:keepLines w:val="0"/>
              <w:suppressLineNumbers w:val="0"/>
              <w:spacing w:before="0" w:beforeAutospacing="0" w:after="0" w:afterAutospacing="0" w:line="380" w:lineRule="exact"/>
              <w:ind w:left="0" w:right="0"/>
              <w:rPr>
                <w:rFonts w:hint="default" w:ascii="宋体" w:hAnsi="宋体"/>
                <w:color w:val="000000"/>
                <w:highlight w:val="white"/>
              </w:rPr>
            </w:pPr>
            <w:r>
              <w:rPr>
                <w:rFonts w:hint="default" w:ascii="宋体" w:hAnsi="宋体"/>
                <w:color w:val="000000"/>
                <w:highlight w:val="white"/>
              </w:rPr>
              <w:t>3</w:t>
            </w:r>
            <w:r>
              <w:rPr>
                <w:rFonts w:hint="eastAsia" w:ascii="宋体" w:hAnsi="宋体"/>
                <w:color w:val="000000"/>
                <w:highlight w:val="white"/>
              </w:rPr>
              <w:t>.具有有效期内的信息安全管理体系认证证书得</w:t>
            </w:r>
            <w:r>
              <w:rPr>
                <w:rFonts w:hint="default" w:ascii="宋体" w:hAnsi="宋体"/>
                <w:color w:val="000000"/>
                <w:highlight w:val="white"/>
              </w:rPr>
              <w:t>2</w:t>
            </w:r>
            <w:r>
              <w:rPr>
                <w:rFonts w:hint="eastAsia" w:ascii="宋体" w:hAnsi="宋体"/>
                <w:color w:val="000000"/>
                <w:highlight w:val="white"/>
              </w:rPr>
              <w:t>分</w:t>
            </w:r>
            <w:r>
              <w:rPr>
                <w:rFonts w:hint="default" w:ascii="宋体" w:hAnsi="宋体"/>
                <w:color w:val="000000"/>
                <w:highlight w:val="white"/>
              </w:rPr>
              <w:t>，</w:t>
            </w:r>
            <w:r>
              <w:rPr>
                <w:rFonts w:hint="eastAsia" w:ascii="宋体" w:hAnsi="宋体"/>
                <w:color w:val="000000"/>
                <w:highlight w:val="white"/>
              </w:rPr>
              <w:t>没有不得分</w:t>
            </w:r>
            <w:r>
              <w:rPr>
                <w:rFonts w:hint="default" w:ascii="宋体" w:hAnsi="宋体"/>
                <w:color w:val="000000"/>
                <w:highlight w:val="white"/>
              </w:rPr>
              <w:t>。</w:t>
            </w:r>
          </w:p>
          <w:p>
            <w:pPr>
              <w:keepNext w:val="0"/>
              <w:keepLines w:val="0"/>
              <w:suppressLineNumbers w:val="0"/>
              <w:spacing w:before="0" w:beforeAutospacing="0" w:after="0" w:afterAutospacing="0" w:line="380" w:lineRule="exact"/>
              <w:ind w:left="0" w:right="0"/>
              <w:rPr>
                <w:rFonts w:hint="default" w:ascii="宋体" w:hAnsi="宋体"/>
                <w:color w:val="000000"/>
                <w:highlight w:val="white"/>
              </w:rPr>
            </w:pPr>
            <w:r>
              <w:rPr>
                <w:rFonts w:hint="default" w:ascii="宋体" w:hAnsi="宋体"/>
                <w:color w:val="000000"/>
                <w:highlight w:val="white"/>
              </w:rPr>
              <w:t>4</w:t>
            </w:r>
            <w:r>
              <w:rPr>
                <w:rFonts w:hint="eastAsia" w:ascii="宋体" w:hAnsi="宋体"/>
                <w:color w:val="000000"/>
                <w:highlight w:val="white"/>
              </w:rPr>
              <w:t>.具有</w:t>
            </w:r>
            <w:r>
              <w:rPr>
                <w:rFonts w:hint="default" w:ascii="宋体" w:hAnsi="宋体"/>
                <w:color w:val="000000"/>
                <w:highlight w:val="white"/>
              </w:rPr>
              <w:t>重合同守信用</w:t>
            </w:r>
            <w:r>
              <w:rPr>
                <w:rFonts w:hint="eastAsia" w:ascii="宋体" w:hAnsi="宋体"/>
                <w:color w:val="000000"/>
                <w:highlight w:val="white"/>
              </w:rPr>
              <w:t>相关</w:t>
            </w:r>
            <w:r>
              <w:rPr>
                <w:rFonts w:hint="default" w:ascii="宋体" w:hAnsi="宋体"/>
                <w:color w:val="000000"/>
                <w:highlight w:val="white"/>
              </w:rPr>
              <w:t>证明文件得</w:t>
            </w:r>
            <w:r>
              <w:rPr>
                <w:rFonts w:hint="eastAsia" w:ascii="宋体" w:hAnsi="宋体"/>
                <w:color w:val="000000"/>
                <w:highlight w:val="white"/>
              </w:rPr>
              <w:t>2分，没有不得分。</w:t>
            </w:r>
          </w:p>
        </w:tc>
        <w:tc>
          <w:tcPr>
            <w:tcW w:w="178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rPr>
                <w:rFonts w:hint="default" w:ascii="宋体" w:hAnsi="宋体"/>
                <w:color w:val="000000"/>
                <w:highlight w:val="white"/>
              </w:rPr>
            </w:pPr>
            <w:r>
              <w:rPr>
                <w:rFonts w:hint="eastAsia" w:ascii="宋体" w:hAnsi="宋体"/>
                <w:color w:val="000000"/>
                <w:highlight w:val="white"/>
              </w:rPr>
              <w:t>提供证书复印件及相关证明材料加盖公章，装订在磋商响应文件内。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85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olor w:val="000000"/>
                <w:highlight w:val="white"/>
              </w:rPr>
            </w:pPr>
            <w:r>
              <w:rPr>
                <w:rFonts w:hint="eastAsia" w:ascii="宋体" w:hAnsi="宋体"/>
                <w:bCs/>
                <w:color w:val="000000"/>
                <w:highlight w:val="white"/>
              </w:rPr>
              <w:t>数据结果呈现系统</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olor w:val="000000"/>
              </w:rPr>
            </w:pPr>
            <w:r>
              <w:rPr>
                <w:rFonts w:hint="eastAsia" w:ascii="宋体" w:hAnsi="宋体"/>
                <w:color w:val="000000"/>
              </w:rPr>
              <w:t>8分</w:t>
            </w:r>
          </w:p>
        </w:tc>
        <w:tc>
          <w:tcPr>
            <w:tcW w:w="610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80" w:lineRule="exact"/>
              <w:ind w:left="0" w:right="0"/>
              <w:rPr>
                <w:rFonts w:hint="default" w:ascii="宋体" w:hAnsi="宋体" w:cs="宋体"/>
                <w:bCs/>
                <w:color w:val="000000"/>
                <w:kern w:val="0"/>
              </w:rPr>
            </w:pPr>
            <w:r>
              <w:rPr>
                <w:rFonts w:hint="eastAsia" w:ascii="宋体" w:hAnsi="宋体" w:cs="宋体"/>
                <w:bCs/>
                <w:color w:val="000000"/>
                <w:kern w:val="0"/>
              </w:rPr>
              <w:t>1.系统预设指标体系全面覆盖高校招生、就业、学生工作、课程建设、师资队伍、教育教学等主要工作；</w:t>
            </w:r>
          </w:p>
          <w:p>
            <w:pPr>
              <w:keepNext w:val="0"/>
              <w:keepLines w:val="0"/>
              <w:widowControl/>
              <w:suppressLineNumbers w:val="0"/>
              <w:spacing w:before="0" w:beforeAutospacing="0" w:after="0" w:afterAutospacing="0" w:line="380" w:lineRule="exact"/>
              <w:ind w:left="0" w:right="0"/>
              <w:rPr>
                <w:rFonts w:hint="default" w:ascii="宋体" w:hAnsi="宋体" w:cs="宋体"/>
                <w:bCs/>
                <w:color w:val="000000"/>
                <w:kern w:val="0"/>
              </w:rPr>
            </w:pPr>
            <w:r>
              <w:rPr>
                <w:rFonts w:hint="eastAsia" w:ascii="宋体" w:hAnsi="宋体" w:cs="宋体"/>
                <w:bCs/>
                <w:color w:val="000000"/>
                <w:kern w:val="0"/>
              </w:rPr>
              <w:t>2.数据图形化以雷达图、柱状图、条形图、数据表等各类图表综合、直观展现数据结果；</w:t>
            </w:r>
          </w:p>
          <w:p>
            <w:pPr>
              <w:keepNext w:val="0"/>
              <w:keepLines w:val="0"/>
              <w:widowControl/>
              <w:suppressLineNumbers w:val="0"/>
              <w:spacing w:before="0" w:beforeAutospacing="0" w:after="0" w:afterAutospacing="0" w:line="380" w:lineRule="exact"/>
              <w:ind w:left="0" w:right="0"/>
              <w:rPr>
                <w:rFonts w:hint="default" w:ascii="宋体" w:hAnsi="宋体" w:cs="宋体"/>
                <w:bCs/>
                <w:color w:val="000000"/>
                <w:kern w:val="0"/>
              </w:rPr>
            </w:pPr>
            <w:r>
              <w:rPr>
                <w:rFonts w:hint="eastAsia" w:ascii="宋体" w:hAnsi="宋体" w:cs="宋体"/>
                <w:bCs/>
                <w:color w:val="000000"/>
                <w:kern w:val="0"/>
              </w:rPr>
              <w:t>3.通过点击相关指标点和数据点，可以直接下钻到该指标的下一级指标。逐层下钻，可以深入了解到各项指标的详细情况；</w:t>
            </w:r>
          </w:p>
          <w:p>
            <w:pPr>
              <w:keepNext w:val="0"/>
              <w:keepLines w:val="0"/>
              <w:widowControl/>
              <w:suppressLineNumbers w:val="0"/>
              <w:spacing w:before="0" w:beforeAutospacing="0" w:after="0" w:afterAutospacing="0" w:line="380" w:lineRule="exact"/>
              <w:ind w:left="0" w:right="0"/>
              <w:rPr>
                <w:rFonts w:hint="default" w:ascii="宋体" w:hAnsi="宋体" w:cs="宋体"/>
                <w:bCs/>
                <w:color w:val="000000"/>
                <w:kern w:val="0"/>
              </w:rPr>
            </w:pPr>
            <w:r>
              <w:rPr>
                <w:rFonts w:hint="default" w:ascii="宋体" w:hAnsi="宋体" w:cs="宋体"/>
                <w:bCs/>
                <w:color w:val="000000"/>
                <w:kern w:val="0"/>
              </w:rPr>
              <w:t>4</w:t>
            </w:r>
            <w:r>
              <w:rPr>
                <w:rFonts w:hint="eastAsia" w:ascii="宋体" w:hAnsi="宋体" w:cs="宋体"/>
                <w:bCs/>
                <w:color w:val="000000"/>
                <w:kern w:val="0"/>
              </w:rPr>
              <w:t>.系统可自动生成对应专业的数据结果，通过系统，可以直观、清晰地监测对各个专业的各项工作评价。</w:t>
            </w:r>
          </w:p>
          <w:p>
            <w:pPr>
              <w:keepNext w:val="0"/>
              <w:keepLines w:val="0"/>
              <w:widowControl/>
              <w:suppressLineNumbers w:val="0"/>
              <w:spacing w:before="0" w:beforeAutospacing="0" w:after="0" w:afterAutospacing="0" w:line="380" w:lineRule="exact"/>
              <w:ind w:left="0" w:right="0"/>
              <w:rPr>
                <w:rFonts w:hint="default" w:ascii="宋体" w:hAnsi="宋体" w:cs="宋体"/>
                <w:color w:val="000000"/>
                <w:kern w:val="0"/>
              </w:rPr>
            </w:pPr>
            <w:r>
              <w:rPr>
                <w:rFonts w:hint="eastAsia" w:ascii="宋体" w:hAnsi="宋体" w:cs="宋体"/>
                <w:bCs/>
                <w:color w:val="000000"/>
                <w:kern w:val="0"/>
              </w:rPr>
              <w:t>满足一条得2分，最高得8分。</w:t>
            </w:r>
          </w:p>
        </w:tc>
        <w:tc>
          <w:tcPr>
            <w:tcW w:w="1788"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80" w:lineRule="exact"/>
              <w:ind w:left="0" w:right="0"/>
              <w:rPr>
                <w:rFonts w:hint="default" w:ascii="宋体" w:hAnsi="宋体" w:cs="宋体"/>
                <w:bCs/>
                <w:color w:val="000000"/>
                <w:kern w:val="0"/>
              </w:rPr>
            </w:pPr>
            <w:r>
              <w:rPr>
                <w:rFonts w:hint="eastAsia" w:ascii="宋体" w:hAnsi="宋体" w:cs="宋体"/>
                <w:bCs/>
                <w:color w:val="000000"/>
                <w:kern w:val="0"/>
              </w:rPr>
              <w:t>提供承诺函及其他相关证明材料加盖公章，</w:t>
            </w:r>
            <w:r>
              <w:rPr>
                <w:rFonts w:hint="eastAsia" w:ascii="宋体" w:hAnsi="宋体"/>
                <w:color w:val="000000"/>
                <w:highlight w:val="white"/>
              </w:rPr>
              <w:t>装订在磋商响应文件内</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85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olor w:val="000000"/>
                <w:highlight w:val="white"/>
              </w:rPr>
            </w:pPr>
            <w:r>
              <w:rPr>
                <w:rFonts w:hint="eastAsia" w:ascii="宋体" w:hAnsi="宋体"/>
                <w:color w:val="000000"/>
                <w:highlight w:val="white"/>
              </w:rPr>
              <w:t>业绩</w:t>
            </w:r>
          </w:p>
          <w:p>
            <w:pPr>
              <w:keepNext w:val="0"/>
              <w:keepLines w:val="0"/>
              <w:suppressLineNumbers w:val="0"/>
              <w:spacing w:before="0" w:beforeAutospacing="0" w:after="0" w:afterAutospacing="0" w:line="380" w:lineRule="exact"/>
              <w:ind w:left="0" w:right="0"/>
              <w:jc w:val="center"/>
              <w:rPr>
                <w:rFonts w:hint="default" w:ascii="宋体" w:hAnsi="宋体"/>
                <w:color w:val="000000"/>
                <w:highlight w:val="white"/>
              </w:rPr>
            </w:pPr>
            <w:r>
              <w:rPr>
                <w:rFonts w:hint="eastAsia" w:ascii="宋体" w:hAnsi="宋体"/>
                <w:color w:val="000000"/>
                <w:highlight w:val="white"/>
              </w:rPr>
              <w:t>合作经验</w:t>
            </w:r>
          </w:p>
        </w:tc>
        <w:tc>
          <w:tcPr>
            <w:tcW w:w="87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color w:val="000000"/>
              </w:rPr>
            </w:pPr>
            <w:r>
              <w:rPr>
                <w:rFonts w:hint="eastAsia" w:ascii="宋体" w:hAnsi="宋体"/>
                <w:color w:val="000000"/>
              </w:rPr>
              <w:t>2</w:t>
            </w:r>
            <w:r>
              <w:rPr>
                <w:rFonts w:hint="default" w:ascii="宋体" w:hAnsi="宋体"/>
                <w:color w:val="000000"/>
              </w:rPr>
              <w:t>0</w:t>
            </w:r>
            <w:r>
              <w:rPr>
                <w:rFonts w:hint="eastAsia" w:ascii="宋体" w:hAnsi="宋体"/>
                <w:color w:val="000000"/>
              </w:rPr>
              <w:t>分</w:t>
            </w:r>
          </w:p>
        </w:tc>
        <w:tc>
          <w:tcPr>
            <w:tcW w:w="610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rPr>
                <w:rFonts w:hint="default" w:ascii="宋体" w:hAnsi="宋体"/>
                <w:color w:val="000000"/>
                <w:highlight w:val="white"/>
              </w:rPr>
            </w:pPr>
            <w:r>
              <w:rPr>
                <w:rFonts w:hint="eastAsia" w:ascii="宋体" w:hAnsi="宋体"/>
                <w:color w:val="000000"/>
                <w:highlight w:val="white"/>
              </w:rPr>
              <w:t>1.供应商与</w:t>
            </w:r>
            <w:bookmarkStart w:id="19" w:name="OLE_LINK18"/>
            <w:r>
              <w:rPr>
                <w:rFonts w:hint="eastAsia" w:ascii="宋体" w:hAnsi="宋体"/>
                <w:color w:val="000000"/>
                <w:highlight w:val="white"/>
              </w:rPr>
              <w:t>教育部、省级以上教育主管部门开展过类似调研项目或</w:t>
            </w:r>
            <w:bookmarkStart w:id="20" w:name="OLE_LINK17"/>
            <w:r>
              <w:rPr>
                <w:rFonts w:hint="eastAsia" w:ascii="宋体" w:hAnsi="宋体"/>
                <w:color w:val="000000"/>
                <w:highlight w:val="white"/>
              </w:rPr>
              <w:t>与全国985/211院校开展过</w:t>
            </w:r>
            <w:bookmarkEnd w:id="19"/>
            <w:r>
              <w:rPr>
                <w:rFonts w:hint="eastAsia" w:ascii="宋体" w:hAnsi="宋体"/>
                <w:color w:val="000000"/>
                <w:highlight w:val="white"/>
              </w:rPr>
              <w:t>类似调研项目合作，有一项得</w:t>
            </w:r>
            <w:r>
              <w:rPr>
                <w:rFonts w:hint="default" w:ascii="宋体" w:hAnsi="宋体"/>
                <w:color w:val="000000"/>
                <w:highlight w:val="white"/>
              </w:rPr>
              <w:t>2</w:t>
            </w:r>
            <w:r>
              <w:rPr>
                <w:rFonts w:hint="eastAsia" w:ascii="宋体" w:hAnsi="宋体"/>
                <w:color w:val="000000"/>
                <w:highlight w:val="white"/>
              </w:rPr>
              <w:t>分，最多得</w:t>
            </w:r>
            <w:r>
              <w:rPr>
                <w:rFonts w:hint="default" w:ascii="宋体" w:hAnsi="宋体"/>
                <w:color w:val="000000"/>
                <w:highlight w:val="white"/>
              </w:rPr>
              <w:t>10</w:t>
            </w:r>
            <w:r>
              <w:rPr>
                <w:rFonts w:hint="eastAsia" w:ascii="宋体" w:hAnsi="宋体"/>
                <w:color w:val="000000"/>
                <w:highlight w:val="white"/>
              </w:rPr>
              <w:t>分</w:t>
            </w:r>
            <w:bookmarkEnd w:id="20"/>
            <w:r>
              <w:rPr>
                <w:rFonts w:hint="eastAsia" w:ascii="宋体" w:hAnsi="宋体"/>
                <w:color w:val="000000"/>
                <w:highlight w:val="white"/>
              </w:rPr>
              <w:t>。</w:t>
            </w:r>
          </w:p>
          <w:p>
            <w:pPr>
              <w:keepNext w:val="0"/>
              <w:keepLines w:val="0"/>
              <w:suppressLineNumbers w:val="0"/>
              <w:spacing w:before="0" w:beforeAutospacing="0" w:after="0" w:afterAutospacing="0" w:line="380" w:lineRule="exact"/>
              <w:ind w:left="0" w:right="0"/>
              <w:rPr>
                <w:rFonts w:hint="default" w:ascii="宋体" w:hAnsi="宋体"/>
                <w:color w:val="000000"/>
                <w:highlight w:val="white"/>
              </w:rPr>
            </w:pPr>
            <w:r>
              <w:rPr>
                <w:rFonts w:hint="eastAsia" w:ascii="宋体" w:hAnsi="宋体"/>
                <w:color w:val="000000"/>
                <w:highlight w:val="white"/>
              </w:rPr>
              <w:t>2.供应商近三年与本科院校合作完成的类似项目业绩情况，每提供1份业绩证明材料得1分，满分10分。</w:t>
            </w:r>
          </w:p>
        </w:tc>
        <w:tc>
          <w:tcPr>
            <w:tcW w:w="178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rPr>
                <w:rFonts w:hint="default" w:ascii="宋体" w:hAnsi="宋体"/>
                <w:color w:val="000000"/>
                <w:highlight w:val="white"/>
              </w:rPr>
            </w:pPr>
            <w:r>
              <w:rPr>
                <w:rFonts w:hint="eastAsia" w:ascii="宋体" w:hAnsi="宋体"/>
                <w:color w:val="000000"/>
                <w:highlight w:val="white"/>
              </w:rPr>
              <w:t>提供合同复印件加盖公章，装订在磋商响应文件内。（合同复印件应能辨识买卖双方公章、合作内容等，否则不得分）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2" w:hRule="atLeast"/>
        </w:trPr>
        <w:tc>
          <w:tcPr>
            <w:tcW w:w="85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rPr>
            </w:pPr>
            <w:r>
              <w:rPr>
                <w:rFonts w:hint="eastAsia" w:ascii="宋体" w:hAnsi="宋体" w:cs="宋体"/>
              </w:rPr>
              <w:t>售后服务</w:t>
            </w:r>
          </w:p>
        </w:tc>
        <w:tc>
          <w:tcPr>
            <w:tcW w:w="87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color w:val="000000"/>
              </w:rPr>
            </w:pPr>
            <w:r>
              <w:rPr>
                <w:rFonts w:hint="eastAsia" w:ascii="宋体" w:hAnsi="宋体" w:cs="宋体"/>
              </w:rPr>
              <w:t>4分</w:t>
            </w:r>
          </w:p>
        </w:tc>
        <w:tc>
          <w:tcPr>
            <w:tcW w:w="610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rPr>
                <w:rFonts w:hint="default" w:ascii="宋体" w:hAnsi="宋体" w:cs="宋体"/>
              </w:rPr>
            </w:pPr>
            <w:r>
              <w:rPr>
                <w:rFonts w:hint="eastAsia" w:ascii="宋体" w:hAnsi="宋体" w:cs="宋体"/>
              </w:rPr>
              <w:t>根据供应商提供的售后服务承诺及提供的相关对应措施进行综合打分。优秀得3-4，较好得2-3，一般得0-</w:t>
            </w:r>
            <w:r>
              <w:rPr>
                <w:rFonts w:hint="default" w:ascii="宋体" w:hAnsi="宋体" w:cs="宋体"/>
              </w:rPr>
              <w:t>2</w:t>
            </w:r>
            <w:r>
              <w:rPr>
                <w:rFonts w:hint="eastAsia" w:ascii="宋体" w:hAnsi="宋体" w:cs="宋体"/>
              </w:rPr>
              <w:t>分。</w:t>
            </w:r>
          </w:p>
        </w:tc>
        <w:tc>
          <w:tcPr>
            <w:tcW w:w="178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rPr>
                <w:rFonts w:hint="default" w:ascii="宋体" w:hAnsi="宋体" w:cs="宋体"/>
              </w:rPr>
            </w:pPr>
            <w:r>
              <w:rPr>
                <w:rFonts w:hint="eastAsia" w:ascii="宋体" w:hAnsi="宋体" w:cs="宋体"/>
                <w:bCs/>
                <w:color w:val="000000"/>
                <w:kern w:val="0"/>
              </w:rPr>
              <w:t>提供承诺函及其他相关证明材料加盖公章，</w:t>
            </w:r>
            <w:r>
              <w:rPr>
                <w:rFonts w:hint="eastAsia" w:ascii="宋体" w:hAnsi="宋体"/>
                <w:color w:val="000000"/>
                <w:highlight w:val="white"/>
              </w:rPr>
              <w:t>装订在磋商响应文件内</w:t>
            </w:r>
            <w:r>
              <w:rPr>
                <w:rFonts w:hint="eastAsia" w:ascii="宋体" w:hAnsi="宋体" w:cs="宋体"/>
                <w:bCs/>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85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bCs/>
                <w:color w:val="000000"/>
                <w:highlight w:val="white"/>
              </w:rPr>
            </w:pPr>
            <w:r>
              <w:rPr>
                <w:rFonts w:hint="eastAsia" w:ascii="宋体" w:hAnsi="宋体"/>
                <w:bCs/>
                <w:color w:val="000000"/>
                <w:highlight w:val="white"/>
              </w:rPr>
              <w:t>标书响应程度</w:t>
            </w:r>
          </w:p>
        </w:tc>
        <w:tc>
          <w:tcPr>
            <w:tcW w:w="87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olor w:val="000000"/>
              </w:rPr>
            </w:pPr>
            <w:r>
              <w:rPr>
                <w:rFonts w:hint="eastAsia" w:ascii="宋体" w:hAnsi="宋体"/>
                <w:color w:val="000000"/>
              </w:rPr>
              <w:t>4分</w:t>
            </w:r>
          </w:p>
        </w:tc>
        <w:tc>
          <w:tcPr>
            <w:tcW w:w="6108" w:type="dxa"/>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380" w:lineRule="exact"/>
              <w:ind w:left="0" w:right="0"/>
              <w:rPr>
                <w:rFonts w:hint="default" w:ascii="宋体" w:hAnsi="宋体" w:cs="宋体"/>
                <w:bCs/>
                <w:color w:val="000000"/>
                <w:kern w:val="0"/>
              </w:rPr>
            </w:pPr>
            <w:r>
              <w:rPr>
                <w:rFonts w:hint="eastAsia" w:ascii="宋体" w:hAnsi="宋体" w:cs="宋体"/>
                <w:bCs/>
                <w:color w:val="000000"/>
                <w:kern w:val="0"/>
              </w:rPr>
              <w:t>响应文件的完整性、规范性，响应内容的齐全情况、格式的符合情况等。是否提供详细合理的技术方案、对采购人的实际现状是否有较全面、准确的了解；应对需求条款是否全面；是否满足磋商文件的技术内容要求。（评委根据技术方案、承诺函及磋商响应文件中的相关内容进行综合评分，优秀得3-4，较好得2-3，一般得0-2分。）</w:t>
            </w:r>
          </w:p>
        </w:tc>
        <w:tc>
          <w:tcPr>
            <w:tcW w:w="1788" w:type="dxa"/>
            <w:tcBorders>
              <w:top w:val="single" w:color="auto" w:sz="4" w:space="0"/>
              <w:left w:val="single" w:color="auto" w:sz="4" w:space="0"/>
              <w:right w:val="single" w:color="auto" w:sz="4" w:space="0"/>
            </w:tcBorders>
            <w:vAlign w:val="center"/>
          </w:tcPr>
          <w:p>
            <w:pPr>
              <w:keepNext w:val="0"/>
              <w:keepLines w:val="0"/>
              <w:widowControl/>
              <w:suppressLineNumbers w:val="0"/>
              <w:spacing w:before="0" w:beforeAutospacing="0" w:after="0" w:afterAutospacing="0" w:line="380" w:lineRule="exact"/>
              <w:ind w:left="0" w:right="0"/>
              <w:rPr>
                <w:rFonts w:hint="default" w:ascii="宋体" w:hAnsi="宋体" w:cs="宋体"/>
                <w:bCs/>
                <w:color w:val="000000"/>
                <w:kern w:val="0"/>
              </w:rPr>
            </w:pPr>
            <w:r>
              <w:rPr>
                <w:rFonts w:hint="default" w:ascii="宋体" w:hAnsi="宋体" w:cs="宋体"/>
                <w:bCs/>
                <w:color w:val="000000"/>
                <w:kern w:val="0"/>
              </w:rPr>
              <w:t>提供承诺函及其他相关证明材料加</w:t>
            </w:r>
            <w:r>
              <w:rPr>
                <w:rFonts w:hint="eastAsia" w:ascii="宋体" w:hAnsi="宋体" w:cs="宋体"/>
                <w:bCs/>
                <w:color w:val="000000"/>
                <w:kern w:val="0"/>
              </w:rPr>
              <w:t>盖</w:t>
            </w:r>
            <w:r>
              <w:rPr>
                <w:rFonts w:hint="default" w:ascii="宋体" w:hAnsi="宋体" w:cs="宋体"/>
                <w:bCs/>
                <w:color w:val="000000"/>
                <w:kern w:val="0"/>
              </w:rPr>
              <w:t>公章，</w:t>
            </w:r>
            <w:r>
              <w:rPr>
                <w:rFonts w:hint="eastAsia" w:ascii="宋体" w:hAnsi="宋体"/>
                <w:color w:val="000000"/>
                <w:highlight w:val="white"/>
              </w:rPr>
              <w:t>装订在磋商响应文件内</w:t>
            </w:r>
            <w:r>
              <w:rPr>
                <w:rFonts w:hint="eastAsia" w:ascii="宋体" w:hAnsi="宋体" w:cs="宋体"/>
                <w:bCs/>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85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color w:val="000000"/>
              </w:rPr>
            </w:pPr>
            <w:r>
              <w:rPr>
                <w:rFonts w:hint="default" w:ascii="宋体" w:hAnsi="宋体"/>
                <w:color w:val="000000"/>
                <w:highlight w:val="white"/>
              </w:rPr>
              <w:t>报价</w:t>
            </w:r>
            <w:r>
              <w:rPr>
                <w:rFonts w:hint="eastAsia" w:ascii="宋体" w:hAnsi="宋体"/>
                <w:color w:val="000000"/>
              </w:rPr>
              <w:t>部分</w:t>
            </w:r>
          </w:p>
        </w:tc>
        <w:tc>
          <w:tcPr>
            <w:tcW w:w="87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center"/>
              <w:rPr>
                <w:rFonts w:hint="default" w:ascii="宋体" w:hAnsi="宋体" w:cs="宋体"/>
                <w:color w:val="000000"/>
              </w:rPr>
            </w:pPr>
            <w:r>
              <w:rPr>
                <w:rFonts w:hint="default" w:ascii="宋体" w:hAnsi="宋体" w:cs="宋体"/>
                <w:color w:val="000000"/>
              </w:rPr>
              <w:t>10</w:t>
            </w:r>
            <w:r>
              <w:rPr>
                <w:rFonts w:hint="eastAsia" w:ascii="宋体" w:hAnsi="宋体" w:cs="宋体"/>
                <w:color w:val="000000"/>
              </w:rPr>
              <w:t>分</w:t>
            </w:r>
          </w:p>
        </w:tc>
        <w:tc>
          <w:tcPr>
            <w:tcW w:w="610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left"/>
              <w:rPr>
                <w:rFonts w:hint="default" w:ascii="宋体" w:hAnsi="宋体"/>
                <w:color w:val="000000"/>
                <w:highlight w:val="white"/>
              </w:rPr>
            </w:pPr>
            <w:r>
              <w:rPr>
                <w:rFonts w:hint="eastAsia" w:ascii="宋体" w:hAnsi="宋体" w:cs="宋体"/>
                <w:bCs/>
                <w:color w:val="000000"/>
                <w:kern w:val="0"/>
              </w:rPr>
              <w:t>满足磋商文件要求且报价最低的磋商响应报价为评标基准价，其价格分为10分。其他供应商的报价得分=(评标基准价／磋商响应报价)×10（四舍五入，精确到小数点后两位）</w:t>
            </w:r>
          </w:p>
        </w:tc>
        <w:tc>
          <w:tcPr>
            <w:tcW w:w="178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380" w:lineRule="exact"/>
              <w:ind w:left="0" w:right="0"/>
              <w:jc w:val="left"/>
              <w:rPr>
                <w:rFonts w:hint="default" w:ascii="宋体" w:hAnsi="宋体" w:cs="宋体"/>
              </w:rPr>
            </w:pPr>
            <w:r>
              <w:rPr>
                <w:rFonts w:hint="eastAsia" w:ascii="宋体" w:hAnsi="宋体" w:cs="宋体"/>
              </w:rPr>
              <w:t>以报价表中的金额为准</w:t>
            </w:r>
          </w:p>
        </w:tc>
      </w:tr>
    </w:tbl>
    <w:p>
      <w:pPr>
        <w:pStyle w:val="22"/>
        <w:tabs>
          <w:tab w:val="left" w:pos="748"/>
          <w:tab w:val="center" w:pos="4211"/>
        </w:tabs>
        <w:spacing w:line="380" w:lineRule="exact"/>
        <w:rPr>
          <w:rFonts w:ascii="宋体" w:hAnsi="宋体" w:eastAsia="宋体"/>
          <w:b/>
          <w:bCs/>
          <w:sz w:val="24"/>
          <w:szCs w:val="24"/>
        </w:rPr>
      </w:pPr>
      <w:r>
        <w:rPr>
          <w:rFonts w:hint="eastAsia" w:ascii="宋体" w:hAnsi="宋体" w:eastAsia="宋体" w:cs="宋体"/>
          <w:b/>
          <w:bCs/>
        </w:rPr>
        <w:br w:type="page"/>
      </w:r>
      <w:r>
        <w:rPr>
          <w:rFonts w:hint="eastAsia" w:ascii="宋体" w:hAnsi="宋体" w:eastAsia="宋体" w:cs="宋体"/>
          <w:b/>
          <w:bCs/>
          <w:sz w:val="24"/>
          <w:szCs w:val="24"/>
        </w:rPr>
        <w:t>（六）合同的签订、履行及签收</w:t>
      </w:r>
      <w:bookmarkEnd w:id="13"/>
    </w:p>
    <w:p>
      <w:pPr>
        <w:spacing w:line="380" w:lineRule="exact"/>
        <w:ind w:firstLine="480" w:firstLineChars="200"/>
        <w:rPr>
          <w:rFonts w:ascii="宋体" w:hAnsi="宋体" w:eastAsia="宋体"/>
          <w:bCs/>
          <w:sz w:val="24"/>
          <w:szCs w:val="24"/>
        </w:rPr>
      </w:pPr>
      <w:r>
        <w:rPr>
          <w:rFonts w:hint="eastAsia" w:ascii="宋体" w:hAnsi="宋体" w:eastAsia="宋体" w:cs="宋体"/>
          <w:bCs/>
          <w:sz w:val="24"/>
          <w:szCs w:val="24"/>
        </w:rPr>
        <w:t>19．合同的签订、履行及签收</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19.1签订合同</w:t>
      </w:r>
    </w:p>
    <w:p>
      <w:pPr>
        <w:spacing w:line="380" w:lineRule="exact"/>
        <w:ind w:firstLine="480" w:firstLineChars="200"/>
        <w:rPr>
          <w:rFonts w:ascii="宋体" w:hAnsi="宋体" w:eastAsia="宋体" w:cs="宋体"/>
          <w:sz w:val="24"/>
          <w:szCs w:val="24"/>
        </w:rPr>
      </w:pPr>
      <w:r>
        <w:rPr>
          <w:rFonts w:hint="eastAsia" w:ascii="宋体" w:hAnsi="宋体" w:eastAsia="宋体" w:cs="宋体"/>
          <w:sz w:val="24"/>
          <w:szCs w:val="24"/>
        </w:rPr>
        <w:t>19.1.1成交供应商在收到采购代理机构发出的《成交通知书》后，应在磋商文件规定的时间内与采购人签订合同。由于成交供应商的原因逾期未签订合同的，将视为放弃成交，取消其成交资格并将按相关规定进行处理。包括但不限于不予退还磋商保证金、赔偿逾期时间内采购人所花费的一切损失等</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19.1.2具体采购时，采购人不得向成交供应商提出任何不合理的要求，作为签订合同的条件，不得与成交供应商私下订立背离合同实质性内容的任何协议，所签订的合同不得对竞争性磋商文件和成交供应商磋商响应书作实质性修改。</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19.2履行合同</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19.2.1成交供应商与采购人签订合同后，合同双方应严格执行合同条款，履行合同规定的义务，保证合同的顺利完成。</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19.2.2</w:t>
      </w:r>
      <w:r>
        <w:rPr>
          <w:rFonts w:hint="eastAsia" w:ascii="宋体" w:hAnsi="宋体" w:eastAsia="宋体" w:cs="黑体"/>
          <w:sz w:val="24"/>
          <w:szCs w:val="24"/>
        </w:rPr>
        <w:t>若双方履行合同时发生纠纷，应协商处理，协商不成的，按照合同约定处理</w:t>
      </w:r>
      <w:r>
        <w:rPr>
          <w:rFonts w:hint="eastAsia" w:ascii="宋体" w:hAnsi="宋体" w:eastAsia="宋体" w:cs="宋体"/>
          <w:sz w:val="24"/>
          <w:szCs w:val="24"/>
        </w:rPr>
        <w:t>。</w:t>
      </w:r>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19.2.3签收：成交供应商完成合同约定的内容后，由采购人依据合同进行签收。</w:t>
      </w:r>
    </w:p>
    <w:p>
      <w:pPr>
        <w:pStyle w:val="22"/>
        <w:spacing w:line="380" w:lineRule="exact"/>
        <w:rPr>
          <w:rFonts w:ascii="宋体" w:hAnsi="宋体" w:eastAsia="宋体"/>
          <w:b/>
          <w:bCs/>
          <w:sz w:val="24"/>
          <w:szCs w:val="24"/>
        </w:rPr>
      </w:pPr>
      <w:bookmarkStart w:id="21" w:name="_Toc383776349"/>
      <w:r>
        <w:rPr>
          <w:rFonts w:hint="eastAsia" w:ascii="宋体" w:hAnsi="宋体" w:eastAsia="宋体" w:cs="宋体"/>
          <w:b/>
          <w:bCs/>
          <w:sz w:val="24"/>
          <w:szCs w:val="24"/>
        </w:rPr>
        <w:t>（七）质疑</w:t>
      </w:r>
      <w:bookmarkEnd w:id="21"/>
    </w:p>
    <w:p>
      <w:pPr>
        <w:spacing w:line="380" w:lineRule="exact"/>
        <w:ind w:firstLine="480" w:firstLineChars="200"/>
        <w:rPr>
          <w:rFonts w:ascii="宋体" w:hAnsi="宋体" w:eastAsia="宋体"/>
          <w:sz w:val="24"/>
          <w:szCs w:val="24"/>
        </w:rPr>
      </w:pPr>
      <w:r>
        <w:rPr>
          <w:rFonts w:hint="eastAsia" w:ascii="宋体" w:hAnsi="宋体" w:eastAsia="宋体" w:cs="宋体"/>
          <w:sz w:val="24"/>
          <w:szCs w:val="24"/>
        </w:rPr>
        <w:t>20．质疑</w:t>
      </w:r>
    </w:p>
    <w:p>
      <w:pPr>
        <w:pStyle w:val="21"/>
        <w:tabs>
          <w:tab w:val="left" w:pos="1800"/>
          <w:tab w:val="clear" w:pos="1080"/>
        </w:tabs>
        <w:spacing w:line="380" w:lineRule="exact"/>
        <w:ind w:firstLine="470" w:firstLineChars="196"/>
        <w:jc w:val="both"/>
        <w:rPr>
          <w:rFonts w:ascii="宋体" w:hAnsi="宋体" w:eastAsia="宋体"/>
          <w:b w:val="0"/>
          <w:bCs w:val="0"/>
          <w:sz w:val="24"/>
          <w:szCs w:val="24"/>
        </w:rPr>
      </w:pPr>
      <w:bookmarkStart w:id="22" w:name="_Toc383776350"/>
      <w:r>
        <w:rPr>
          <w:rFonts w:hint="eastAsia" w:ascii="宋体" w:hAnsi="宋体" w:eastAsia="宋体"/>
          <w:b w:val="0"/>
          <w:bCs w:val="0"/>
          <w:sz w:val="24"/>
          <w:szCs w:val="24"/>
        </w:rPr>
        <w:t>供应商对成交公示有异议的，应在成交公示发布期间内以书面形式提出质疑，逾期不予受理。关于竞争性磋商文件中非通用条款部分方面及评审结果的质疑向采购人提出，采购人在七个工作日内作出答复，关于竞争性磋商文件通用条款部分以及采购程序方面的质疑向采购代理单位提出，由采购代理单位作出答复。质疑供应商对答复内容不满意的或受理单位未在规定时间内作出答复的，可在答复期满后十五个工作日内向相关行政部门提出投诉。</w:t>
      </w:r>
      <w:bookmarkEnd w:id="22"/>
    </w:p>
    <w:p>
      <w:pPr>
        <w:pStyle w:val="21"/>
        <w:tabs>
          <w:tab w:val="left" w:pos="1800"/>
          <w:tab w:val="clear" w:pos="1080"/>
        </w:tabs>
        <w:spacing w:line="380" w:lineRule="exact"/>
        <w:ind w:firstLine="470" w:firstLineChars="196"/>
        <w:jc w:val="both"/>
        <w:rPr>
          <w:rFonts w:ascii="宋体" w:hAnsi="宋体" w:eastAsia="宋体"/>
          <w:b w:val="0"/>
          <w:bCs w:val="0"/>
          <w:sz w:val="24"/>
          <w:szCs w:val="24"/>
        </w:rPr>
      </w:pPr>
    </w:p>
    <w:p>
      <w:pPr>
        <w:pStyle w:val="21"/>
        <w:tabs>
          <w:tab w:val="left" w:pos="1800"/>
          <w:tab w:val="clear" w:pos="1080"/>
        </w:tabs>
        <w:spacing w:line="380" w:lineRule="exact"/>
        <w:ind w:firstLine="470" w:firstLineChars="196"/>
        <w:jc w:val="both"/>
        <w:rPr>
          <w:rFonts w:ascii="宋体" w:hAnsi="宋体" w:eastAsia="宋体"/>
          <w:b w:val="0"/>
          <w:bCs w:val="0"/>
          <w:sz w:val="24"/>
          <w:szCs w:val="24"/>
        </w:rPr>
      </w:pPr>
    </w:p>
    <w:p>
      <w:pPr>
        <w:pStyle w:val="21"/>
        <w:tabs>
          <w:tab w:val="left" w:pos="1800"/>
          <w:tab w:val="clear" w:pos="1080"/>
        </w:tabs>
        <w:spacing w:line="380" w:lineRule="exact"/>
        <w:ind w:firstLine="470" w:firstLineChars="196"/>
        <w:jc w:val="both"/>
        <w:rPr>
          <w:rFonts w:ascii="宋体" w:hAnsi="宋体" w:eastAsia="宋体"/>
          <w:b w:val="0"/>
          <w:bCs w:val="0"/>
          <w:sz w:val="24"/>
          <w:szCs w:val="24"/>
        </w:rPr>
      </w:pPr>
    </w:p>
    <w:p>
      <w:pPr>
        <w:pStyle w:val="22"/>
        <w:numPr>
          <w:ilvl w:val="0"/>
          <w:numId w:val="4"/>
        </w:numPr>
        <w:spacing w:line="380" w:lineRule="exact"/>
        <w:rPr>
          <w:rFonts w:ascii="宋体" w:hAnsi="宋体" w:cs="宋体"/>
          <w:b/>
          <w:bCs/>
          <w:sz w:val="28"/>
          <w:szCs w:val="28"/>
        </w:rPr>
      </w:pPr>
      <w:r>
        <w:rPr>
          <w:rFonts w:hint="eastAsia" w:ascii="宋体" w:hAnsi="宋体" w:cs="宋体"/>
          <w:b/>
          <w:bCs/>
          <w:sz w:val="28"/>
          <w:szCs w:val="28"/>
        </w:rPr>
        <w:t>项目</w:t>
      </w:r>
      <w:bookmarkStart w:id="23" w:name="_Toc383776351"/>
      <w:r>
        <w:rPr>
          <w:rFonts w:hint="eastAsia" w:ascii="宋体" w:hAnsi="宋体" w:cs="宋体"/>
          <w:b/>
          <w:bCs/>
          <w:sz w:val="28"/>
          <w:szCs w:val="28"/>
        </w:rPr>
        <w:t>的</w:t>
      </w:r>
      <w:r>
        <w:rPr>
          <w:rFonts w:hint="eastAsia" w:ascii="宋体" w:hAnsi="宋体" w:cs="宋体"/>
          <w:b/>
          <w:bCs/>
          <w:kern w:val="0"/>
          <w:sz w:val="28"/>
          <w:szCs w:val="28"/>
        </w:rPr>
        <w:t>具体内容、技术要求及其方案</w:t>
      </w:r>
    </w:p>
    <w:p>
      <w:pPr>
        <w:pStyle w:val="22"/>
        <w:spacing w:line="380" w:lineRule="exact"/>
        <w:jc w:val="both"/>
        <w:rPr>
          <w:rFonts w:ascii="宋体" w:hAnsi="宋体" w:eastAsia="宋体" w:cs="宋体"/>
          <w:b/>
          <w:bCs/>
          <w:sz w:val="28"/>
          <w:szCs w:val="28"/>
        </w:rPr>
      </w:pPr>
      <w:r>
        <w:rPr>
          <w:rFonts w:hint="eastAsia" w:ascii="宋体" w:hAnsi="宋体" w:cs="宋体"/>
          <w:b/>
          <w:bCs/>
          <w:kern w:val="0"/>
          <w:sz w:val="28"/>
          <w:szCs w:val="28"/>
        </w:rPr>
        <w:t xml:space="preserve">          </w:t>
      </w:r>
      <w:r>
        <w:rPr>
          <w:rFonts w:hint="eastAsia" w:ascii="宋体" w:hAnsi="宋体" w:eastAsia="宋体" w:cs="宋体"/>
          <w:sz w:val="28"/>
          <w:szCs w:val="28"/>
        </w:rPr>
        <w:t xml:space="preserve">  （详见磋商响应报价表内容及附件一、二）</w:t>
      </w:r>
    </w:p>
    <w:p>
      <w:pPr>
        <w:spacing w:beforeLines="50" w:line="380" w:lineRule="exact"/>
        <w:rPr>
          <w:rFonts w:ascii="宋体" w:hAnsi="宋体" w:cs="宋体"/>
        </w:rPr>
      </w:pPr>
    </w:p>
    <w:p>
      <w:pPr>
        <w:spacing w:beforeLines="50" w:line="360" w:lineRule="auto"/>
        <w:rPr>
          <w:rFonts w:ascii="宋体" w:hAnsi="宋体" w:cs="宋体"/>
        </w:rPr>
      </w:pPr>
    </w:p>
    <w:p>
      <w:pPr>
        <w:pStyle w:val="21"/>
        <w:tabs>
          <w:tab w:val="left" w:pos="420"/>
        </w:tabs>
        <w:jc w:val="both"/>
        <w:rPr>
          <w:rFonts w:ascii="宋体" w:hAnsi="宋体" w:eastAsia="宋体"/>
        </w:rPr>
      </w:pPr>
    </w:p>
    <w:p>
      <w:pPr>
        <w:pStyle w:val="21"/>
        <w:tabs>
          <w:tab w:val="left" w:pos="420"/>
        </w:tabs>
        <w:rPr>
          <w:rFonts w:hint="eastAsia" w:ascii="宋体" w:hAnsi="宋体" w:eastAsia="宋体"/>
        </w:rPr>
      </w:pPr>
    </w:p>
    <w:p>
      <w:pPr>
        <w:pStyle w:val="21"/>
        <w:tabs>
          <w:tab w:val="left" w:pos="420"/>
        </w:tabs>
        <w:rPr>
          <w:rFonts w:ascii="宋体" w:hAnsi="宋体" w:eastAsia="宋体" w:cs="Times New Roman"/>
        </w:rPr>
      </w:pPr>
      <w:r>
        <w:rPr>
          <w:rFonts w:hint="eastAsia" w:ascii="宋体" w:hAnsi="宋体" w:eastAsia="宋体"/>
        </w:rPr>
        <w:t>第二章  磋商响应书</w:t>
      </w:r>
      <w:bookmarkEnd w:id="23"/>
    </w:p>
    <w:p>
      <w:pPr>
        <w:jc w:val="center"/>
        <w:rPr>
          <w:rFonts w:ascii="宋体" w:hAnsi="宋体" w:eastAsia="宋体"/>
          <w:b/>
          <w:bCs/>
          <w:sz w:val="28"/>
          <w:szCs w:val="28"/>
        </w:rPr>
      </w:pPr>
    </w:p>
    <w:p>
      <w:pPr>
        <w:pStyle w:val="22"/>
        <w:rPr>
          <w:rFonts w:ascii="宋体" w:hAnsi="宋体" w:eastAsia="宋体"/>
          <w:sz w:val="28"/>
          <w:szCs w:val="28"/>
        </w:rPr>
      </w:pPr>
      <w:bookmarkStart w:id="24" w:name="_Toc383776352"/>
      <w:r>
        <w:rPr>
          <w:rFonts w:hint="eastAsia" w:ascii="宋体" w:hAnsi="宋体" w:eastAsia="宋体" w:cs="宋体"/>
          <w:sz w:val="28"/>
          <w:szCs w:val="28"/>
        </w:rPr>
        <w:t>封面</w:t>
      </w:r>
      <w:bookmarkEnd w:id="24"/>
    </w:p>
    <w:p>
      <w:pPr>
        <w:jc w:val="center"/>
        <w:rPr>
          <w:rFonts w:ascii="宋体" w:hAnsi="宋体" w:eastAsia="宋体"/>
          <w:sz w:val="72"/>
          <w:szCs w:val="72"/>
        </w:rPr>
      </w:pPr>
      <w:r>
        <w:rPr>
          <w:rFonts w:hint="eastAsia" w:ascii="宋体" w:hAnsi="宋体" w:eastAsia="宋体" w:cs="宋体"/>
          <w:b/>
          <w:bCs/>
          <w:sz w:val="72"/>
          <w:szCs w:val="72"/>
        </w:rPr>
        <w:t>磋商响应书</w:t>
      </w:r>
    </w:p>
    <w:p>
      <w:pPr>
        <w:ind w:firstLine="1650" w:firstLineChars="550"/>
        <w:rPr>
          <w:rFonts w:ascii="宋体" w:hAnsi="宋体" w:eastAsia="宋体"/>
          <w:sz w:val="30"/>
          <w:szCs w:val="30"/>
        </w:rPr>
      </w:pPr>
    </w:p>
    <w:p>
      <w:pPr>
        <w:ind w:firstLine="1540" w:firstLineChars="550"/>
        <w:rPr>
          <w:rFonts w:ascii="宋体" w:hAnsi="宋体" w:eastAsia="宋体"/>
          <w:sz w:val="28"/>
          <w:szCs w:val="28"/>
        </w:rPr>
      </w:pPr>
      <w:r>
        <w:rPr>
          <w:rFonts w:hint="eastAsia" w:ascii="宋体" w:hAnsi="宋体" w:eastAsia="宋体" w:cs="宋体"/>
          <w:sz w:val="28"/>
          <w:szCs w:val="28"/>
        </w:rPr>
        <w:t>项目编号：</w:t>
      </w:r>
    </w:p>
    <w:p>
      <w:pPr>
        <w:jc w:val="center"/>
        <w:rPr>
          <w:rFonts w:ascii="宋体" w:hAnsi="宋体" w:eastAsia="宋体"/>
          <w:sz w:val="28"/>
          <w:szCs w:val="28"/>
        </w:rPr>
      </w:pPr>
    </w:p>
    <w:p>
      <w:pPr>
        <w:jc w:val="center"/>
        <w:rPr>
          <w:rFonts w:ascii="宋体" w:hAnsi="宋体" w:eastAsia="宋体"/>
          <w:sz w:val="28"/>
          <w:szCs w:val="28"/>
        </w:rPr>
      </w:pPr>
    </w:p>
    <w:p>
      <w:pPr>
        <w:jc w:val="center"/>
        <w:rPr>
          <w:rFonts w:ascii="宋体" w:hAnsi="宋体" w:eastAsia="宋体"/>
          <w:sz w:val="28"/>
          <w:szCs w:val="28"/>
        </w:rPr>
      </w:pPr>
    </w:p>
    <w:p>
      <w:pPr>
        <w:rPr>
          <w:rFonts w:ascii="宋体" w:hAnsi="宋体" w:eastAsia="宋体"/>
          <w:sz w:val="28"/>
          <w:szCs w:val="28"/>
        </w:rPr>
      </w:pPr>
    </w:p>
    <w:p>
      <w:pPr>
        <w:jc w:val="center"/>
        <w:rPr>
          <w:rFonts w:ascii="宋体" w:hAnsi="宋体" w:eastAsia="宋体"/>
          <w:sz w:val="28"/>
          <w:szCs w:val="28"/>
        </w:rPr>
      </w:pPr>
    </w:p>
    <w:p>
      <w:pPr>
        <w:jc w:val="center"/>
        <w:rPr>
          <w:rFonts w:ascii="宋体" w:hAnsi="宋体" w:eastAsia="宋体"/>
          <w:sz w:val="28"/>
          <w:szCs w:val="28"/>
        </w:rPr>
      </w:pPr>
    </w:p>
    <w:p>
      <w:pPr>
        <w:ind w:firstLine="1540" w:firstLineChars="550"/>
        <w:rPr>
          <w:rFonts w:ascii="宋体" w:hAnsi="宋体" w:eastAsia="宋体" w:cs="宋体"/>
          <w:sz w:val="28"/>
          <w:szCs w:val="28"/>
          <w:u w:val="single"/>
        </w:rPr>
      </w:pPr>
      <w:r>
        <w:rPr>
          <w:rFonts w:hint="eastAsia" w:ascii="宋体" w:hAnsi="宋体" w:eastAsia="宋体" w:cs="宋体"/>
          <w:sz w:val="28"/>
          <w:szCs w:val="28"/>
        </w:rPr>
        <w:t>项目名称：</w:t>
      </w:r>
    </w:p>
    <w:p>
      <w:pPr>
        <w:ind w:firstLine="1540" w:firstLineChars="550"/>
        <w:rPr>
          <w:rFonts w:ascii="宋体" w:hAnsi="宋体" w:eastAsia="宋体" w:cs="宋体"/>
          <w:b/>
          <w:bCs/>
          <w:sz w:val="28"/>
          <w:szCs w:val="28"/>
          <w:u w:val="single"/>
        </w:rPr>
      </w:pPr>
      <w:r>
        <w:rPr>
          <w:rFonts w:hint="eastAsia" w:ascii="宋体" w:hAnsi="宋体" w:eastAsia="宋体" w:cs="宋体"/>
          <w:sz w:val="28"/>
          <w:szCs w:val="28"/>
        </w:rPr>
        <w:t>供应商：</w:t>
      </w:r>
    </w:p>
    <w:p>
      <w:pPr>
        <w:ind w:firstLine="1540" w:firstLineChars="550"/>
        <w:rPr>
          <w:rFonts w:ascii="宋体" w:hAnsi="宋体" w:eastAsia="宋体" w:cs="宋体"/>
          <w:sz w:val="28"/>
          <w:szCs w:val="28"/>
        </w:rPr>
      </w:pPr>
      <w:r>
        <w:rPr>
          <w:rFonts w:hint="eastAsia" w:ascii="宋体" w:hAnsi="宋体" w:eastAsia="宋体" w:cs="宋体"/>
          <w:sz w:val="28"/>
          <w:szCs w:val="28"/>
        </w:rPr>
        <w:t>法定代表人</w:t>
      </w:r>
    </w:p>
    <w:p>
      <w:pPr>
        <w:ind w:firstLine="1540" w:firstLineChars="550"/>
        <w:rPr>
          <w:rFonts w:ascii="宋体" w:hAnsi="宋体" w:eastAsia="宋体" w:cs="宋体"/>
          <w:sz w:val="28"/>
          <w:szCs w:val="28"/>
        </w:rPr>
      </w:pPr>
      <w:r>
        <w:rPr>
          <w:rFonts w:hint="eastAsia" w:ascii="宋体" w:hAnsi="宋体" w:eastAsia="宋体" w:cs="宋体"/>
          <w:sz w:val="28"/>
          <w:szCs w:val="28"/>
        </w:rPr>
        <w:t>或其委托代理人：（签字或盖章）</w:t>
      </w:r>
    </w:p>
    <w:p>
      <w:pPr>
        <w:ind w:firstLine="1650" w:firstLineChars="550"/>
        <w:rPr>
          <w:rFonts w:ascii="宋体" w:hAnsi="宋体" w:eastAsia="宋体" w:cs="宋体"/>
          <w:sz w:val="30"/>
          <w:szCs w:val="30"/>
        </w:rPr>
      </w:pPr>
    </w:p>
    <w:p>
      <w:pPr>
        <w:ind w:firstLine="3300" w:firstLineChars="1100"/>
        <w:jc w:val="center"/>
        <w:rPr>
          <w:rFonts w:ascii="宋体" w:hAnsi="宋体" w:eastAsia="宋体"/>
          <w:sz w:val="30"/>
          <w:szCs w:val="30"/>
        </w:rPr>
      </w:pPr>
      <w:r>
        <w:rPr>
          <w:rFonts w:hint="eastAsia" w:ascii="宋体" w:hAnsi="宋体" w:eastAsia="宋体" w:cs="宋体"/>
          <w:sz w:val="30"/>
          <w:szCs w:val="30"/>
        </w:rPr>
        <w:t>年    月    日</w:t>
      </w:r>
    </w:p>
    <w:p>
      <w:pPr>
        <w:rPr>
          <w:rFonts w:ascii="宋体" w:hAnsi="宋体" w:eastAsia="宋体"/>
          <w:sz w:val="30"/>
          <w:szCs w:val="30"/>
        </w:rPr>
      </w:pPr>
    </w:p>
    <w:p>
      <w:pPr>
        <w:rPr>
          <w:rFonts w:ascii="宋体" w:hAnsi="宋体" w:eastAsia="宋体"/>
          <w:sz w:val="30"/>
          <w:szCs w:val="30"/>
        </w:rPr>
      </w:pPr>
    </w:p>
    <w:p>
      <w:pPr>
        <w:pStyle w:val="4"/>
        <w:spacing w:before="0" w:after="0" w:line="240" w:lineRule="auto"/>
        <w:jc w:val="center"/>
        <w:rPr>
          <w:rFonts w:ascii="宋体" w:hAnsi="宋体" w:eastAsia="宋体" w:cs="Times New Roman"/>
          <w:sz w:val="28"/>
          <w:szCs w:val="28"/>
        </w:rPr>
      </w:pPr>
      <w:r>
        <w:rPr>
          <w:rFonts w:hint="eastAsia" w:ascii="宋体" w:hAnsi="宋体" w:eastAsia="宋体" w:cs="宋体"/>
          <w:sz w:val="28"/>
          <w:szCs w:val="28"/>
        </w:rPr>
        <w:t>目  录</w:t>
      </w:r>
    </w:p>
    <w:p>
      <w:pPr>
        <w:pStyle w:val="4"/>
        <w:spacing w:before="0" w:after="0" w:line="240" w:lineRule="auto"/>
        <w:rPr>
          <w:rFonts w:ascii="宋体" w:hAnsi="宋体" w:eastAsia="宋体" w:cs="宋体"/>
          <w:b w:val="0"/>
          <w:bCs w:val="0"/>
          <w:sz w:val="28"/>
          <w:szCs w:val="28"/>
        </w:rPr>
      </w:pPr>
    </w:p>
    <w:p>
      <w:pPr>
        <w:pStyle w:val="4"/>
        <w:spacing w:before="0" w:after="0" w:line="240" w:lineRule="auto"/>
        <w:rPr>
          <w:rFonts w:ascii="宋体" w:hAnsi="宋体" w:eastAsia="宋体" w:cs="Times New Roman"/>
          <w:b w:val="0"/>
          <w:bCs w:val="0"/>
          <w:sz w:val="28"/>
          <w:szCs w:val="28"/>
        </w:rPr>
      </w:pPr>
      <w:r>
        <w:rPr>
          <w:rFonts w:hint="eastAsia" w:ascii="宋体" w:hAnsi="宋体" w:eastAsia="宋体" w:cs="宋体"/>
          <w:b w:val="0"/>
          <w:bCs w:val="0"/>
          <w:sz w:val="28"/>
          <w:szCs w:val="28"/>
        </w:rPr>
        <w:t>一、磋商响应函格式</w:t>
      </w:r>
    </w:p>
    <w:p>
      <w:pPr>
        <w:rPr>
          <w:rFonts w:ascii="宋体" w:hAnsi="宋体" w:eastAsia="宋体" w:cs="宋体"/>
          <w:sz w:val="28"/>
          <w:szCs w:val="28"/>
        </w:rPr>
      </w:pPr>
      <w:r>
        <w:rPr>
          <w:rFonts w:hint="eastAsia" w:ascii="宋体" w:hAnsi="宋体" w:eastAsia="宋体" w:cs="宋体"/>
          <w:sz w:val="28"/>
          <w:szCs w:val="28"/>
        </w:rPr>
        <w:t>二、技术服务方案</w:t>
      </w:r>
    </w:p>
    <w:p>
      <w:pPr>
        <w:rPr>
          <w:rFonts w:ascii="宋体" w:hAnsi="宋体" w:eastAsia="宋体"/>
          <w:sz w:val="28"/>
          <w:szCs w:val="28"/>
        </w:rPr>
      </w:pPr>
      <w:r>
        <w:rPr>
          <w:rFonts w:hint="eastAsia" w:ascii="宋体" w:hAnsi="宋体" w:eastAsia="宋体" w:cs="宋体"/>
          <w:sz w:val="28"/>
          <w:szCs w:val="28"/>
        </w:rPr>
        <w:t>三、法定代表人授权书</w:t>
      </w:r>
    </w:p>
    <w:p>
      <w:pPr>
        <w:widowControl/>
        <w:spacing w:line="360" w:lineRule="auto"/>
        <w:rPr>
          <w:rFonts w:ascii="宋体" w:hAnsi="宋体" w:eastAsia="宋体" w:cs="宋体"/>
          <w:sz w:val="28"/>
          <w:szCs w:val="28"/>
        </w:rPr>
      </w:pPr>
      <w:r>
        <w:rPr>
          <w:rFonts w:hint="eastAsia" w:ascii="宋体" w:hAnsi="宋体" w:eastAsia="宋体" w:cs="宋体"/>
          <w:sz w:val="28"/>
          <w:szCs w:val="28"/>
        </w:rPr>
        <w:t>四、资格证明文件</w:t>
      </w:r>
    </w:p>
    <w:p>
      <w:pPr>
        <w:rPr>
          <w:rFonts w:ascii="宋体" w:hAnsi="宋体" w:eastAsia="宋体" w:cs="宋体"/>
          <w:sz w:val="28"/>
          <w:szCs w:val="28"/>
        </w:rPr>
      </w:pPr>
      <w:r>
        <w:rPr>
          <w:rFonts w:hint="eastAsia" w:ascii="宋体" w:hAnsi="宋体" w:eastAsia="宋体" w:cs="宋体"/>
          <w:sz w:val="28"/>
          <w:szCs w:val="28"/>
        </w:rPr>
        <w:t>五、需要提供的其他证明材料</w:t>
      </w:r>
    </w:p>
    <w:p>
      <w:pPr>
        <w:rPr>
          <w:rFonts w:ascii="宋体" w:hAnsi="宋体" w:eastAsia="宋体" w:cs="宋体"/>
          <w:sz w:val="28"/>
          <w:szCs w:val="28"/>
        </w:rPr>
      </w:pPr>
      <w:r>
        <w:rPr>
          <w:rFonts w:hint="eastAsia" w:ascii="宋体" w:hAnsi="宋体" w:eastAsia="宋体" w:cs="宋体"/>
          <w:sz w:val="28"/>
          <w:szCs w:val="28"/>
        </w:rPr>
        <w:t>六、磋商响应报价表</w:t>
      </w:r>
    </w:p>
    <w:p>
      <w:pPr>
        <w:rPr>
          <w:rFonts w:ascii="宋体" w:hAnsi="宋体" w:eastAsia="宋体"/>
          <w:sz w:val="32"/>
          <w:szCs w:val="32"/>
        </w:rPr>
      </w:pPr>
    </w:p>
    <w:p>
      <w:pPr>
        <w:pStyle w:val="22"/>
        <w:widowControl/>
        <w:rPr>
          <w:rFonts w:ascii="宋体" w:hAnsi="宋体" w:eastAsia="宋体"/>
          <w:b/>
          <w:bCs/>
          <w:sz w:val="28"/>
          <w:szCs w:val="28"/>
        </w:rPr>
      </w:pPr>
      <w:r>
        <w:rPr>
          <w:rFonts w:ascii="宋体" w:hAnsi="宋体" w:eastAsia="宋体"/>
        </w:rPr>
        <w:br w:type="page"/>
      </w:r>
      <w:bookmarkStart w:id="25" w:name="_Toc383776353"/>
      <w:r>
        <w:rPr>
          <w:rFonts w:hint="eastAsia" w:ascii="宋体" w:hAnsi="宋体" w:eastAsia="宋体" w:cs="宋体"/>
          <w:b/>
          <w:bCs/>
          <w:sz w:val="28"/>
          <w:szCs w:val="28"/>
        </w:rPr>
        <w:t>一、磋商响应函格式</w:t>
      </w:r>
      <w:bookmarkEnd w:id="25"/>
    </w:p>
    <w:p>
      <w:pPr>
        <w:pStyle w:val="10"/>
        <w:widowControl/>
        <w:tabs>
          <w:tab w:val="left" w:pos="900"/>
        </w:tabs>
        <w:rPr>
          <w:rFonts w:ascii="宋体" w:hAnsi="宋体" w:eastAsia="宋体" w:cs="Times New Roman"/>
          <w:sz w:val="24"/>
          <w:szCs w:val="24"/>
        </w:rPr>
      </w:pPr>
      <w:r>
        <w:rPr>
          <w:rFonts w:hint="eastAsia" w:ascii="宋体" w:hAnsi="宋体" w:eastAsia="宋体" w:cs="宋体"/>
          <w:sz w:val="24"/>
          <w:szCs w:val="24"/>
        </w:rPr>
        <w:t xml:space="preserve">致： </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1．我们决定参加贵方组织的</w:t>
      </w:r>
      <w:r>
        <w:rPr>
          <w:rFonts w:hint="eastAsia" w:ascii="宋体" w:hAnsi="宋体" w:eastAsia="宋体" w:cs="宋体"/>
          <w:sz w:val="24"/>
          <w:szCs w:val="24"/>
          <w:u w:val="single"/>
        </w:rPr>
        <w:t xml:space="preserve">             </w:t>
      </w:r>
      <w:r>
        <w:rPr>
          <w:rFonts w:hint="eastAsia" w:ascii="宋体" w:hAnsi="宋体" w:eastAsia="宋体" w:cs="宋体"/>
          <w:sz w:val="24"/>
          <w:szCs w:val="24"/>
        </w:rPr>
        <w:t>（编号：</w:t>
      </w:r>
      <w:r>
        <w:rPr>
          <w:rFonts w:hint="eastAsia" w:ascii="宋体" w:hAnsi="宋体" w:eastAsia="宋体" w:cs="宋体"/>
          <w:sz w:val="24"/>
          <w:szCs w:val="24"/>
          <w:u w:val="single"/>
        </w:rPr>
        <w:t xml:space="preserve">              </w:t>
      </w:r>
      <w:r>
        <w:rPr>
          <w:rFonts w:hint="eastAsia" w:ascii="宋体" w:hAnsi="宋体" w:eastAsia="宋体" w:cs="宋体"/>
          <w:sz w:val="24"/>
          <w:szCs w:val="24"/>
        </w:rPr>
        <w:t>）竞争性磋商活动。我方授权(姓名和职务)代表我方（磋商响应单位的名称）全权处理本项目磋商的有关事宜。</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2．我方愿意按照竞争性磋商文件规定的各项要求，向采购人提供所需的服务。</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3．我方愿意按照竞争性磋商文件规定的要求，缴纳磋商响应保证金</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4．一旦我方被推荐为成交供应商，我方将严格履行合同规定的责任和义务。</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5．我方为本项目提交的磋商响应书一式三份，其中正本一份、副本二份。</w:t>
      </w:r>
    </w:p>
    <w:p>
      <w:pPr>
        <w:tabs>
          <w:tab w:val="left" w:pos="840"/>
        </w:tabs>
        <w:spacing w:line="480" w:lineRule="exact"/>
        <w:ind w:firstLine="480" w:firstLineChars="200"/>
        <w:rPr>
          <w:rFonts w:ascii="宋体" w:hAnsi="宋体" w:eastAsia="宋体"/>
          <w:sz w:val="24"/>
          <w:szCs w:val="24"/>
        </w:rPr>
      </w:pPr>
      <w:r>
        <w:rPr>
          <w:rFonts w:hint="eastAsia" w:ascii="宋体" w:hAnsi="宋体" w:eastAsia="宋体" w:cs="宋体"/>
          <w:sz w:val="24"/>
          <w:szCs w:val="24"/>
        </w:rPr>
        <w:t>6．我方愿意提供贵方可能另外要求的、与磋商有关的文件资料，并保证我方已提供和将要提供的文件是真实的、准确的。</w:t>
      </w:r>
    </w:p>
    <w:p>
      <w:pPr>
        <w:tabs>
          <w:tab w:val="left" w:pos="0"/>
          <w:tab w:val="left" w:pos="840"/>
        </w:tabs>
        <w:spacing w:line="480" w:lineRule="exact"/>
        <w:ind w:firstLine="480" w:firstLineChars="200"/>
        <w:rPr>
          <w:rFonts w:ascii="宋体" w:hAnsi="宋体" w:eastAsia="宋体"/>
          <w:sz w:val="24"/>
          <w:szCs w:val="24"/>
        </w:rPr>
      </w:pPr>
      <w:r>
        <w:rPr>
          <w:rFonts w:hint="eastAsia" w:ascii="宋体" w:hAnsi="宋体" w:eastAsia="宋体" w:cs="宋体"/>
          <w:sz w:val="24"/>
          <w:szCs w:val="24"/>
        </w:rPr>
        <w:t>7．我方完全理解贵方不一定将合同授予最低报价（折扣）的供应商。</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磋商响应单位名称：（公    章）</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磋商响应单位授权代表姓名（签字）：</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日    期：</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通讯地址：</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邮政编码：           电   话：          传    真：</w:t>
      </w:r>
    </w:p>
    <w:p>
      <w:pPr>
        <w:spacing w:line="480" w:lineRule="exact"/>
        <w:ind w:firstLine="480" w:firstLineChars="200"/>
        <w:rPr>
          <w:rFonts w:ascii="宋体" w:hAnsi="宋体" w:eastAsia="宋体"/>
          <w:sz w:val="24"/>
          <w:szCs w:val="24"/>
        </w:rPr>
      </w:pPr>
      <w:r>
        <w:rPr>
          <w:rFonts w:hint="eastAsia" w:ascii="宋体" w:hAnsi="宋体" w:eastAsia="宋体" w:cs="宋体"/>
          <w:sz w:val="24"/>
          <w:szCs w:val="24"/>
        </w:rPr>
        <w:t xml:space="preserve">磋商响应单位开户行: </w:t>
      </w:r>
    </w:p>
    <w:p>
      <w:pPr>
        <w:spacing w:line="480" w:lineRule="exact"/>
        <w:ind w:firstLine="480" w:firstLineChars="200"/>
        <w:rPr>
          <w:rFonts w:ascii="宋体" w:hAnsi="宋体" w:eastAsia="宋体"/>
          <w:sz w:val="24"/>
          <w:szCs w:val="24"/>
          <w:u w:val="single"/>
        </w:rPr>
      </w:pPr>
      <w:r>
        <w:rPr>
          <w:rFonts w:hint="eastAsia" w:ascii="宋体" w:hAnsi="宋体" w:eastAsia="宋体" w:cs="宋体"/>
          <w:sz w:val="24"/>
          <w:szCs w:val="24"/>
        </w:rPr>
        <w:t xml:space="preserve">账          号: </w:t>
      </w:r>
    </w:p>
    <w:p>
      <w:pPr>
        <w:pStyle w:val="22"/>
        <w:widowControl/>
        <w:rPr>
          <w:rFonts w:ascii="宋体" w:hAnsi="宋体" w:eastAsia="宋体" w:cs="宋体"/>
          <w:b/>
          <w:bCs/>
          <w:sz w:val="28"/>
          <w:szCs w:val="28"/>
        </w:rPr>
      </w:pPr>
      <w:bookmarkStart w:id="26" w:name="_Toc383776354"/>
    </w:p>
    <w:p>
      <w:pPr>
        <w:pStyle w:val="22"/>
        <w:widowControl/>
        <w:rPr>
          <w:rFonts w:ascii="宋体" w:hAnsi="宋体" w:eastAsia="宋体" w:cs="宋体"/>
          <w:b/>
          <w:bCs/>
          <w:sz w:val="28"/>
          <w:szCs w:val="28"/>
        </w:rPr>
      </w:pPr>
    </w:p>
    <w:p>
      <w:pPr>
        <w:pStyle w:val="22"/>
        <w:widowControl/>
        <w:rPr>
          <w:rFonts w:ascii="宋体" w:hAnsi="宋体" w:eastAsia="宋体"/>
          <w:b/>
          <w:bCs/>
          <w:sz w:val="28"/>
          <w:szCs w:val="28"/>
        </w:rPr>
      </w:pPr>
      <w:r>
        <w:rPr>
          <w:rFonts w:hint="eastAsia" w:ascii="宋体" w:hAnsi="宋体" w:eastAsia="宋体" w:cs="宋体"/>
          <w:b/>
          <w:bCs/>
          <w:sz w:val="28"/>
          <w:szCs w:val="28"/>
        </w:rPr>
        <w:t>二、</w:t>
      </w:r>
      <w:bookmarkEnd w:id="26"/>
      <w:r>
        <w:rPr>
          <w:rFonts w:hint="eastAsia" w:ascii="宋体" w:hAnsi="宋体" w:eastAsia="宋体" w:cs="宋体"/>
          <w:b/>
          <w:bCs/>
          <w:sz w:val="28"/>
          <w:szCs w:val="28"/>
        </w:rPr>
        <w:t>技术服务方案</w:t>
      </w:r>
    </w:p>
    <w:p>
      <w:pPr>
        <w:wordWrap w:val="0"/>
        <w:adjustRightInd w:val="0"/>
        <w:snapToGrid w:val="0"/>
        <w:rPr>
          <w:rFonts w:ascii="宋体" w:hAnsi="宋体" w:eastAsia="宋体" w:cs="宋体"/>
          <w:b/>
          <w:sz w:val="28"/>
          <w:szCs w:val="28"/>
        </w:rPr>
      </w:pPr>
    </w:p>
    <w:p>
      <w:pPr>
        <w:wordWrap w:val="0"/>
        <w:adjustRightInd w:val="0"/>
        <w:snapToGrid w:val="0"/>
        <w:rPr>
          <w:rFonts w:ascii="宋体" w:hAnsi="宋体" w:eastAsia="宋体" w:cs="宋体"/>
          <w:b/>
          <w:sz w:val="24"/>
          <w:szCs w:val="24"/>
        </w:rPr>
      </w:pPr>
      <w:r>
        <w:rPr>
          <w:rFonts w:hint="eastAsia" w:ascii="宋体" w:hAnsi="宋体" w:eastAsia="宋体" w:cs="宋体"/>
          <w:b/>
          <w:sz w:val="24"/>
          <w:szCs w:val="24"/>
        </w:rPr>
        <w:t>（一）供应商简介</w:t>
      </w:r>
    </w:p>
    <w:p>
      <w:pPr>
        <w:wordWrap w:val="0"/>
        <w:adjustRightInd w:val="0"/>
        <w:snapToGrid w:val="0"/>
        <w:rPr>
          <w:rFonts w:ascii="宋体" w:hAnsi="宋体" w:eastAsia="宋体" w:cs="宋体"/>
          <w:sz w:val="24"/>
          <w:szCs w:val="24"/>
        </w:rPr>
      </w:pPr>
      <w:r>
        <w:rPr>
          <w:rFonts w:hint="eastAsia" w:ascii="宋体" w:hAnsi="宋体" w:eastAsia="宋体" w:cs="宋体"/>
          <w:sz w:val="24"/>
          <w:szCs w:val="24"/>
        </w:rPr>
        <w:t>（不超过1000字）</w:t>
      </w:r>
    </w:p>
    <w:p>
      <w:pPr>
        <w:wordWrap w:val="0"/>
        <w:adjustRightInd w:val="0"/>
        <w:snapToGrid w:val="0"/>
        <w:rPr>
          <w:rFonts w:ascii="宋体" w:hAnsi="宋体" w:eastAsia="宋体" w:cs="宋体"/>
          <w:b/>
          <w:sz w:val="24"/>
          <w:szCs w:val="24"/>
        </w:rPr>
      </w:pPr>
    </w:p>
    <w:p>
      <w:pPr>
        <w:wordWrap w:val="0"/>
        <w:adjustRightInd w:val="0"/>
        <w:snapToGrid w:val="0"/>
        <w:rPr>
          <w:rFonts w:ascii="宋体" w:hAnsi="宋体" w:eastAsia="宋体" w:cs="宋体"/>
          <w:b/>
          <w:sz w:val="24"/>
          <w:szCs w:val="24"/>
        </w:rPr>
      </w:pPr>
      <w:r>
        <w:rPr>
          <w:rFonts w:hint="eastAsia" w:ascii="宋体" w:hAnsi="宋体" w:eastAsia="宋体" w:cs="宋体"/>
          <w:b/>
          <w:sz w:val="24"/>
          <w:szCs w:val="24"/>
        </w:rPr>
        <w:t>（二）技术服务方案</w:t>
      </w:r>
    </w:p>
    <w:p>
      <w:pPr>
        <w:wordWrap w:val="0"/>
        <w:adjustRightInd w:val="0"/>
        <w:snapToGrid w:val="0"/>
        <w:rPr>
          <w:rFonts w:ascii="宋体" w:hAnsi="宋体" w:eastAsia="宋体" w:cs="宋体"/>
          <w:sz w:val="24"/>
          <w:szCs w:val="24"/>
        </w:rPr>
      </w:pPr>
      <w:r>
        <w:rPr>
          <w:rFonts w:hint="eastAsia" w:ascii="宋体" w:hAnsi="宋体" w:eastAsia="宋体" w:cs="宋体"/>
          <w:sz w:val="24"/>
          <w:szCs w:val="24"/>
        </w:rPr>
        <w:t>（详细说明）</w:t>
      </w:r>
    </w:p>
    <w:p>
      <w:pPr>
        <w:rPr>
          <w:rFonts w:ascii="宋体" w:hAnsi="宋体" w:eastAsia="宋体"/>
          <w:color w:val="FF0000"/>
          <w:sz w:val="28"/>
          <w:szCs w:val="28"/>
        </w:rPr>
      </w:pPr>
    </w:p>
    <w:p>
      <w:pPr>
        <w:pStyle w:val="22"/>
        <w:widowControl/>
        <w:rPr>
          <w:rFonts w:ascii="宋体" w:hAnsi="宋体" w:eastAsia="宋体"/>
          <w:b/>
          <w:bCs/>
          <w:sz w:val="28"/>
          <w:szCs w:val="28"/>
        </w:rPr>
      </w:pPr>
      <w:bookmarkStart w:id="27" w:name="_Toc383776356"/>
      <w:r>
        <w:rPr>
          <w:rFonts w:hint="eastAsia" w:ascii="宋体" w:hAnsi="宋体" w:eastAsia="宋体" w:cs="宋体"/>
          <w:b/>
          <w:bCs/>
          <w:sz w:val="28"/>
          <w:szCs w:val="28"/>
        </w:rPr>
        <w:t>三、法定代表人授权书</w:t>
      </w:r>
      <w:bookmarkEnd w:id="27"/>
    </w:p>
    <w:p>
      <w:pPr>
        <w:rPr>
          <w:rFonts w:ascii="宋体" w:hAnsi="宋体" w:eastAsia="宋体"/>
          <w:b/>
          <w:bCs/>
          <w:sz w:val="28"/>
          <w:szCs w:val="28"/>
        </w:rPr>
      </w:pPr>
    </w:p>
    <w:p>
      <w:pPr>
        <w:pStyle w:val="10"/>
        <w:widowControl/>
        <w:tabs>
          <w:tab w:val="left" w:pos="900"/>
        </w:tabs>
        <w:spacing w:line="360" w:lineRule="auto"/>
        <w:rPr>
          <w:rFonts w:ascii="宋体" w:hAnsi="宋体" w:eastAsia="宋体" w:cs="Times New Roman"/>
          <w:sz w:val="24"/>
          <w:szCs w:val="24"/>
        </w:rPr>
      </w:pPr>
      <w:r>
        <w:rPr>
          <w:rFonts w:hint="eastAsia" w:ascii="宋体" w:hAnsi="宋体" w:eastAsia="宋体" w:cs="宋体"/>
          <w:sz w:val="24"/>
          <w:szCs w:val="24"/>
        </w:rPr>
        <w:t>致：</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本授权书声明：</w:t>
      </w:r>
      <w:r>
        <w:rPr>
          <w:rFonts w:hint="eastAsia" w:ascii="宋体" w:hAnsi="宋体" w:eastAsia="宋体" w:cs="宋体"/>
          <w:sz w:val="24"/>
          <w:szCs w:val="24"/>
          <w:u w:val="single"/>
        </w:rPr>
        <w:t xml:space="preserve">    </w:t>
      </w:r>
      <w:r>
        <w:rPr>
          <w:rFonts w:hint="eastAsia" w:ascii="宋体" w:hAnsi="宋体" w:eastAsia="宋体" w:cs="宋体"/>
          <w:sz w:val="24"/>
          <w:szCs w:val="24"/>
        </w:rPr>
        <w:t>（供应商名称）的</w:t>
      </w:r>
      <w:r>
        <w:rPr>
          <w:rFonts w:hint="eastAsia" w:ascii="宋体" w:hAnsi="宋体" w:eastAsia="宋体" w:cs="宋体"/>
          <w:sz w:val="24"/>
          <w:szCs w:val="24"/>
          <w:u w:val="single"/>
        </w:rPr>
        <w:t xml:space="preserve">     </w:t>
      </w:r>
      <w:r>
        <w:rPr>
          <w:rFonts w:hint="eastAsia" w:ascii="宋体" w:hAnsi="宋体" w:eastAsia="宋体" w:cs="宋体"/>
          <w:sz w:val="24"/>
          <w:szCs w:val="24"/>
        </w:rPr>
        <w:t>（法人代表姓名、职务）授权</w:t>
      </w:r>
      <w:r>
        <w:rPr>
          <w:rFonts w:hint="eastAsia" w:ascii="宋体" w:hAnsi="宋体" w:eastAsia="宋体" w:cs="宋体"/>
          <w:sz w:val="24"/>
          <w:szCs w:val="24"/>
          <w:u w:val="single"/>
        </w:rPr>
        <w:t xml:space="preserve">   </w:t>
      </w:r>
      <w:r>
        <w:rPr>
          <w:rFonts w:hint="eastAsia" w:ascii="宋体" w:hAnsi="宋体" w:eastAsia="宋体" w:cs="宋体"/>
          <w:sz w:val="24"/>
          <w:szCs w:val="24"/>
        </w:rPr>
        <w:t>（被授权人的姓名、职务）为我方就＂</w:t>
      </w:r>
      <w:r>
        <w:rPr>
          <w:rFonts w:hint="eastAsia" w:ascii="宋体" w:hAnsi="宋体" w:eastAsia="宋体" w:cs="宋体"/>
          <w:sz w:val="24"/>
          <w:szCs w:val="24"/>
          <w:u w:val="single"/>
        </w:rPr>
        <w:t>（项目全称）</w:t>
      </w:r>
      <w:r>
        <w:rPr>
          <w:rFonts w:hint="eastAsia" w:ascii="宋体" w:hAnsi="宋体" w:eastAsia="宋体" w:cs="宋体"/>
          <w:sz w:val="24"/>
          <w:szCs w:val="24"/>
        </w:rPr>
        <w:t>＂竞争性磋商活动的合法代理人，以我方名义全权处理与该项目响应、磋商、签订合同以及合同执行有关的一切事务。</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特此声明。</w:t>
      </w:r>
    </w:p>
    <w:p>
      <w:pPr>
        <w:spacing w:line="360" w:lineRule="auto"/>
        <w:ind w:firstLine="480" w:firstLineChars="200"/>
        <w:rPr>
          <w:rFonts w:ascii="宋体" w:hAnsi="宋体" w:eastAsia="宋体"/>
          <w:sz w:val="24"/>
          <w:szCs w:val="24"/>
        </w:rPr>
      </w:pPr>
    </w:p>
    <w:p>
      <w:pPr>
        <w:spacing w:line="360" w:lineRule="auto"/>
        <w:ind w:firstLine="480" w:firstLineChars="200"/>
        <w:rPr>
          <w:rFonts w:ascii="宋体" w:hAnsi="宋体" w:eastAsia="宋体"/>
          <w:sz w:val="24"/>
          <w:szCs w:val="24"/>
        </w:rPr>
      </w:pPr>
    </w:p>
    <w:p>
      <w:pPr>
        <w:spacing w:line="360" w:lineRule="auto"/>
        <w:ind w:firstLine="480" w:firstLineChars="200"/>
        <w:rPr>
          <w:rFonts w:ascii="宋体" w:hAnsi="宋体" w:eastAsia="宋体"/>
          <w:sz w:val="24"/>
          <w:szCs w:val="24"/>
          <w:u w:val="single"/>
        </w:rPr>
      </w:pPr>
      <w:r>
        <w:rPr>
          <w:rFonts w:hint="eastAsia" w:ascii="宋体" w:hAnsi="宋体" w:eastAsia="宋体" w:cs="宋体"/>
          <w:sz w:val="24"/>
          <w:szCs w:val="24"/>
        </w:rPr>
        <w:t>法定代表人（签字并盖章）：</w:t>
      </w:r>
    </w:p>
    <w:p>
      <w:pPr>
        <w:spacing w:line="360" w:lineRule="auto"/>
        <w:ind w:firstLine="480" w:firstLineChars="200"/>
        <w:rPr>
          <w:rFonts w:ascii="宋体" w:hAnsi="宋体" w:eastAsia="宋体"/>
          <w:sz w:val="24"/>
          <w:szCs w:val="24"/>
          <w:u w:val="single"/>
        </w:rPr>
      </w:pPr>
      <w:r>
        <w:rPr>
          <w:rFonts w:hint="eastAsia" w:ascii="宋体" w:hAnsi="宋体" w:eastAsia="宋体" w:cs="宋体"/>
          <w:sz w:val="24"/>
          <w:szCs w:val="24"/>
        </w:rPr>
        <w:t>职    务：</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代理人（被授权人）签字或盖章：</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职    务：</w:t>
      </w:r>
    </w:p>
    <w:p>
      <w:pPr>
        <w:spacing w:line="360" w:lineRule="auto"/>
        <w:ind w:firstLine="480" w:firstLineChars="200"/>
        <w:rPr>
          <w:rFonts w:ascii="宋体" w:hAnsi="宋体" w:eastAsia="宋体"/>
          <w:sz w:val="24"/>
          <w:szCs w:val="24"/>
        </w:rPr>
      </w:pPr>
      <w:r>
        <w:rPr>
          <w:rFonts w:hint="eastAsia" w:ascii="宋体" w:hAnsi="宋体" w:eastAsia="宋体" w:cs="宋体"/>
          <w:sz w:val="24"/>
          <w:szCs w:val="24"/>
        </w:rPr>
        <w:t>供应商名称：（公章）</w:t>
      </w:r>
    </w:p>
    <w:p>
      <w:pPr>
        <w:spacing w:line="360" w:lineRule="auto"/>
        <w:ind w:firstLine="480" w:firstLineChars="200"/>
        <w:rPr>
          <w:rFonts w:ascii="宋体" w:hAnsi="宋体" w:eastAsia="宋体"/>
          <w:sz w:val="24"/>
          <w:szCs w:val="24"/>
          <w:u w:val="single"/>
        </w:rPr>
      </w:pPr>
      <w:r>
        <w:rPr>
          <w:rFonts w:hint="eastAsia" w:ascii="宋体" w:hAnsi="宋体" w:eastAsia="宋体" w:cs="宋体"/>
          <w:sz w:val="24"/>
          <w:szCs w:val="24"/>
        </w:rPr>
        <w:t>日      期：</w:t>
      </w:r>
    </w:p>
    <w:p>
      <w:pPr>
        <w:pStyle w:val="4"/>
        <w:widowControl/>
        <w:spacing w:before="0" w:after="0" w:line="360" w:lineRule="auto"/>
        <w:ind w:firstLine="480" w:firstLineChars="200"/>
        <w:rPr>
          <w:rFonts w:ascii="宋体" w:hAnsi="宋体" w:eastAsia="宋体" w:cs="Times New Roman"/>
          <w:b w:val="0"/>
          <w:bCs w:val="0"/>
          <w:sz w:val="24"/>
          <w:szCs w:val="24"/>
        </w:rPr>
      </w:pPr>
      <w:r>
        <w:rPr>
          <w:rFonts w:hint="eastAsia" w:ascii="宋体" w:hAnsi="宋体" w:eastAsia="宋体" w:cs="宋体"/>
          <w:b w:val="0"/>
          <w:bCs w:val="0"/>
          <w:sz w:val="24"/>
          <w:szCs w:val="24"/>
        </w:rPr>
        <w:t>（提供供应商法定代表人、被授权代表人身份证复印件）</w:t>
      </w:r>
    </w:p>
    <w:p>
      <w:pPr>
        <w:ind w:firstLine="560" w:firstLineChars="200"/>
        <w:rPr>
          <w:rFonts w:ascii="宋体" w:hAnsi="宋体" w:eastAsia="宋体"/>
          <w:sz w:val="28"/>
          <w:szCs w:val="28"/>
          <w:u w:val="single"/>
        </w:rPr>
      </w:pPr>
    </w:p>
    <w:p>
      <w:pPr>
        <w:pStyle w:val="22"/>
        <w:widowControl/>
        <w:rPr>
          <w:rFonts w:ascii="宋体" w:hAnsi="宋体" w:eastAsia="宋体"/>
          <w:b/>
          <w:bCs/>
          <w:sz w:val="28"/>
          <w:szCs w:val="28"/>
        </w:rPr>
      </w:pPr>
      <w:r>
        <w:rPr>
          <w:rFonts w:hint="eastAsia" w:ascii="宋体" w:hAnsi="宋体" w:eastAsia="宋体"/>
          <w:sz w:val="28"/>
          <w:szCs w:val="28"/>
        </w:rPr>
        <w:br w:type="page"/>
      </w:r>
      <w:bookmarkStart w:id="28" w:name="_Toc383776357"/>
      <w:r>
        <w:rPr>
          <w:rFonts w:hint="eastAsia" w:ascii="宋体" w:hAnsi="宋体" w:eastAsia="宋体" w:cs="宋体"/>
          <w:b/>
          <w:bCs/>
          <w:sz w:val="28"/>
          <w:szCs w:val="28"/>
        </w:rPr>
        <w:t>四、资格证明文件</w:t>
      </w:r>
      <w:bookmarkEnd w:id="28"/>
    </w:p>
    <w:p>
      <w:pPr>
        <w:spacing w:line="360" w:lineRule="auto"/>
        <w:ind w:firstLine="480" w:firstLineChars="200"/>
        <w:rPr>
          <w:rFonts w:ascii="宋体" w:hAnsi="宋体" w:eastAsia="宋体" w:cs="宋体"/>
          <w:sz w:val="24"/>
          <w:szCs w:val="24"/>
        </w:rPr>
      </w:pPr>
      <w:bookmarkStart w:id="29" w:name="_Toc380389245"/>
      <w:bookmarkStart w:id="30" w:name="_Toc383776358"/>
      <w:r>
        <w:rPr>
          <w:rFonts w:hint="eastAsia" w:ascii="宋体" w:hAnsi="宋体" w:eastAsia="宋体" w:cs="宋体"/>
          <w:sz w:val="24"/>
          <w:szCs w:val="24"/>
        </w:rPr>
        <w:t>（一）营业执照</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（二）磋商保证金转账单据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（三）承诺函</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（四）供应商认为需要提交的其它资料</w:t>
      </w:r>
    </w:p>
    <w:bookmarkEnd w:id="29"/>
    <w:bookmarkEnd w:id="30"/>
    <w:p>
      <w:pPr>
        <w:pStyle w:val="22"/>
        <w:widowControl/>
        <w:spacing w:line="360" w:lineRule="auto"/>
        <w:jc w:val="left"/>
        <w:rPr>
          <w:rFonts w:ascii="宋体" w:hAnsi="宋体" w:eastAsia="宋体" w:cs="宋体"/>
          <w:b/>
          <w:bCs/>
          <w:sz w:val="24"/>
          <w:szCs w:val="24"/>
        </w:rPr>
      </w:pPr>
      <w:bookmarkStart w:id="31" w:name="_Toc383776359"/>
    </w:p>
    <w:p>
      <w:pPr>
        <w:pStyle w:val="22"/>
        <w:widowControl/>
        <w:spacing w:line="360" w:lineRule="auto"/>
        <w:jc w:val="left"/>
        <w:rPr>
          <w:rFonts w:ascii="宋体" w:hAnsi="宋体" w:eastAsia="宋体" w:cs="宋体"/>
          <w:b/>
          <w:bCs/>
          <w:sz w:val="24"/>
          <w:szCs w:val="24"/>
        </w:rPr>
      </w:pPr>
    </w:p>
    <w:p>
      <w:pPr>
        <w:pStyle w:val="22"/>
        <w:widowControl/>
        <w:spacing w:line="360" w:lineRule="auto"/>
        <w:jc w:val="left"/>
        <w:rPr>
          <w:rFonts w:ascii="宋体" w:hAnsi="宋体" w:eastAsia="宋体" w:cs="宋体"/>
          <w:b/>
          <w:bCs/>
          <w:sz w:val="24"/>
          <w:szCs w:val="24"/>
        </w:rPr>
      </w:pPr>
    </w:p>
    <w:p>
      <w:pPr>
        <w:pStyle w:val="22"/>
        <w:widowControl/>
        <w:spacing w:line="360" w:lineRule="auto"/>
        <w:rPr>
          <w:rFonts w:ascii="宋体" w:hAnsi="宋体" w:eastAsia="宋体"/>
          <w:b/>
          <w:bCs/>
          <w:sz w:val="28"/>
          <w:szCs w:val="28"/>
        </w:rPr>
      </w:pPr>
      <w:r>
        <w:rPr>
          <w:rFonts w:hint="eastAsia" w:ascii="宋体" w:hAnsi="宋体" w:eastAsia="宋体" w:cs="宋体"/>
          <w:b/>
          <w:bCs/>
          <w:sz w:val="28"/>
          <w:szCs w:val="28"/>
        </w:rPr>
        <w:t>五、本磋商文件需要提供的其他证明材料</w:t>
      </w:r>
      <w:bookmarkEnd w:id="31"/>
    </w:p>
    <w:p>
      <w:pPr>
        <w:jc w:val="center"/>
        <w:rPr>
          <w:rFonts w:ascii="宋体" w:hAnsi="宋体" w:eastAsia="宋体"/>
        </w:rPr>
      </w:pPr>
      <w:r>
        <w:rPr>
          <w:rFonts w:hint="eastAsia" w:ascii="宋体" w:hAnsi="宋体" w:eastAsia="宋体"/>
        </w:rPr>
        <w:br w:type="page"/>
      </w:r>
    </w:p>
    <w:p>
      <w:pPr>
        <w:jc w:val="center"/>
        <w:rPr>
          <w:rFonts w:ascii="宋体" w:hAnsi="宋体" w:eastAsia="宋体" w:cs="宋体"/>
          <w:b/>
          <w:bCs/>
          <w:sz w:val="28"/>
          <w:szCs w:val="28"/>
        </w:rPr>
      </w:pPr>
      <w:r>
        <w:rPr>
          <w:rFonts w:hint="eastAsia" w:ascii="宋体" w:hAnsi="宋体" w:eastAsia="宋体" w:cs="宋体"/>
          <w:b/>
          <w:bCs/>
          <w:sz w:val="28"/>
          <w:szCs w:val="28"/>
        </w:rPr>
        <w:t>六、磋商响应报价表</w:t>
      </w:r>
    </w:p>
    <w:p>
      <w:pPr>
        <w:rPr>
          <w:sz w:val="24"/>
        </w:rPr>
      </w:pPr>
      <w:r>
        <w:rPr>
          <w:rFonts w:hint="eastAsia" w:ascii="宋体" w:hAnsi="宋体" w:cs="宋体"/>
          <w:bCs/>
          <w:kern w:val="0"/>
        </w:rPr>
        <w:t>项</w:t>
      </w:r>
      <w:r>
        <w:rPr>
          <w:rFonts w:hint="eastAsia" w:ascii="宋体" w:hAnsi="宋体" w:cs="宋体"/>
        </w:rPr>
        <w:t>目名称</w:t>
      </w:r>
      <w:r>
        <w:rPr>
          <w:rFonts w:hint="eastAsia"/>
        </w:rPr>
        <w:t>：</w:t>
      </w:r>
      <w:r>
        <w:rPr>
          <w:rFonts w:hint="eastAsia"/>
          <w:u w:val="single"/>
        </w:rPr>
        <w:t xml:space="preserve"> 铜陵学院毕业生就业第三方评价项目 </w:t>
      </w:r>
      <w:r>
        <w:rPr>
          <w:rFonts w:hint="eastAsia"/>
        </w:rPr>
        <w:t xml:space="preserve"> </w:t>
      </w:r>
      <w:r>
        <w:rPr>
          <w:rFonts w:hint="eastAsia" w:ascii="仿宋_GB2312" w:hAnsi="宋体" w:eastAsia="仿宋_GB2312" w:cs="宋体"/>
          <w:bCs/>
          <w:kern w:val="0"/>
          <w:sz w:val="24"/>
        </w:rPr>
        <w:t xml:space="preserve">                           </w:t>
      </w:r>
    </w:p>
    <w:tbl>
      <w:tblPr>
        <w:tblStyle w:val="17"/>
        <w:tblW w:w="9019"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30"/>
        <w:gridCol w:w="2390"/>
        <w:gridCol w:w="964"/>
        <w:gridCol w:w="795"/>
        <w:gridCol w:w="1050"/>
        <w:gridCol w:w="9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5" w:hRule="atLeast"/>
        </w:trPr>
        <w:tc>
          <w:tcPr>
            <w:tcW w:w="28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项目(设备)名称</w:t>
            </w:r>
          </w:p>
        </w:tc>
        <w:tc>
          <w:tcPr>
            <w:tcW w:w="23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lang w:eastAsia="zh-CN"/>
              </w:rPr>
              <w:t>具体</w:t>
            </w:r>
            <w:r>
              <w:rPr>
                <w:rFonts w:hint="eastAsia" w:ascii="宋体" w:hAnsi="宋体" w:cs="宋体"/>
                <w:bCs/>
                <w:kern w:val="0"/>
              </w:rPr>
              <w:t>要求</w:t>
            </w:r>
          </w:p>
        </w:tc>
        <w:tc>
          <w:tcPr>
            <w:tcW w:w="9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计量单位</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数量</w:t>
            </w: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单价</w:t>
            </w:r>
          </w:p>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（每年）</w:t>
            </w:r>
          </w:p>
        </w:tc>
        <w:tc>
          <w:tcPr>
            <w:tcW w:w="9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28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铜陵学院毕业生就业质量年度报告项目</w:t>
            </w:r>
          </w:p>
        </w:tc>
        <w:tc>
          <w:tcPr>
            <w:tcW w:w="23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eastAsia="宋体" w:cs="宋体"/>
                <w:bCs/>
                <w:kern w:val="0"/>
                <w:lang w:eastAsia="zh-CN"/>
              </w:rPr>
            </w:pPr>
            <w:r>
              <w:rPr>
                <w:rFonts w:hint="eastAsia" w:ascii="宋体" w:hAnsi="宋体" w:eastAsia="宋体" w:cs="宋体"/>
                <w:bCs/>
                <w:kern w:val="0"/>
                <w:lang w:eastAsia="zh-CN"/>
              </w:rPr>
              <w:t>详见采购需求</w:t>
            </w:r>
          </w:p>
        </w:tc>
        <w:tc>
          <w:tcPr>
            <w:tcW w:w="9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宋体" w:hAnsi="宋体" w:cs="宋体"/>
                <w:bCs/>
                <w:kern w:val="0"/>
              </w:rPr>
            </w:pPr>
            <w:r>
              <w:rPr>
                <w:rFonts w:hint="eastAsia" w:ascii="宋体" w:hAnsi="宋体" w:cs="宋体"/>
                <w:bCs/>
                <w:kern w:val="0"/>
              </w:rPr>
              <w:t>年</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宋体" w:hAnsi="宋体" w:cs="宋体"/>
                <w:bCs/>
                <w:kern w:val="0"/>
              </w:rPr>
            </w:pPr>
            <w:r>
              <w:rPr>
                <w:rFonts w:hint="eastAsia" w:ascii="宋体" w:hAnsi="宋体" w:cs="宋体"/>
                <w:bCs/>
                <w:kern w:val="0"/>
              </w:rPr>
              <w:t>1</w:t>
            </w: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仿宋_GB2312" w:hAnsi="宋体" w:eastAsia="仿宋_GB2312" w:cs="宋体"/>
                <w:bCs/>
                <w:kern w:val="0"/>
              </w:rPr>
            </w:pPr>
          </w:p>
        </w:tc>
        <w:tc>
          <w:tcPr>
            <w:tcW w:w="9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28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铜陵学院毕业生培养质量中期评价项目</w:t>
            </w:r>
          </w:p>
        </w:tc>
        <w:tc>
          <w:tcPr>
            <w:tcW w:w="23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firstLine="420" w:firstLineChars="200"/>
              <w:rPr>
                <w:rFonts w:hint="eastAsia" w:ascii="宋体" w:hAnsi="宋体" w:eastAsia="宋体" w:cs="宋体"/>
                <w:bCs/>
                <w:kern w:val="0"/>
              </w:rPr>
            </w:pPr>
            <w:r>
              <w:rPr>
                <w:rFonts w:hint="eastAsia" w:ascii="宋体" w:hAnsi="宋体" w:eastAsia="宋体" w:cs="宋体"/>
                <w:bCs/>
                <w:kern w:val="0"/>
                <w:lang w:eastAsia="zh-CN"/>
              </w:rPr>
              <w:t>详见采购需求</w:t>
            </w:r>
          </w:p>
        </w:tc>
        <w:tc>
          <w:tcPr>
            <w:tcW w:w="9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宋体" w:hAnsi="宋体" w:cs="宋体"/>
                <w:bCs/>
                <w:kern w:val="0"/>
              </w:rPr>
            </w:pPr>
            <w:r>
              <w:rPr>
                <w:rFonts w:hint="eastAsia" w:ascii="宋体" w:hAnsi="宋体" w:cs="宋体"/>
                <w:bCs/>
                <w:kern w:val="0"/>
              </w:rPr>
              <w:t>年</w:t>
            </w:r>
          </w:p>
        </w:tc>
        <w:tc>
          <w:tcPr>
            <w:tcW w:w="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宋体" w:hAnsi="宋体" w:cs="宋体"/>
                <w:bCs/>
                <w:kern w:val="0"/>
              </w:rPr>
            </w:pPr>
            <w:r>
              <w:rPr>
                <w:rFonts w:hint="eastAsia" w:ascii="宋体" w:hAnsi="宋体" w:cs="宋体"/>
                <w:bCs/>
                <w:kern w:val="0"/>
              </w:rPr>
              <w:t>1</w:t>
            </w: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仿宋_GB2312" w:hAnsi="宋体" w:eastAsia="仿宋_GB2312" w:cs="宋体"/>
                <w:bCs/>
                <w:kern w:val="0"/>
              </w:rPr>
            </w:pPr>
          </w:p>
        </w:tc>
        <w:tc>
          <w:tcPr>
            <w:tcW w:w="9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560" w:lineRule="exact"/>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901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rPr>
                <w:rFonts w:hint="default" w:ascii="宋体" w:hAnsi="宋体" w:cs="宋体"/>
                <w:bCs/>
                <w:kern w:val="0"/>
              </w:rPr>
            </w:pPr>
            <w:r>
              <w:rPr>
                <w:rFonts w:hint="eastAsia" w:ascii="宋体" w:hAnsi="宋体" w:cs="宋体"/>
                <w:bCs/>
                <w:kern w:val="0"/>
              </w:rPr>
              <w:t>合计（人民币大写）：</w:t>
            </w:r>
            <w:r>
              <w:rPr>
                <w:rFonts w:hint="eastAsia" w:ascii="宋体" w:hAnsi="宋体" w:cs="宋体"/>
                <w:bCs/>
                <w:kern w:val="0"/>
                <w:lang w:val="en-US" w:eastAsia="zh-CN"/>
              </w:rPr>
              <w:t xml:space="preserve">                        </w:t>
            </w:r>
            <w:r>
              <w:rPr>
                <w:rFonts w:hint="eastAsia" w:ascii="宋体" w:hAnsi="宋体" w:cs="宋体"/>
                <w:bCs/>
                <w:kern w:val="0"/>
              </w:rPr>
              <w:t>（人民币小写）：</w:t>
            </w:r>
          </w:p>
        </w:tc>
      </w:tr>
    </w:tbl>
    <w:p>
      <w:pPr>
        <w:spacing w:line="480" w:lineRule="exact"/>
        <w:jc w:val="right"/>
        <w:rPr>
          <w:rFonts w:ascii="宋体" w:hAnsi="宋体" w:eastAsia="宋体" w:cs="宋体"/>
          <w:sz w:val="24"/>
          <w:szCs w:val="24"/>
        </w:rPr>
      </w:pPr>
    </w:p>
    <w:p>
      <w:pPr>
        <w:spacing w:line="480" w:lineRule="exact"/>
        <w:jc w:val="right"/>
        <w:rPr>
          <w:rFonts w:ascii="宋体" w:hAnsi="宋体" w:eastAsia="宋体"/>
          <w:sz w:val="24"/>
          <w:szCs w:val="24"/>
        </w:rPr>
      </w:pPr>
      <w:r>
        <w:rPr>
          <w:rFonts w:hint="eastAsia" w:ascii="宋体" w:hAnsi="宋体" w:eastAsia="宋体" w:cs="宋体"/>
          <w:sz w:val="24"/>
          <w:szCs w:val="24"/>
        </w:rPr>
        <w:t>磋商响应单位名称（公章）：</w:t>
      </w:r>
    </w:p>
    <w:p>
      <w:pPr>
        <w:spacing w:line="480" w:lineRule="exact"/>
        <w:ind w:firstLine="480" w:firstLineChars="200"/>
        <w:jc w:val="right"/>
        <w:rPr>
          <w:rFonts w:ascii="宋体" w:hAnsi="宋体" w:eastAsia="宋体" w:cs="宋体"/>
          <w:sz w:val="24"/>
          <w:szCs w:val="24"/>
        </w:rPr>
      </w:pPr>
    </w:p>
    <w:p>
      <w:pPr>
        <w:spacing w:line="480" w:lineRule="exact"/>
        <w:ind w:firstLine="480" w:firstLineChars="200"/>
        <w:jc w:val="right"/>
        <w:rPr>
          <w:rFonts w:ascii="宋体" w:hAnsi="宋体" w:cs="宋体"/>
        </w:rPr>
      </w:pPr>
      <w:r>
        <w:rPr>
          <w:rFonts w:hint="eastAsia" w:ascii="宋体" w:hAnsi="宋体" w:eastAsia="宋体" w:cs="宋体"/>
          <w:sz w:val="24"/>
          <w:szCs w:val="24"/>
        </w:rPr>
        <w:t>法定代表人或被授权人（签字或盖章）：</w:t>
      </w:r>
    </w:p>
    <w:p>
      <w:pPr>
        <w:spacing w:beforeLines="50" w:line="360" w:lineRule="auto"/>
        <w:rPr>
          <w:rFonts w:ascii="宋体" w:hAnsi="宋体" w:cs="宋体"/>
        </w:rPr>
      </w:pPr>
    </w:p>
    <w:p>
      <w:pPr>
        <w:pStyle w:val="2"/>
      </w:pPr>
    </w:p>
    <w:p>
      <w:pPr>
        <w:jc w:val="center"/>
        <w:rPr>
          <w:rFonts w:ascii="宋体" w:hAnsi="宋体" w:eastAsia="宋体" w:cs="宋体"/>
          <w:b/>
          <w:bCs/>
          <w:sz w:val="28"/>
          <w:szCs w:val="28"/>
        </w:rPr>
      </w:pPr>
      <w:r>
        <w:rPr>
          <w:rFonts w:hint="eastAsia" w:ascii="宋体" w:hAnsi="宋体" w:cs="宋体"/>
          <w:b/>
          <w:bCs/>
          <w:sz w:val="28"/>
          <w:szCs w:val="28"/>
          <w:lang w:eastAsia="zh-CN"/>
        </w:rPr>
        <w:t>七、</w:t>
      </w:r>
      <w:r>
        <w:rPr>
          <w:rFonts w:hint="eastAsia" w:ascii="宋体" w:hAnsi="宋体" w:eastAsia="宋体" w:cs="宋体"/>
          <w:b/>
          <w:bCs/>
          <w:sz w:val="28"/>
          <w:szCs w:val="28"/>
        </w:rPr>
        <w:t>磋商响应</w:t>
      </w:r>
      <w:r>
        <w:rPr>
          <w:rFonts w:hint="eastAsia" w:ascii="宋体" w:hAnsi="宋体" w:cs="宋体"/>
          <w:b/>
          <w:bCs/>
          <w:sz w:val="28"/>
          <w:szCs w:val="28"/>
          <w:lang w:eastAsia="zh-CN"/>
        </w:rPr>
        <w:t>最终</w:t>
      </w:r>
      <w:r>
        <w:rPr>
          <w:rFonts w:hint="eastAsia" w:ascii="宋体" w:hAnsi="宋体" w:eastAsia="宋体" w:cs="宋体"/>
          <w:b/>
          <w:bCs/>
          <w:sz w:val="28"/>
          <w:szCs w:val="28"/>
        </w:rPr>
        <w:t>报价表</w:t>
      </w:r>
    </w:p>
    <w:p>
      <w:pPr>
        <w:rPr>
          <w:sz w:val="24"/>
        </w:rPr>
      </w:pPr>
      <w:r>
        <w:rPr>
          <w:rFonts w:hint="eastAsia" w:ascii="宋体" w:hAnsi="宋体" w:cs="宋体"/>
          <w:bCs/>
          <w:kern w:val="0"/>
        </w:rPr>
        <w:t>项</w:t>
      </w:r>
      <w:r>
        <w:rPr>
          <w:rFonts w:hint="eastAsia" w:ascii="宋体" w:hAnsi="宋体" w:cs="宋体"/>
        </w:rPr>
        <w:t>目名称</w:t>
      </w:r>
      <w:r>
        <w:rPr>
          <w:rFonts w:hint="eastAsia"/>
        </w:rPr>
        <w:t>：</w:t>
      </w:r>
      <w:r>
        <w:rPr>
          <w:rFonts w:hint="eastAsia"/>
          <w:u w:val="single"/>
        </w:rPr>
        <w:t xml:space="preserve"> 铜陵学院毕业生就业第三方评价项目 </w:t>
      </w:r>
      <w:r>
        <w:rPr>
          <w:rFonts w:hint="eastAsia"/>
        </w:rPr>
        <w:t xml:space="preserve"> </w:t>
      </w:r>
      <w:r>
        <w:rPr>
          <w:rFonts w:hint="eastAsia" w:ascii="仿宋_GB2312" w:hAnsi="宋体" w:eastAsia="仿宋_GB2312" w:cs="宋体"/>
          <w:bCs/>
          <w:kern w:val="0"/>
          <w:sz w:val="24"/>
        </w:rPr>
        <w:t xml:space="preserve">                           </w:t>
      </w:r>
    </w:p>
    <w:tbl>
      <w:tblPr>
        <w:tblStyle w:val="17"/>
        <w:tblW w:w="9019"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30"/>
        <w:gridCol w:w="2232"/>
        <w:gridCol w:w="1212"/>
        <w:gridCol w:w="705"/>
        <w:gridCol w:w="1050"/>
        <w:gridCol w:w="9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5" w:hRule="atLeast"/>
        </w:trPr>
        <w:tc>
          <w:tcPr>
            <w:tcW w:w="28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项目(设备)名称</w:t>
            </w:r>
          </w:p>
        </w:tc>
        <w:tc>
          <w:tcPr>
            <w:tcW w:w="223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lang w:eastAsia="zh-CN"/>
              </w:rPr>
              <w:t>具体</w:t>
            </w:r>
            <w:r>
              <w:rPr>
                <w:rFonts w:hint="eastAsia" w:ascii="宋体" w:hAnsi="宋体" w:cs="宋体"/>
                <w:bCs/>
                <w:kern w:val="0"/>
              </w:rPr>
              <w:t>要求</w:t>
            </w:r>
          </w:p>
        </w:tc>
        <w:tc>
          <w:tcPr>
            <w:tcW w:w="12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both"/>
              <w:rPr>
                <w:rFonts w:hint="default" w:ascii="宋体" w:hAnsi="宋体" w:cs="宋体"/>
                <w:bCs/>
                <w:kern w:val="0"/>
              </w:rPr>
            </w:pPr>
            <w:r>
              <w:rPr>
                <w:rFonts w:hint="eastAsia" w:ascii="宋体" w:hAnsi="宋体" w:cs="宋体"/>
                <w:bCs/>
                <w:kern w:val="0"/>
              </w:rPr>
              <w:t>计量单位</w:t>
            </w:r>
          </w:p>
        </w:tc>
        <w:tc>
          <w:tcPr>
            <w:tcW w:w="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数量</w:t>
            </w: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单价</w:t>
            </w:r>
          </w:p>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（每年）</w:t>
            </w:r>
          </w:p>
        </w:tc>
        <w:tc>
          <w:tcPr>
            <w:tcW w:w="9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28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铜陵学院毕业生就业质量年度报告项目</w:t>
            </w:r>
          </w:p>
        </w:tc>
        <w:tc>
          <w:tcPr>
            <w:tcW w:w="223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eastAsia="宋体" w:cs="宋体"/>
                <w:bCs/>
                <w:kern w:val="0"/>
                <w:lang w:eastAsia="zh-CN"/>
              </w:rPr>
            </w:pPr>
            <w:r>
              <w:rPr>
                <w:rFonts w:hint="eastAsia" w:ascii="宋体" w:hAnsi="宋体" w:eastAsia="宋体" w:cs="宋体"/>
                <w:bCs/>
                <w:kern w:val="0"/>
                <w:lang w:eastAsia="zh-CN"/>
              </w:rPr>
              <w:t>详见采购需求</w:t>
            </w:r>
          </w:p>
        </w:tc>
        <w:tc>
          <w:tcPr>
            <w:tcW w:w="12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宋体" w:hAnsi="宋体" w:cs="宋体"/>
                <w:bCs/>
                <w:kern w:val="0"/>
              </w:rPr>
            </w:pPr>
            <w:r>
              <w:rPr>
                <w:rFonts w:hint="eastAsia" w:ascii="宋体" w:hAnsi="宋体" w:cs="宋体"/>
                <w:bCs/>
                <w:kern w:val="0"/>
              </w:rPr>
              <w:t>年</w:t>
            </w:r>
          </w:p>
        </w:tc>
        <w:tc>
          <w:tcPr>
            <w:tcW w:w="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宋体" w:hAnsi="宋体" w:cs="宋体"/>
                <w:bCs/>
                <w:kern w:val="0"/>
              </w:rPr>
            </w:pPr>
            <w:r>
              <w:rPr>
                <w:rFonts w:hint="eastAsia" w:ascii="宋体" w:hAnsi="宋体" w:cs="宋体"/>
                <w:bCs/>
                <w:kern w:val="0"/>
              </w:rPr>
              <w:t>1</w:t>
            </w: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仿宋_GB2312" w:hAnsi="宋体" w:eastAsia="仿宋_GB2312" w:cs="宋体"/>
                <w:bCs/>
                <w:kern w:val="0"/>
              </w:rPr>
            </w:pPr>
          </w:p>
        </w:tc>
        <w:tc>
          <w:tcPr>
            <w:tcW w:w="9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0" w:hRule="atLeast"/>
        </w:trPr>
        <w:tc>
          <w:tcPr>
            <w:tcW w:w="28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kern w:val="0"/>
              </w:rPr>
            </w:pPr>
            <w:r>
              <w:rPr>
                <w:rFonts w:hint="eastAsia" w:ascii="宋体" w:hAnsi="宋体" w:cs="宋体"/>
                <w:bCs/>
                <w:kern w:val="0"/>
              </w:rPr>
              <w:t>铜陵学院毕业生培养质量中期评价项目</w:t>
            </w:r>
          </w:p>
        </w:tc>
        <w:tc>
          <w:tcPr>
            <w:tcW w:w="2232"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firstLine="420" w:firstLineChars="200"/>
              <w:rPr>
                <w:rFonts w:hint="eastAsia" w:ascii="宋体" w:hAnsi="宋体" w:eastAsia="宋体" w:cs="宋体"/>
                <w:bCs/>
                <w:kern w:val="0"/>
              </w:rPr>
            </w:pPr>
            <w:r>
              <w:rPr>
                <w:rFonts w:hint="eastAsia" w:ascii="宋体" w:hAnsi="宋体" w:eastAsia="宋体" w:cs="宋体"/>
                <w:bCs/>
                <w:kern w:val="0"/>
                <w:lang w:eastAsia="zh-CN"/>
              </w:rPr>
              <w:t>详见采购需求</w:t>
            </w:r>
          </w:p>
        </w:tc>
        <w:tc>
          <w:tcPr>
            <w:tcW w:w="12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宋体" w:hAnsi="宋体" w:cs="宋体"/>
                <w:bCs/>
                <w:kern w:val="0"/>
              </w:rPr>
            </w:pPr>
            <w:r>
              <w:rPr>
                <w:rFonts w:hint="eastAsia" w:ascii="宋体" w:hAnsi="宋体" w:cs="宋体"/>
                <w:bCs/>
                <w:kern w:val="0"/>
              </w:rPr>
              <w:t>年</w:t>
            </w:r>
          </w:p>
        </w:tc>
        <w:tc>
          <w:tcPr>
            <w:tcW w:w="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宋体" w:hAnsi="宋体" w:cs="宋体"/>
                <w:bCs/>
                <w:kern w:val="0"/>
              </w:rPr>
            </w:pPr>
            <w:r>
              <w:rPr>
                <w:rFonts w:hint="eastAsia" w:ascii="宋体" w:hAnsi="宋体" w:cs="宋体"/>
                <w:bCs/>
                <w:kern w:val="0"/>
              </w:rPr>
              <w:t>1</w:t>
            </w:r>
          </w:p>
        </w:tc>
        <w:tc>
          <w:tcPr>
            <w:tcW w:w="10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jc w:val="center"/>
              <w:rPr>
                <w:rFonts w:hint="default" w:ascii="仿宋_GB2312" w:hAnsi="宋体" w:eastAsia="仿宋_GB2312" w:cs="宋体"/>
                <w:bCs/>
                <w:kern w:val="0"/>
              </w:rPr>
            </w:pPr>
          </w:p>
        </w:tc>
        <w:tc>
          <w:tcPr>
            <w:tcW w:w="99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adjustRightInd w:val="0"/>
              <w:snapToGrid w:val="0"/>
              <w:spacing w:before="0" w:beforeAutospacing="0" w:after="0" w:afterAutospacing="0" w:line="560" w:lineRule="exact"/>
              <w:ind w:left="0" w:right="0"/>
              <w:jc w:val="center"/>
              <w:rPr>
                <w:rFonts w:hint="default" w:ascii="仿宋_GB2312" w:hAnsi="宋体" w:eastAsia="仿宋_GB2312" w:cs="宋体"/>
                <w:bCs/>
                <w:kern w:val="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9019"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560" w:lineRule="exact"/>
              <w:ind w:left="0" w:right="0"/>
              <w:rPr>
                <w:rFonts w:hint="default" w:ascii="宋体" w:hAnsi="宋体" w:cs="宋体"/>
                <w:bCs/>
                <w:kern w:val="0"/>
              </w:rPr>
            </w:pPr>
            <w:r>
              <w:rPr>
                <w:rFonts w:hint="eastAsia" w:ascii="宋体" w:hAnsi="宋体" w:cs="宋体"/>
                <w:bCs/>
                <w:kern w:val="0"/>
              </w:rPr>
              <w:t>合计（人民币大写）：</w:t>
            </w:r>
            <w:r>
              <w:rPr>
                <w:rFonts w:hint="eastAsia" w:ascii="宋体" w:hAnsi="宋体" w:cs="宋体"/>
                <w:bCs/>
                <w:kern w:val="0"/>
                <w:lang w:val="en-US" w:eastAsia="zh-CN"/>
              </w:rPr>
              <w:t xml:space="preserve">                           </w:t>
            </w:r>
            <w:r>
              <w:rPr>
                <w:rFonts w:hint="eastAsia" w:ascii="宋体" w:hAnsi="宋体" w:cs="宋体"/>
                <w:bCs/>
                <w:kern w:val="0"/>
              </w:rPr>
              <w:t xml:space="preserve">   （人民币小写）：</w:t>
            </w:r>
          </w:p>
        </w:tc>
      </w:tr>
    </w:tbl>
    <w:p>
      <w:pPr>
        <w:widowControl w:val="0"/>
        <w:bidi w:val="0"/>
        <w:spacing w:after="120" w:line="360" w:lineRule="auto"/>
        <w:jc w:val="left"/>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注：1.因新冠肺炎疫情防控要求，供应商不参加开标。</w:t>
      </w:r>
    </w:p>
    <w:p>
      <w:pPr>
        <w:numPr>
          <w:ilvl w:val="0"/>
          <w:numId w:val="5"/>
        </w:numPr>
        <w:spacing w:line="360" w:lineRule="auto"/>
        <w:jc w:val="left"/>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磋商小组在评标现场在采购人纪委相关人员监督下通过电话形式要求所有继续参加磋商的供应商在规定的时间内提交最后报价，请供应商保持电话畅通，如无法接通则视同保持原价格不变。</w:t>
      </w:r>
    </w:p>
    <w:p>
      <w:pPr>
        <w:numPr>
          <w:ilvl w:val="0"/>
          <w:numId w:val="0"/>
        </w:numPr>
        <w:spacing w:line="480" w:lineRule="exact"/>
        <w:jc w:val="left"/>
        <w:rPr>
          <w:rFonts w:hint="eastAsia" w:ascii="宋体" w:hAnsi="宋体" w:eastAsia="宋体" w:cs="宋体"/>
          <w:sz w:val="24"/>
          <w:szCs w:val="24"/>
        </w:rPr>
      </w:pPr>
    </w:p>
    <w:p>
      <w:pPr>
        <w:numPr>
          <w:ilvl w:val="0"/>
          <w:numId w:val="0"/>
        </w:numPr>
        <w:spacing w:line="480" w:lineRule="exact"/>
        <w:jc w:val="left"/>
        <w:rPr>
          <w:rFonts w:ascii="宋体" w:hAnsi="宋体" w:cs="宋体"/>
        </w:rPr>
      </w:pPr>
      <w:r>
        <w:rPr>
          <w:rFonts w:hint="eastAsia" w:ascii="宋体" w:hAnsi="宋体" w:eastAsia="宋体" w:cs="宋体"/>
          <w:sz w:val="24"/>
          <w:szCs w:val="24"/>
        </w:rPr>
        <w:t>磋商响应单位名称（公章）：</w:t>
      </w:r>
      <w:r>
        <w:rPr>
          <w:rFonts w:hint="eastAsia" w:ascii="宋体" w:hAnsi="宋体" w:cs="宋体"/>
          <w:sz w:val="24"/>
          <w:szCs w:val="24"/>
          <w:lang w:val="en-US" w:eastAsia="zh-CN"/>
        </w:rPr>
        <w:t xml:space="preserve">        </w:t>
      </w:r>
      <w:r>
        <w:rPr>
          <w:rFonts w:hint="eastAsia" w:ascii="宋体" w:hAnsi="宋体" w:eastAsia="宋体" w:cs="宋体"/>
          <w:sz w:val="24"/>
          <w:szCs w:val="24"/>
        </w:rPr>
        <w:t>法定代表人或被授权人（签字或盖章）：</w:t>
      </w:r>
    </w:p>
    <w:p>
      <w:pPr>
        <w:spacing w:beforeLines="50" w:line="360" w:lineRule="auto"/>
        <w:rPr>
          <w:rFonts w:ascii="宋体" w:hAnsi="宋体" w:cs="宋体"/>
        </w:rPr>
      </w:pPr>
    </w:p>
    <w:p>
      <w:pPr>
        <w:pStyle w:val="3"/>
      </w:pPr>
    </w:p>
    <w:p>
      <w:pPr>
        <w:spacing w:beforeLines="50" w:line="360" w:lineRule="auto"/>
        <w:rPr>
          <w:rFonts w:ascii="宋体" w:hAnsi="宋体" w:cs="宋体"/>
        </w:rPr>
      </w:pPr>
      <w:r>
        <w:rPr>
          <w:rFonts w:hint="eastAsia" w:ascii="宋体" w:hAnsi="宋体" w:cs="宋体"/>
        </w:rPr>
        <w:t>附件一：</w:t>
      </w:r>
    </w:p>
    <w:p>
      <w:pPr>
        <w:spacing w:beforeLines="50" w:line="360" w:lineRule="auto"/>
        <w:jc w:val="center"/>
        <w:rPr>
          <w:rFonts w:ascii="宋体" w:hAnsi="宋体"/>
          <w:b/>
          <w:sz w:val="32"/>
          <w:szCs w:val="32"/>
        </w:rPr>
      </w:pPr>
      <w:r>
        <w:rPr>
          <w:rFonts w:hint="eastAsia" w:ascii="宋体" w:hAnsi="宋体"/>
          <w:b/>
          <w:sz w:val="32"/>
          <w:szCs w:val="32"/>
        </w:rPr>
        <w:t>铜陵学院毕业生就业质量年度报告大纲（参考格式）</w:t>
      </w:r>
    </w:p>
    <w:p>
      <w:pPr>
        <w:outlineLvl w:val="0"/>
        <w:rPr>
          <w:rFonts w:ascii="宋体" w:hAnsi="宋体"/>
          <w:b/>
          <w:bCs/>
        </w:rPr>
      </w:pPr>
      <w:r>
        <w:rPr>
          <w:rFonts w:hint="eastAsia" w:ascii="宋体" w:hAnsi="宋体"/>
          <w:b/>
          <w:bCs/>
        </w:rPr>
        <w:t>学校概况</w:t>
      </w:r>
    </w:p>
    <w:p>
      <w:pPr>
        <w:outlineLvl w:val="0"/>
        <w:rPr>
          <w:rFonts w:ascii="宋体" w:hAnsi="宋体"/>
          <w:b/>
          <w:bCs/>
        </w:rPr>
      </w:pPr>
      <w:r>
        <w:rPr>
          <w:rFonts w:hint="eastAsia" w:ascii="宋体" w:hAnsi="宋体"/>
          <w:b/>
          <w:bCs/>
        </w:rPr>
        <w:t>报告说明</w:t>
      </w:r>
    </w:p>
    <w:p>
      <w:pPr>
        <w:outlineLvl w:val="0"/>
        <w:rPr>
          <w:rFonts w:ascii="宋体" w:hAnsi="宋体"/>
          <w:b/>
          <w:bCs/>
        </w:rPr>
      </w:pPr>
      <w:r>
        <w:rPr>
          <w:rFonts w:hint="eastAsia" w:ascii="宋体" w:hAnsi="宋体"/>
          <w:b/>
          <w:bCs/>
        </w:rPr>
        <w:t>总体</w:t>
      </w:r>
      <w:r>
        <w:rPr>
          <w:rFonts w:ascii="宋体" w:hAnsi="宋体"/>
          <w:b/>
          <w:bCs/>
        </w:rPr>
        <w:t>结论</w:t>
      </w:r>
    </w:p>
    <w:p>
      <w:pPr>
        <w:outlineLvl w:val="0"/>
        <w:rPr>
          <w:rFonts w:ascii="宋体" w:hAnsi="宋体"/>
          <w:b/>
        </w:rPr>
      </w:pPr>
      <w:r>
        <w:fldChar w:fldCharType="begin"/>
      </w:r>
      <w:r>
        <w:instrText xml:space="preserve"> HYPERLINK \l "_Toc397169494" </w:instrText>
      </w:r>
      <w:r>
        <w:fldChar w:fldCharType="separate"/>
      </w:r>
      <w:r>
        <w:rPr>
          <w:rFonts w:hint="eastAsia" w:ascii="宋体" w:hAnsi="宋体"/>
          <w:b/>
          <w:bCs/>
        </w:rPr>
        <w:t>第一篇：毕业生就业基本情况</w:t>
      </w:r>
      <w:r>
        <w:rPr>
          <w:rFonts w:hint="eastAsia" w:ascii="宋体" w:hAnsi="宋体"/>
          <w:b/>
          <w:bCs/>
        </w:rPr>
        <w:fldChar w:fldCharType="end"/>
      </w:r>
    </w:p>
    <w:p>
      <w:pPr>
        <w:ind w:left="420" w:leftChars="200"/>
        <w:rPr>
          <w:rFonts w:ascii="Calibri" w:hAnsi="Calibri"/>
        </w:rPr>
      </w:pPr>
      <w:r>
        <w:fldChar w:fldCharType="begin"/>
      </w:r>
      <w:r>
        <w:instrText xml:space="preserve"> HYPERLINK \l "_Toc397169495" </w:instrText>
      </w:r>
      <w:r>
        <w:fldChar w:fldCharType="separate"/>
      </w:r>
      <w:r>
        <w:rPr>
          <w:rFonts w:hint="eastAsia" w:ascii="宋体" w:hAnsi="宋体"/>
          <w:b/>
        </w:rPr>
        <w:t>一、毕业生的规模</w:t>
      </w:r>
      <w:r>
        <w:rPr>
          <w:rFonts w:hint="eastAsia" w:ascii="宋体" w:hAnsi="宋体"/>
          <w:b/>
        </w:rPr>
        <w:fldChar w:fldCharType="end"/>
      </w:r>
      <w:r>
        <w:rPr>
          <w:rFonts w:hint="eastAsia" w:ascii="宋体" w:hAnsi="宋体"/>
          <w:b/>
        </w:rPr>
        <w:t>和</w:t>
      </w:r>
      <w:r>
        <w:rPr>
          <w:rFonts w:ascii="宋体" w:hAnsi="宋体"/>
          <w:b/>
        </w:rPr>
        <w:t>结构</w:t>
      </w:r>
    </w:p>
    <w:p>
      <w:pPr>
        <w:ind w:left="420" w:leftChars="200" w:firstLine="480"/>
        <w:rPr>
          <w:rFonts w:ascii="宋体" w:hAnsi="宋体"/>
        </w:rPr>
      </w:pPr>
      <w:r>
        <w:rPr>
          <w:rFonts w:hint="eastAsia" w:ascii="宋体" w:hAnsi="宋体"/>
        </w:rPr>
        <w:t>（一）总体规模（柱形图）</w:t>
      </w:r>
    </w:p>
    <w:p>
      <w:pPr>
        <w:tabs>
          <w:tab w:val="left" w:pos="6825"/>
        </w:tabs>
        <w:ind w:left="420" w:leftChars="200" w:firstLine="480"/>
        <w:rPr>
          <w:rFonts w:ascii="宋体" w:hAnsi="宋体"/>
        </w:rPr>
      </w:pPr>
      <w:r>
        <w:fldChar w:fldCharType="begin"/>
      </w:r>
      <w:r>
        <w:instrText xml:space="preserve"> HYPERLINK \l "_Toc397169497" </w:instrText>
      </w:r>
      <w:r>
        <w:fldChar w:fldCharType="separate"/>
      </w:r>
      <w:r>
        <w:rPr>
          <w:rFonts w:hint="eastAsia" w:ascii="宋体" w:hAnsi="宋体"/>
        </w:rPr>
        <w:t>（二）结构</w:t>
      </w:r>
      <w:r>
        <w:rPr>
          <w:rFonts w:hint="eastAsia" w:ascii="宋体" w:hAnsi="宋体"/>
        </w:rPr>
        <w:fldChar w:fldCharType="end"/>
      </w:r>
      <w:r>
        <w:rPr>
          <w:rFonts w:ascii="宋体" w:hAnsi="宋体"/>
        </w:rPr>
        <w:t>分布</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ascii="Calibri" w:hAnsi="Calibri"/>
        </w:rPr>
        <w:t>1</w:t>
      </w:r>
      <w:r>
        <w:rPr>
          <w:rFonts w:hint="eastAsia" w:ascii="Calibri" w:hAnsi="Calibri"/>
        </w:rPr>
        <w:t>.</w:t>
      </w:r>
      <w:r>
        <w:rPr>
          <w:rFonts w:hint="eastAsia" w:ascii="Calibri" w:hAnsi="Calibri"/>
        </w:rPr>
        <w:fldChar w:fldCharType="end"/>
      </w:r>
      <w:r>
        <w:rPr>
          <w:rFonts w:hint="eastAsia" w:ascii="Calibri" w:hAnsi="Calibri"/>
        </w:rPr>
        <w:t>院系结构（表格）</w:t>
      </w:r>
    </w:p>
    <w:p>
      <w:pPr>
        <w:ind w:left="420" w:leftChars="200" w:firstLine="840" w:firstLineChars="400"/>
        <w:rPr>
          <w:rFonts w:ascii="Calibri" w:hAnsi="Calibri"/>
        </w:rPr>
      </w:pPr>
      <w:r>
        <w:rPr>
          <w:rFonts w:ascii="Calibri" w:hAnsi="Calibri"/>
        </w:rPr>
        <w:t>2</w:t>
      </w:r>
      <w:r>
        <w:rPr>
          <w:rFonts w:hint="eastAsia" w:ascii="Calibri" w:hAnsi="Calibri"/>
        </w:rPr>
        <w:t>.性别结构（表格）</w:t>
      </w:r>
    </w:p>
    <w:p>
      <w:pPr>
        <w:ind w:left="420" w:leftChars="200" w:firstLine="840" w:firstLineChars="400"/>
        <w:rPr>
          <w:rFonts w:ascii="Calibri" w:hAnsi="Calibri"/>
        </w:rPr>
      </w:pPr>
      <w:r>
        <w:rPr>
          <w:rFonts w:hint="eastAsia" w:ascii="Calibri" w:hAnsi="Calibri"/>
        </w:rPr>
        <w:t>3.生源结构（表格）</w:t>
      </w:r>
    </w:p>
    <w:p>
      <w:pPr>
        <w:ind w:left="420" w:leftChars="200"/>
        <w:rPr>
          <w:rFonts w:ascii="Calibri" w:hAnsi="Calibri"/>
        </w:rPr>
      </w:pPr>
      <w:r>
        <w:fldChar w:fldCharType="begin"/>
      </w:r>
      <w:r>
        <w:instrText xml:space="preserve"> HYPERLINK \l "_Toc397169502" </w:instrText>
      </w:r>
      <w:r>
        <w:fldChar w:fldCharType="separate"/>
      </w:r>
      <w:r>
        <w:rPr>
          <w:rFonts w:hint="eastAsia" w:ascii="宋体" w:hAnsi="宋体"/>
          <w:b/>
        </w:rPr>
        <w:t>二、就业率</w:t>
      </w:r>
      <w:r>
        <w:rPr>
          <w:rFonts w:hint="eastAsia" w:ascii="宋体" w:hAnsi="宋体"/>
          <w:b/>
        </w:rPr>
        <w:fldChar w:fldCharType="end"/>
      </w:r>
      <w:r>
        <w:rPr>
          <w:rFonts w:hint="eastAsia" w:ascii="宋体" w:hAnsi="宋体"/>
          <w:b/>
        </w:rPr>
        <w:t>及</w:t>
      </w:r>
      <w:r>
        <w:rPr>
          <w:rFonts w:ascii="宋体" w:hAnsi="宋体"/>
          <w:b/>
        </w:rPr>
        <w:t>毕业去向</w:t>
      </w:r>
    </w:p>
    <w:p>
      <w:pPr>
        <w:ind w:left="480" w:firstLine="480"/>
        <w:rPr>
          <w:rFonts w:ascii="宋体" w:hAnsi="宋体"/>
        </w:rPr>
      </w:pPr>
      <w:r>
        <w:rPr>
          <w:rFonts w:hint="eastAsia" w:ascii="宋体" w:hAnsi="宋体"/>
        </w:rPr>
        <w:t>（一</w:t>
      </w:r>
      <w:r>
        <w:rPr>
          <w:rFonts w:ascii="Calibri" w:hAnsi="Calibri"/>
        </w:rPr>
        <w:t>）总体</w:t>
      </w:r>
      <w:r>
        <w:rPr>
          <w:rFonts w:hint="eastAsia" w:ascii="Calibri" w:hAnsi="Calibri"/>
        </w:rPr>
        <w:t>就业率及</w:t>
      </w:r>
      <w:r>
        <w:rPr>
          <w:rFonts w:ascii="Calibri" w:hAnsi="Calibri"/>
        </w:rPr>
        <w:t>毕业去向</w:t>
      </w:r>
      <w:r>
        <w:rPr>
          <w:rFonts w:hint="eastAsia" w:ascii="宋体" w:hAnsi="宋体"/>
        </w:rPr>
        <w:t>（客观数据</w:t>
      </w:r>
      <w:r>
        <w:rPr>
          <w:rFonts w:ascii="宋体" w:hAnsi="宋体"/>
        </w:rPr>
        <w:t>）</w:t>
      </w:r>
    </w:p>
    <w:p>
      <w:pPr>
        <w:ind w:left="480" w:firstLine="840" w:firstLineChars="400"/>
        <w:rPr>
          <w:rFonts w:ascii="Calibri" w:hAnsi="Calibri"/>
        </w:rPr>
      </w:pPr>
      <w:r>
        <w:rPr>
          <w:rFonts w:hint="eastAsia" w:ascii="Calibri" w:hAnsi="Calibri"/>
        </w:rPr>
        <w:t>1.就业率</w:t>
      </w:r>
      <w:r>
        <w:rPr>
          <w:rFonts w:hint="eastAsia" w:ascii="宋体" w:hAnsi="宋体"/>
        </w:rPr>
        <w:t>（柱形图）</w:t>
      </w:r>
    </w:p>
    <w:p>
      <w:pPr>
        <w:ind w:left="480" w:firstLine="840" w:firstLineChars="400"/>
        <w:rPr>
          <w:rFonts w:ascii="Calibri" w:hAnsi="Calibri"/>
        </w:rPr>
      </w:pPr>
      <w:r>
        <w:rPr>
          <w:rFonts w:hint="eastAsia" w:ascii="Calibri" w:hAnsi="Calibri"/>
        </w:rPr>
        <w:t>2.毕业去向（表格）</w:t>
      </w:r>
    </w:p>
    <w:p>
      <w:pPr>
        <w:ind w:left="480" w:firstLine="480"/>
        <w:rPr>
          <w:rFonts w:ascii="宋体" w:hAnsi="宋体"/>
        </w:rPr>
      </w:pPr>
      <w:r>
        <w:rPr>
          <w:rFonts w:hint="eastAsia" w:ascii="宋体" w:hAnsi="宋体"/>
        </w:rPr>
        <w:t>（二</w:t>
      </w:r>
      <w:r>
        <w:rPr>
          <w:rFonts w:ascii="Calibri" w:hAnsi="Calibri"/>
        </w:rPr>
        <w:t>）</w:t>
      </w:r>
      <w:r>
        <w:rPr>
          <w:rFonts w:hint="eastAsia" w:ascii="Calibri" w:hAnsi="Calibri"/>
        </w:rPr>
        <w:t>各院系/专业的就业率</w:t>
      </w:r>
      <w:r>
        <w:rPr>
          <w:rFonts w:hint="eastAsia" w:ascii="宋体" w:hAnsi="宋体"/>
        </w:rPr>
        <w:t>（客观数据</w:t>
      </w:r>
      <w:r>
        <w:rPr>
          <w:rFonts w:ascii="宋体" w:hAnsi="宋体"/>
        </w:rPr>
        <w:t>）</w:t>
      </w:r>
    </w:p>
    <w:p>
      <w:pPr>
        <w:ind w:left="480" w:firstLine="840" w:firstLineChars="400"/>
        <w:rPr>
          <w:rFonts w:ascii="Calibri" w:hAnsi="Calibri"/>
        </w:rPr>
      </w:pPr>
      <w:r>
        <w:rPr>
          <w:rFonts w:hint="eastAsia" w:ascii="Calibri" w:hAnsi="Calibri"/>
        </w:rPr>
        <w:t>1.各院系就业率（条形图）</w:t>
      </w:r>
    </w:p>
    <w:p>
      <w:pPr>
        <w:ind w:left="480" w:firstLine="840" w:firstLineChars="400"/>
        <w:rPr>
          <w:rFonts w:ascii="Calibri" w:hAnsi="Calibri"/>
        </w:rPr>
      </w:pPr>
      <w:r>
        <w:rPr>
          <w:rFonts w:hint="eastAsia" w:ascii="Calibri" w:hAnsi="Calibri"/>
        </w:rPr>
        <w:t>2.各专业就业率</w:t>
      </w:r>
      <w:r>
        <w:rPr>
          <w:rFonts w:ascii="Calibri" w:hAnsi="Calibri"/>
        </w:rPr>
        <w:t>（表格</w:t>
      </w:r>
      <w:r>
        <w:rPr>
          <w:rFonts w:hint="eastAsia" w:ascii="Calibri" w:hAnsi="Calibri"/>
        </w:rPr>
        <w:t>）</w:t>
      </w:r>
    </w:p>
    <w:p>
      <w:pPr>
        <w:ind w:left="420" w:leftChars="200" w:firstLine="480"/>
        <w:rPr>
          <w:rFonts w:ascii="宋体" w:hAnsi="宋体"/>
        </w:rPr>
      </w:pPr>
      <w:r>
        <w:rPr>
          <w:rFonts w:hint="eastAsia" w:ascii="宋体" w:hAnsi="宋体"/>
        </w:rPr>
        <w:t>（三</w:t>
      </w:r>
      <w:r>
        <w:rPr>
          <w:rFonts w:ascii="宋体" w:hAnsi="宋体"/>
        </w:rPr>
        <w:t>）</w:t>
      </w:r>
      <w:r>
        <w:rPr>
          <w:rFonts w:hint="eastAsia" w:ascii="宋体" w:hAnsi="宋体"/>
        </w:rPr>
        <w:t>未就业分析（条形图</w:t>
      </w:r>
      <w:r>
        <w:rPr>
          <w:rFonts w:ascii="宋体" w:hAnsi="宋体"/>
        </w:rPr>
        <w:t>）</w:t>
      </w:r>
      <w:r>
        <w:rPr>
          <w:rFonts w:hint="eastAsia" w:ascii="宋体" w:hAnsi="宋体"/>
        </w:rPr>
        <w:t>（调研数据）</w:t>
      </w:r>
    </w:p>
    <w:p>
      <w:pPr>
        <w:ind w:left="420" w:leftChars="200"/>
        <w:rPr>
          <w:rFonts w:ascii="宋体" w:hAnsi="宋体"/>
          <w:b/>
        </w:rPr>
      </w:pPr>
      <w:r>
        <w:fldChar w:fldCharType="begin"/>
      </w:r>
      <w:r>
        <w:instrText xml:space="preserve"> HYPERLINK \l "_Toc397169510" </w:instrText>
      </w:r>
      <w:r>
        <w:fldChar w:fldCharType="separate"/>
      </w:r>
      <w:r>
        <w:rPr>
          <w:rFonts w:hint="eastAsia" w:ascii="宋体" w:hAnsi="宋体"/>
          <w:b/>
        </w:rPr>
        <w:t>三、就业流向</w:t>
      </w:r>
      <w:r>
        <w:rPr>
          <w:rFonts w:hint="eastAsia" w:ascii="宋体" w:hAnsi="宋体"/>
          <w:b/>
        </w:rPr>
        <w:fldChar w:fldCharType="end"/>
      </w:r>
    </w:p>
    <w:p>
      <w:pPr>
        <w:tabs>
          <w:tab w:val="left" w:pos="7140"/>
        </w:tabs>
        <w:ind w:left="840" w:leftChars="400"/>
        <w:rPr>
          <w:rFonts w:ascii="Calibri" w:hAnsi="Calibri"/>
        </w:rPr>
      </w:pPr>
      <w:r>
        <w:rPr>
          <w:rFonts w:hint="eastAsia" w:ascii="Calibri" w:hAnsi="Calibri"/>
        </w:rPr>
        <w:t>（一）就业</w:t>
      </w:r>
      <w:r>
        <w:fldChar w:fldCharType="begin"/>
      </w:r>
      <w:r>
        <w:instrText xml:space="preserve"> HYPERLINK \l "_Toc397169511" </w:instrText>
      </w:r>
      <w:r>
        <w:fldChar w:fldCharType="separate"/>
      </w:r>
      <w:r>
        <w:rPr>
          <w:rFonts w:hint="eastAsia" w:ascii="Calibri" w:hAnsi="Calibri"/>
        </w:rPr>
        <w:t>地区分布</w:t>
      </w:r>
      <w:r>
        <w:rPr>
          <w:rFonts w:hint="eastAsia" w:ascii="Calibri" w:hAnsi="Calibri"/>
        </w:rPr>
        <w:fldChar w:fldCharType="end"/>
      </w:r>
      <w:r>
        <w:rPr>
          <w:rFonts w:hint="eastAsia" w:ascii="Calibri" w:hAnsi="Calibri"/>
        </w:rPr>
        <w:t>（客观数据）</w:t>
      </w:r>
    </w:p>
    <w:p>
      <w:pPr>
        <w:ind w:firstLine="1119" w:firstLineChars="533"/>
        <w:rPr>
          <w:rFonts w:ascii="Calibri" w:hAnsi="Calibri"/>
        </w:rPr>
      </w:pPr>
      <w:r>
        <w:rPr>
          <w:rFonts w:hint="eastAsia" w:ascii="Calibri" w:hAnsi="Calibri"/>
        </w:rPr>
        <w:t>1</w:t>
      </w:r>
      <w:r>
        <w:rPr>
          <w:rFonts w:ascii="Calibri" w:hAnsi="Calibri"/>
        </w:rPr>
        <w:t>.</w:t>
      </w:r>
      <w:r>
        <w:rPr>
          <w:rFonts w:hint="eastAsia" w:ascii="Calibri" w:hAnsi="Calibri"/>
        </w:rPr>
        <w:t>就业</w:t>
      </w:r>
      <w:r>
        <w:rPr>
          <w:rFonts w:ascii="Calibri" w:hAnsi="Calibri"/>
        </w:rPr>
        <w:t>区域分布</w:t>
      </w:r>
      <w:r>
        <w:rPr>
          <w:rFonts w:hint="eastAsia" w:ascii="Calibri" w:hAnsi="Calibri"/>
        </w:rPr>
        <w:t>（表格</w:t>
      </w:r>
      <w:r>
        <w:rPr>
          <w:rFonts w:ascii="Calibri" w:hAnsi="Calibri"/>
        </w:rPr>
        <w:t>）</w:t>
      </w:r>
    </w:p>
    <w:p>
      <w:pPr>
        <w:ind w:firstLine="1119" w:firstLineChars="533"/>
        <w:rPr>
          <w:rFonts w:ascii="Calibri" w:hAnsi="Calibri"/>
        </w:rPr>
      </w:pPr>
      <w:r>
        <w:rPr>
          <w:rFonts w:hint="eastAsia" w:ascii="Calibri" w:hAnsi="Calibri"/>
        </w:rPr>
        <w:t>2</w:t>
      </w:r>
      <w:r>
        <w:rPr>
          <w:rFonts w:ascii="Calibri" w:hAnsi="Calibri"/>
        </w:rPr>
        <w:t>.</w:t>
      </w:r>
      <w:r>
        <w:rPr>
          <w:rFonts w:hint="eastAsia" w:ascii="Calibri" w:hAnsi="Calibri"/>
        </w:rPr>
        <w:t>省内</w:t>
      </w:r>
      <w:r>
        <w:rPr>
          <w:rFonts w:ascii="Calibri" w:hAnsi="Calibri"/>
        </w:rPr>
        <w:t>就业城市</w:t>
      </w:r>
      <w:r>
        <w:rPr>
          <w:rFonts w:hint="eastAsia" w:ascii="Calibri" w:hAnsi="Calibri"/>
        </w:rPr>
        <w:t>（表格</w:t>
      </w:r>
      <w:r>
        <w:rPr>
          <w:rFonts w:ascii="Calibri" w:hAnsi="Calibri"/>
        </w:rPr>
        <w:t>）</w:t>
      </w:r>
    </w:p>
    <w:p>
      <w:pPr>
        <w:ind w:firstLine="1119" w:firstLineChars="533"/>
        <w:rPr>
          <w:rFonts w:ascii="Calibri" w:hAnsi="Calibri"/>
        </w:rPr>
      </w:pPr>
      <w:r>
        <w:rPr>
          <w:rFonts w:hint="eastAsia" w:ascii="Calibri" w:hAnsi="Calibri"/>
        </w:rPr>
        <w:t>3</w:t>
      </w:r>
      <w:r>
        <w:rPr>
          <w:rFonts w:ascii="Calibri" w:hAnsi="Calibri"/>
        </w:rPr>
        <w:t>.</w:t>
      </w:r>
      <w:r>
        <w:rPr>
          <w:rFonts w:hint="eastAsia" w:ascii="Calibri" w:hAnsi="Calibri"/>
        </w:rPr>
        <w:t>生源地</w:t>
      </w:r>
      <w:r>
        <w:rPr>
          <w:rFonts w:ascii="Calibri" w:hAnsi="Calibri"/>
        </w:rPr>
        <w:t>与就业地域</w:t>
      </w:r>
      <w:r>
        <w:rPr>
          <w:rFonts w:hint="eastAsia" w:ascii="Calibri" w:hAnsi="Calibri"/>
        </w:rPr>
        <w:t>交叉</w:t>
      </w:r>
      <w:r>
        <w:rPr>
          <w:rFonts w:ascii="Calibri" w:hAnsi="Calibri"/>
        </w:rPr>
        <w:t>分析</w:t>
      </w:r>
      <w:r>
        <w:rPr>
          <w:rFonts w:hint="eastAsia" w:ascii="Calibri" w:hAnsi="Calibri"/>
        </w:rPr>
        <w:t>（圆环图</w:t>
      </w:r>
      <w:r>
        <w:rPr>
          <w:rFonts w:ascii="Calibri" w:hAnsi="Calibri"/>
        </w:rPr>
        <w:t>）</w:t>
      </w:r>
    </w:p>
    <w:p>
      <w:pPr>
        <w:tabs>
          <w:tab w:val="left" w:pos="7140"/>
        </w:tabs>
        <w:ind w:left="840" w:leftChars="400"/>
        <w:rPr>
          <w:rFonts w:ascii="Calibri" w:hAnsi="Calibri"/>
        </w:rPr>
      </w:pPr>
      <w:r>
        <w:rPr>
          <w:rFonts w:hint="eastAsia" w:ascii="Calibri" w:hAnsi="Calibri"/>
        </w:rPr>
        <w:t>（二</w:t>
      </w:r>
      <w:r>
        <w:rPr>
          <w:rFonts w:ascii="Calibri" w:hAnsi="Calibri"/>
        </w:rPr>
        <w:t>）就业</w:t>
      </w:r>
      <w:r>
        <w:rPr>
          <w:rFonts w:hint="eastAsia" w:ascii="Calibri" w:hAnsi="Calibri"/>
        </w:rPr>
        <w:t>行业</w:t>
      </w:r>
      <w:r>
        <w:rPr>
          <w:rFonts w:ascii="Calibri" w:hAnsi="Calibri"/>
        </w:rPr>
        <w:t>分布</w:t>
      </w:r>
      <w:r>
        <w:rPr>
          <w:rFonts w:hint="eastAsia" w:ascii="Calibri" w:hAnsi="Calibri"/>
        </w:rPr>
        <w:t>（客观数据）</w:t>
      </w:r>
    </w:p>
    <w:p>
      <w:pPr>
        <w:tabs>
          <w:tab w:val="left" w:pos="7140"/>
        </w:tabs>
        <w:ind w:left="840" w:leftChars="400"/>
        <w:rPr>
          <w:rFonts w:ascii="Calibri" w:hAnsi="Calibri"/>
        </w:rPr>
      </w:pPr>
      <w:r>
        <w:fldChar w:fldCharType="begin"/>
      </w:r>
      <w:r>
        <w:instrText xml:space="preserve"> HYPERLINK \l "_Toc397169538" </w:instrText>
      </w:r>
      <w:r>
        <w:fldChar w:fldCharType="separate"/>
      </w:r>
      <w:r>
        <w:rPr>
          <w:rFonts w:hint="eastAsia" w:ascii="Calibri" w:hAnsi="Calibri"/>
        </w:rPr>
        <w:t>（三）就业职业分布</w:t>
      </w:r>
      <w:r>
        <w:rPr>
          <w:rFonts w:hint="eastAsia" w:ascii="Calibri" w:hAnsi="Calibri"/>
        </w:rPr>
        <w:fldChar w:fldCharType="end"/>
      </w:r>
      <w:r>
        <w:rPr>
          <w:rFonts w:hint="eastAsia" w:ascii="Calibri" w:hAnsi="Calibri"/>
        </w:rPr>
        <w:t>（客观数据/</w:t>
      </w:r>
      <w:r>
        <w:rPr>
          <w:rFonts w:hint="eastAsia" w:ascii="宋体" w:hAnsi="宋体"/>
        </w:rPr>
        <w:t>调研数据</w:t>
      </w:r>
      <w:r>
        <w:rPr>
          <w:rFonts w:hint="eastAsia" w:ascii="Calibri" w:hAnsi="Calibri"/>
        </w:rPr>
        <w:t>）</w:t>
      </w:r>
    </w:p>
    <w:p>
      <w:pPr>
        <w:tabs>
          <w:tab w:val="left" w:pos="7140"/>
        </w:tabs>
        <w:ind w:left="840" w:leftChars="400"/>
        <w:rPr>
          <w:rFonts w:ascii="Calibri" w:hAnsi="Calibri"/>
        </w:rPr>
      </w:pPr>
      <w:r>
        <w:rPr>
          <w:rFonts w:hint="eastAsia" w:ascii="Calibri" w:hAnsi="Calibri"/>
        </w:rPr>
        <w:t>（四</w:t>
      </w:r>
      <w:r>
        <w:rPr>
          <w:rFonts w:ascii="Calibri" w:hAnsi="Calibri"/>
        </w:rPr>
        <w:t>）就业</w:t>
      </w:r>
      <w:r>
        <w:rPr>
          <w:rFonts w:hint="eastAsia" w:ascii="Calibri" w:hAnsi="Calibri"/>
        </w:rPr>
        <w:t>单位</w:t>
      </w:r>
      <w:r>
        <w:rPr>
          <w:rFonts w:ascii="Calibri" w:hAnsi="Calibri"/>
        </w:rPr>
        <w:t>分布</w:t>
      </w:r>
      <w:r>
        <w:rPr>
          <w:rFonts w:hint="eastAsia" w:ascii="Calibri" w:hAnsi="Calibri"/>
        </w:rPr>
        <w:t>（客观数据）</w:t>
      </w:r>
    </w:p>
    <w:p>
      <w:pPr>
        <w:ind w:left="420" w:leftChars="200"/>
        <w:rPr>
          <w:rFonts w:ascii="宋体" w:hAnsi="宋体"/>
          <w:b/>
        </w:rPr>
      </w:pPr>
      <w:r>
        <w:rPr>
          <w:rFonts w:hint="eastAsia" w:ascii="宋体" w:hAnsi="宋体"/>
          <w:b/>
        </w:rPr>
        <w:t>四、深造及</w:t>
      </w:r>
      <w:r>
        <w:rPr>
          <w:rFonts w:ascii="宋体" w:hAnsi="宋体"/>
          <w:b/>
        </w:rPr>
        <w:t>创业情况</w:t>
      </w:r>
    </w:p>
    <w:p>
      <w:pPr>
        <w:ind w:left="420" w:leftChars="200" w:firstLine="480"/>
        <w:rPr>
          <w:rFonts w:ascii="宋体" w:hAnsi="宋体"/>
        </w:rPr>
      </w:pPr>
      <w:r>
        <w:rPr>
          <w:rFonts w:hint="eastAsia" w:ascii="宋体" w:hAnsi="宋体"/>
        </w:rPr>
        <w:t>（一）国内升学及</w:t>
      </w:r>
      <w:r>
        <w:rPr>
          <w:rFonts w:ascii="宋体" w:hAnsi="宋体"/>
        </w:rPr>
        <w:t>出国留学</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hint="eastAsia" w:ascii="Calibri" w:hAnsi="Calibri"/>
        </w:rPr>
        <w:t>1.</w:t>
      </w:r>
      <w:r>
        <w:rPr>
          <w:rFonts w:hint="eastAsia" w:ascii="Calibri" w:hAnsi="Calibri"/>
        </w:rPr>
        <w:fldChar w:fldCharType="end"/>
      </w:r>
      <w:r>
        <w:rPr>
          <w:rFonts w:hint="eastAsia" w:ascii="Calibri" w:hAnsi="Calibri"/>
        </w:rPr>
        <w:t>升学人数及比例</w:t>
      </w:r>
      <w:r>
        <w:rPr>
          <w:rFonts w:hint="eastAsia" w:ascii="宋体" w:hAnsi="宋体"/>
        </w:rPr>
        <w:t>（</w:t>
      </w:r>
      <w:r>
        <w:rPr>
          <w:rFonts w:ascii="宋体" w:hAnsi="宋体"/>
        </w:rPr>
        <w:t>客观数据</w:t>
      </w:r>
      <w:r>
        <w:rPr>
          <w:rFonts w:hint="eastAsia" w:ascii="宋体" w:hAnsi="宋体"/>
        </w:rPr>
        <w:t>）</w:t>
      </w:r>
    </w:p>
    <w:p>
      <w:pPr>
        <w:ind w:left="420" w:leftChars="200" w:firstLine="840" w:firstLineChars="400"/>
        <w:rPr>
          <w:rFonts w:ascii="Calibri" w:hAnsi="Calibri"/>
        </w:rPr>
      </w:pPr>
      <w:r>
        <w:rPr>
          <w:rFonts w:ascii="Calibri" w:hAnsi="Calibri"/>
        </w:rPr>
        <w:t>2</w:t>
      </w:r>
      <w:r>
        <w:rPr>
          <w:rFonts w:hint="eastAsia" w:ascii="Calibri" w:hAnsi="Calibri"/>
        </w:rPr>
        <w:t>.</w:t>
      </w:r>
      <w:r>
        <w:rPr>
          <w:rFonts w:hint="eastAsia" w:ascii="宋体" w:hAnsi="宋体"/>
        </w:rPr>
        <w:t>出国（境）留学</w:t>
      </w:r>
      <w:r>
        <w:rPr>
          <w:rFonts w:hint="eastAsia" w:ascii="Calibri" w:hAnsi="Calibri"/>
        </w:rPr>
        <w:t>人数及比例</w:t>
      </w:r>
      <w:r>
        <w:rPr>
          <w:rFonts w:hint="eastAsia" w:ascii="宋体" w:hAnsi="宋体"/>
        </w:rPr>
        <w:t>（</w:t>
      </w:r>
      <w:r>
        <w:rPr>
          <w:rFonts w:ascii="宋体" w:hAnsi="宋体"/>
        </w:rPr>
        <w:t>客观数据</w:t>
      </w:r>
      <w:r>
        <w:rPr>
          <w:rFonts w:hint="eastAsia" w:ascii="宋体" w:hAnsi="宋体"/>
        </w:rPr>
        <w:t>）</w:t>
      </w:r>
    </w:p>
    <w:p>
      <w:pPr>
        <w:ind w:left="420" w:leftChars="200" w:firstLine="480"/>
        <w:rPr>
          <w:rFonts w:ascii="宋体" w:hAnsi="宋体"/>
        </w:rPr>
      </w:pPr>
      <w:r>
        <w:rPr>
          <w:rFonts w:hint="eastAsia" w:ascii="宋体" w:hAnsi="宋体"/>
        </w:rPr>
        <w:t>（二）</w:t>
      </w:r>
      <w:r>
        <w:rPr>
          <w:rFonts w:hint="eastAsia" w:ascii="Calibri" w:hAnsi="Calibri"/>
        </w:rPr>
        <w:t>自主创业</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hint="eastAsia" w:ascii="Calibri" w:hAnsi="Calibri"/>
        </w:rPr>
        <w:t>1.</w:t>
      </w:r>
      <w:r>
        <w:rPr>
          <w:rFonts w:hint="eastAsia" w:ascii="Calibri" w:hAnsi="Calibri"/>
        </w:rPr>
        <w:fldChar w:fldCharType="end"/>
      </w:r>
      <w:r>
        <w:rPr>
          <w:rFonts w:hint="eastAsia" w:ascii="Calibri" w:hAnsi="Calibri"/>
        </w:rPr>
        <w:t>创业</w:t>
      </w:r>
      <w:r>
        <w:rPr>
          <w:rFonts w:ascii="Calibri" w:hAnsi="Calibri"/>
        </w:rPr>
        <w:t>人数及</w:t>
      </w:r>
      <w:r>
        <w:rPr>
          <w:rFonts w:hint="eastAsia" w:ascii="Calibri" w:hAnsi="Calibri"/>
        </w:rPr>
        <w:t>比例（</w:t>
      </w:r>
      <w:r>
        <w:rPr>
          <w:rFonts w:ascii="Calibri" w:hAnsi="Calibri"/>
        </w:rPr>
        <w:t>客观数据</w:t>
      </w:r>
      <w:r>
        <w:rPr>
          <w:rFonts w:hint="eastAsia" w:ascii="Calibri" w:hAnsi="Calibri"/>
        </w:rPr>
        <w:t>）</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ascii="Calibri" w:hAnsi="Calibri"/>
        </w:rPr>
        <w:t>2</w:t>
      </w:r>
      <w:r>
        <w:rPr>
          <w:rFonts w:hint="eastAsia" w:ascii="Calibri" w:hAnsi="Calibri"/>
        </w:rPr>
        <w:t>.</w:t>
      </w:r>
      <w:r>
        <w:rPr>
          <w:rFonts w:hint="eastAsia" w:ascii="Calibri" w:hAnsi="Calibri"/>
        </w:rPr>
        <w:fldChar w:fldCharType="end"/>
      </w:r>
      <w:r>
        <w:rPr>
          <w:rFonts w:hint="eastAsia" w:ascii="Calibri" w:hAnsi="Calibri"/>
        </w:rPr>
        <w:t>创业行业（条形图</w:t>
      </w:r>
      <w:r>
        <w:rPr>
          <w:rFonts w:ascii="Calibri" w:hAnsi="Calibri"/>
        </w:rPr>
        <w:t>）</w:t>
      </w:r>
      <w:r>
        <w:rPr>
          <w:rFonts w:hint="eastAsia" w:ascii="Calibri" w:hAnsi="Calibri"/>
        </w:rPr>
        <w:t>（调研数据）</w:t>
      </w:r>
    </w:p>
    <w:p>
      <w:pPr>
        <w:outlineLvl w:val="0"/>
        <w:rPr>
          <w:rFonts w:ascii="宋体" w:hAnsi="宋体"/>
          <w:b/>
          <w:bCs/>
        </w:rPr>
      </w:pPr>
      <w:r>
        <w:fldChar w:fldCharType="begin"/>
      </w:r>
      <w:r>
        <w:instrText xml:space="preserve"> HYPERLINK \l "_Toc397169539" </w:instrText>
      </w:r>
      <w:r>
        <w:fldChar w:fldCharType="separate"/>
      </w:r>
      <w:r>
        <w:rPr>
          <w:rFonts w:hint="eastAsia" w:ascii="宋体" w:hAnsi="宋体"/>
          <w:b/>
          <w:bCs/>
        </w:rPr>
        <w:t>第二篇：学校就创业工作举措</w:t>
      </w:r>
      <w:r>
        <w:rPr>
          <w:rFonts w:hint="eastAsia" w:ascii="宋体" w:hAnsi="宋体"/>
          <w:b/>
          <w:bCs/>
        </w:rPr>
        <w:fldChar w:fldCharType="end"/>
      </w:r>
    </w:p>
    <w:p>
      <w:pPr>
        <w:ind w:left="420" w:leftChars="200"/>
        <w:rPr>
          <w:rFonts w:ascii="宋体" w:hAnsi="宋体"/>
        </w:rPr>
      </w:pPr>
      <w:r>
        <w:rPr>
          <w:rFonts w:hint="eastAsia" w:ascii="宋体" w:hAnsi="宋体"/>
        </w:rPr>
        <w:t>一、</w:t>
      </w:r>
      <w:r>
        <w:fldChar w:fldCharType="begin"/>
      </w:r>
      <w:r>
        <w:instrText xml:space="preserve"> HYPERLINK \l "_Toc397169541" </w:instrText>
      </w:r>
      <w:r>
        <w:fldChar w:fldCharType="separate"/>
      </w:r>
      <w:r>
        <w:rPr>
          <w:rFonts w:hint="eastAsia" w:ascii="宋体" w:hAnsi="宋体"/>
        </w:rPr>
        <w:t>就业工作机制</w:t>
      </w:r>
      <w:r>
        <w:rPr>
          <w:rFonts w:hint="eastAsia" w:ascii="宋体" w:hAnsi="宋体"/>
        </w:rPr>
        <w:fldChar w:fldCharType="end"/>
      </w:r>
    </w:p>
    <w:p>
      <w:pPr>
        <w:ind w:left="420" w:leftChars="200"/>
        <w:rPr>
          <w:rFonts w:ascii="宋体" w:hAnsi="宋体"/>
        </w:rPr>
      </w:pPr>
      <w:r>
        <w:rPr>
          <w:rFonts w:hint="eastAsia" w:ascii="宋体" w:hAnsi="宋体"/>
        </w:rPr>
        <w:t>二、职业规划</w:t>
      </w:r>
      <w:r>
        <w:rPr>
          <w:rFonts w:ascii="宋体" w:hAnsi="宋体"/>
        </w:rPr>
        <w:t>与</w:t>
      </w:r>
      <w:r>
        <w:rPr>
          <w:rFonts w:hint="eastAsia" w:ascii="宋体" w:hAnsi="宋体"/>
        </w:rPr>
        <w:t>就业</w:t>
      </w:r>
      <w:r>
        <w:rPr>
          <w:rFonts w:ascii="宋体" w:hAnsi="宋体"/>
        </w:rPr>
        <w:t>指导</w:t>
      </w:r>
    </w:p>
    <w:p>
      <w:pPr>
        <w:ind w:left="420" w:leftChars="200"/>
        <w:rPr>
          <w:rFonts w:ascii="宋体" w:hAnsi="宋体"/>
        </w:rPr>
      </w:pPr>
      <w:r>
        <w:rPr>
          <w:rFonts w:hint="eastAsia" w:ascii="宋体" w:hAnsi="宋体"/>
        </w:rPr>
        <w:t>三、创业</w:t>
      </w:r>
      <w:r>
        <w:rPr>
          <w:rFonts w:ascii="宋体" w:hAnsi="宋体"/>
        </w:rPr>
        <w:t>教育与创业</w:t>
      </w:r>
      <w:r>
        <w:rPr>
          <w:rFonts w:hint="eastAsia" w:ascii="宋体" w:hAnsi="宋体"/>
        </w:rPr>
        <w:t>指导</w:t>
      </w:r>
    </w:p>
    <w:p>
      <w:pPr>
        <w:ind w:left="420" w:leftChars="200"/>
        <w:rPr>
          <w:rFonts w:ascii="宋体" w:hAnsi="宋体"/>
        </w:rPr>
      </w:pPr>
      <w:r>
        <w:rPr>
          <w:rFonts w:hint="eastAsia" w:ascii="宋体" w:hAnsi="宋体"/>
        </w:rPr>
        <w:t>四、校企合作与实习</w:t>
      </w:r>
      <w:r>
        <w:rPr>
          <w:rFonts w:ascii="宋体" w:hAnsi="宋体"/>
        </w:rPr>
        <w:t>实训</w:t>
      </w:r>
    </w:p>
    <w:p>
      <w:pPr>
        <w:ind w:left="420" w:leftChars="200"/>
        <w:rPr>
          <w:rFonts w:ascii="宋体" w:hAnsi="宋体"/>
        </w:rPr>
      </w:pPr>
      <w:r>
        <w:rPr>
          <w:rFonts w:hint="eastAsia" w:ascii="宋体" w:hAnsi="宋体"/>
        </w:rPr>
        <w:t>五、招聘</w:t>
      </w:r>
      <w:r>
        <w:rPr>
          <w:rFonts w:ascii="宋体" w:hAnsi="宋体"/>
        </w:rPr>
        <w:t>服务</w:t>
      </w:r>
      <w:r>
        <w:rPr>
          <w:rFonts w:hint="eastAsia" w:ascii="宋体" w:hAnsi="宋体"/>
        </w:rPr>
        <w:t>与</w:t>
      </w:r>
      <w:r>
        <w:rPr>
          <w:rFonts w:ascii="宋体" w:hAnsi="宋体"/>
        </w:rPr>
        <w:t>就业市场建设</w:t>
      </w:r>
    </w:p>
    <w:p>
      <w:pPr>
        <w:ind w:left="420" w:leftChars="200"/>
        <w:rPr>
          <w:rFonts w:ascii="宋体" w:hAnsi="宋体"/>
        </w:rPr>
      </w:pPr>
      <w:r>
        <w:rPr>
          <w:rFonts w:hint="eastAsia" w:ascii="宋体" w:hAnsi="宋体"/>
        </w:rPr>
        <w:t>六、就业</w:t>
      </w:r>
      <w:r>
        <w:rPr>
          <w:rFonts w:ascii="宋体" w:hAnsi="宋体"/>
        </w:rPr>
        <w:t>帮扶与推介</w:t>
      </w:r>
    </w:p>
    <w:p>
      <w:pPr>
        <w:outlineLvl w:val="0"/>
        <w:rPr>
          <w:rFonts w:ascii="宋体" w:hAnsi="宋体"/>
        </w:rPr>
      </w:pPr>
      <w:r>
        <w:fldChar w:fldCharType="begin"/>
      </w:r>
      <w:r>
        <w:instrText xml:space="preserve"> HYPERLINK \l "_Toc397169553" </w:instrText>
      </w:r>
      <w:r>
        <w:fldChar w:fldCharType="separate"/>
      </w:r>
      <w:r>
        <w:rPr>
          <w:rFonts w:hint="eastAsia" w:ascii="宋体" w:hAnsi="宋体"/>
          <w:b/>
          <w:bCs/>
        </w:rPr>
        <w:t>第三篇：就业质量</w:t>
      </w:r>
      <w:r>
        <w:rPr>
          <w:rFonts w:ascii="宋体" w:hAnsi="宋体"/>
          <w:b/>
          <w:bCs/>
        </w:rPr>
        <w:t>相关</w:t>
      </w:r>
      <w:r>
        <w:rPr>
          <w:rFonts w:hint="eastAsia" w:ascii="宋体" w:hAnsi="宋体"/>
          <w:b/>
          <w:bCs/>
        </w:rPr>
        <w:t>分析</w:t>
      </w:r>
      <w:r>
        <w:rPr>
          <w:rFonts w:hint="eastAsia" w:ascii="宋体" w:hAnsi="宋体"/>
          <w:b/>
          <w:bCs/>
        </w:rPr>
        <w:fldChar w:fldCharType="end"/>
      </w:r>
    </w:p>
    <w:p>
      <w:pPr>
        <w:ind w:left="420" w:leftChars="200"/>
        <w:rPr>
          <w:rFonts w:ascii="宋体" w:hAnsi="宋体"/>
          <w:b/>
        </w:rPr>
      </w:pPr>
      <w:r>
        <w:rPr>
          <w:rFonts w:hint="eastAsia" w:ascii="宋体" w:hAnsi="宋体"/>
          <w:b/>
        </w:rPr>
        <w:t>一</w:t>
      </w:r>
      <w:r>
        <w:rPr>
          <w:rFonts w:ascii="宋体" w:hAnsi="宋体"/>
          <w:b/>
        </w:rPr>
        <w:t>、</w:t>
      </w:r>
      <w:r>
        <w:rPr>
          <w:rFonts w:hint="eastAsia" w:ascii="宋体" w:hAnsi="宋体"/>
          <w:b/>
        </w:rPr>
        <w:t>毕业生就业质量相关分析</w:t>
      </w:r>
    </w:p>
    <w:p>
      <w:pPr>
        <w:ind w:left="420" w:leftChars="200" w:firstLine="480"/>
        <w:rPr>
          <w:rFonts w:ascii="宋体" w:hAnsi="宋体"/>
        </w:rPr>
      </w:pPr>
      <w:r>
        <w:rPr>
          <w:rFonts w:hint="eastAsia" w:ascii="宋体" w:hAnsi="宋体"/>
        </w:rPr>
        <w:t>（一</w:t>
      </w:r>
      <w:r>
        <w:rPr>
          <w:rFonts w:ascii="宋体" w:hAnsi="宋体"/>
        </w:rPr>
        <w:t>）薪酬水平</w:t>
      </w:r>
    </w:p>
    <w:p>
      <w:pPr>
        <w:ind w:left="420" w:leftChars="200" w:firstLine="840" w:firstLineChars="400"/>
        <w:rPr>
          <w:rFonts w:ascii="Calibri" w:hAnsi="Calibri"/>
        </w:rPr>
      </w:pPr>
      <w:r>
        <w:rPr>
          <w:rFonts w:hint="eastAsia" w:ascii="Calibri" w:hAnsi="Calibri"/>
        </w:rPr>
        <w:t>1</w:t>
      </w:r>
      <w:r>
        <w:rPr>
          <w:rFonts w:ascii="Calibri" w:hAnsi="Calibri"/>
        </w:rPr>
        <w:t>.</w:t>
      </w:r>
      <w:r>
        <w:rPr>
          <w:rFonts w:hint="eastAsia" w:ascii="Calibri" w:hAnsi="Calibri"/>
        </w:rPr>
        <w:t>总体</w:t>
      </w:r>
      <w:r>
        <w:rPr>
          <w:rFonts w:ascii="Calibri" w:hAnsi="Calibri"/>
        </w:rPr>
        <w:t>薪酬水平</w:t>
      </w:r>
      <w:r>
        <w:rPr>
          <w:rFonts w:hint="eastAsia" w:ascii="Calibri" w:hAnsi="Calibri"/>
        </w:rPr>
        <w:t>（均值和各薪酬段所占比例）（曲线图）</w:t>
      </w:r>
    </w:p>
    <w:p>
      <w:pPr>
        <w:ind w:left="420" w:leftChars="200" w:firstLine="840" w:firstLineChars="400"/>
        <w:rPr>
          <w:rFonts w:ascii="Calibri" w:hAnsi="Calibri"/>
        </w:rPr>
      </w:pPr>
      <w:r>
        <w:rPr>
          <w:rFonts w:hint="eastAsia" w:ascii="Calibri" w:hAnsi="Calibri"/>
        </w:rPr>
        <w:t>2</w:t>
      </w:r>
      <w:r>
        <w:rPr>
          <w:rFonts w:ascii="Calibri" w:hAnsi="Calibri"/>
        </w:rPr>
        <w:t>.</w:t>
      </w:r>
      <w:r>
        <w:rPr>
          <w:rFonts w:hint="eastAsia" w:ascii="Calibri" w:hAnsi="Calibri"/>
        </w:rPr>
        <w:t>主要就业地区的薪酬水平（条形图</w:t>
      </w:r>
      <w:r>
        <w:rPr>
          <w:rFonts w:ascii="Calibri" w:hAnsi="Calibri"/>
        </w:rPr>
        <w:t>）</w:t>
      </w:r>
    </w:p>
    <w:p>
      <w:pPr>
        <w:ind w:left="420" w:leftChars="200" w:firstLine="840" w:firstLineChars="400"/>
        <w:rPr>
          <w:rFonts w:ascii="Calibri" w:hAnsi="Calibri"/>
        </w:rPr>
      </w:pPr>
      <w:r>
        <w:rPr>
          <w:rFonts w:hint="eastAsia" w:ascii="Calibri" w:hAnsi="Calibri"/>
        </w:rPr>
        <w:t>3</w:t>
      </w:r>
      <w:r>
        <w:rPr>
          <w:rFonts w:ascii="Calibri" w:hAnsi="Calibri"/>
        </w:rPr>
        <w:t>.</w:t>
      </w:r>
      <w:r>
        <w:rPr>
          <w:rFonts w:hint="eastAsia" w:ascii="Calibri" w:hAnsi="Calibri"/>
        </w:rPr>
        <w:t>主要就业单位的薪酬水平（条形图</w:t>
      </w:r>
      <w:r>
        <w:rPr>
          <w:rFonts w:ascii="Calibri" w:hAnsi="Calibri"/>
        </w:rPr>
        <w:t>）</w:t>
      </w:r>
    </w:p>
    <w:p>
      <w:pPr>
        <w:ind w:left="420" w:leftChars="200" w:firstLine="840" w:firstLineChars="400"/>
        <w:rPr>
          <w:rFonts w:ascii="Calibri" w:hAnsi="Calibri"/>
        </w:rPr>
      </w:pPr>
      <w:r>
        <w:rPr>
          <w:rFonts w:hint="eastAsia" w:ascii="Calibri" w:hAnsi="Calibri"/>
        </w:rPr>
        <w:t>4</w:t>
      </w:r>
      <w:r>
        <w:rPr>
          <w:rFonts w:ascii="Calibri" w:hAnsi="Calibri"/>
        </w:rPr>
        <w:t>.</w:t>
      </w:r>
      <w:r>
        <w:rPr>
          <w:rFonts w:hint="eastAsia" w:ascii="Calibri" w:hAnsi="Calibri"/>
        </w:rPr>
        <w:t>主要就业行业的薪酬水平（条形图</w:t>
      </w:r>
      <w:r>
        <w:rPr>
          <w:rFonts w:ascii="Calibri" w:hAnsi="Calibri"/>
        </w:rPr>
        <w:t>）</w:t>
      </w:r>
    </w:p>
    <w:p>
      <w:pPr>
        <w:ind w:left="840" w:leftChars="400"/>
        <w:rPr>
          <w:rFonts w:ascii="宋体" w:hAnsi="宋体"/>
        </w:rPr>
      </w:pPr>
      <w:r>
        <w:rPr>
          <w:rFonts w:hint="eastAsia" w:ascii="宋体" w:hAnsi="宋体"/>
        </w:rPr>
        <w:t>（二</w:t>
      </w:r>
      <w:r>
        <w:rPr>
          <w:rFonts w:ascii="宋体" w:hAnsi="宋体"/>
        </w:rPr>
        <w:t>）</w:t>
      </w:r>
      <w:r>
        <w:rPr>
          <w:rFonts w:hint="eastAsia" w:ascii="宋体" w:hAnsi="宋体"/>
        </w:rPr>
        <w:t>专业相关度</w:t>
      </w:r>
    </w:p>
    <w:p>
      <w:pPr>
        <w:ind w:left="420" w:leftChars="200" w:firstLine="840" w:firstLineChars="400"/>
        <w:rPr>
          <w:rFonts w:ascii="Calibri" w:hAnsi="Calibri"/>
        </w:rPr>
      </w:pPr>
      <w:r>
        <w:fldChar w:fldCharType="begin"/>
      </w:r>
      <w:r>
        <w:instrText xml:space="preserve"> HYPERLINK \l "_Toc397169499" </w:instrText>
      </w:r>
      <w:r>
        <w:fldChar w:fldCharType="separate"/>
      </w:r>
      <w:r>
        <w:rPr>
          <w:rFonts w:ascii="Calibri" w:hAnsi="Calibri"/>
        </w:rPr>
        <w:t>1</w:t>
      </w:r>
      <w:r>
        <w:rPr>
          <w:rFonts w:hint="eastAsia" w:ascii="Calibri" w:hAnsi="Calibri"/>
        </w:rPr>
        <w:t>.</w:t>
      </w:r>
      <w:r>
        <w:rPr>
          <w:rFonts w:hint="eastAsia" w:ascii="Calibri" w:hAnsi="Calibri"/>
        </w:rPr>
        <w:fldChar w:fldCharType="end"/>
      </w:r>
      <w:r>
        <w:rPr>
          <w:rFonts w:hint="eastAsia" w:ascii="Calibri" w:hAnsi="Calibri"/>
        </w:rPr>
        <w:t>总体/各专业的专业相关度（饼图）</w:t>
      </w:r>
    </w:p>
    <w:p>
      <w:pPr>
        <w:ind w:left="420" w:leftChars="200" w:firstLine="840" w:firstLineChars="400"/>
        <w:rPr>
          <w:rFonts w:ascii="Calibri" w:hAnsi="Calibri"/>
        </w:rPr>
      </w:pPr>
      <w:r>
        <w:rPr>
          <w:rFonts w:ascii="Calibri" w:hAnsi="Calibri"/>
        </w:rPr>
        <w:t>2</w:t>
      </w:r>
      <w:r>
        <w:rPr>
          <w:rFonts w:hint="eastAsia" w:ascii="Calibri" w:hAnsi="Calibri"/>
        </w:rPr>
        <w:t>.从事低专业相关度工作的原因（条形图）</w:t>
      </w:r>
    </w:p>
    <w:p>
      <w:pPr>
        <w:ind w:left="840" w:leftChars="400"/>
        <w:rPr>
          <w:rFonts w:ascii="Calibri" w:hAnsi="Calibri"/>
        </w:rPr>
      </w:pPr>
      <w:r>
        <w:rPr>
          <w:rFonts w:hint="eastAsia" w:ascii="Calibri" w:hAnsi="Calibri"/>
        </w:rPr>
        <w:t>（三</w:t>
      </w:r>
      <w:r>
        <w:rPr>
          <w:rFonts w:ascii="Calibri" w:hAnsi="Calibri"/>
        </w:rPr>
        <w:t>）</w:t>
      </w:r>
      <w:r>
        <w:rPr>
          <w:rFonts w:hint="eastAsia" w:ascii="Calibri" w:hAnsi="Calibri"/>
        </w:rPr>
        <w:t>工作满意度（工作内容、工作薪酬、职业发展前景）</w:t>
      </w:r>
    </w:p>
    <w:p>
      <w:pPr>
        <w:ind w:left="420" w:leftChars="200" w:firstLine="840" w:firstLineChars="400"/>
        <w:rPr>
          <w:rFonts w:ascii="Calibri" w:hAnsi="Calibri"/>
        </w:rPr>
      </w:pPr>
      <w:r>
        <w:rPr>
          <w:rFonts w:hint="eastAsia" w:ascii="Calibri" w:hAnsi="Calibri"/>
        </w:rPr>
        <w:t>1.总体的</w:t>
      </w:r>
      <w:r>
        <w:rPr>
          <w:rFonts w:ascii="Calibri" w:hAnsi="Calibri"/>
        </w:rPr>
        <w:t>工作满意度</w:t>
      </w:r>
      <w:r>
        <w:rPr>
          <w:rFonts w:hint="eastAsia" w:ascii="Calibri" w:hAnsi="Calibri"/>
        </w:rPr>
        <w:t>（柱形图）</w:t>
      </w:r>
    </w:p>
    <w:p>
      <w:pPr>
        <w:ind w:left="420" w:leftChars="200" w:firstLine="840" w:firstLineChars="400"/>
        <w:rPr>
          <w:rFonts w:ascii="Calibri" w:hAnsi="Calibri"/>
          <w:color w:val="0070C0"/>
        </w:rPr>
      </w:pPr>
      <w:r>
        <w:rPr>
          <w:rFonts w:ascii="Calibri" w:hAnsi="Calibri"/>
        </w:rPr>
        <w:t>2.</w:t>
      </w:r>
      <w:r>
        <w:rPr>
          <w:rFonts w:hint="eastAsia" w:ascii="Calibri" w:hAnsi="Calibri"/>
        </w:rPr>
        <w:t>主要就业行业的</w:t>
      </w:r>
      <w:r>
        <w:rPr>
          <w:rFonts w:ascii="Calibri" w:hAnsi="Calibri"/>
        </w:rPr>
        <w:t>工作满意度</w:t>
      </w:r>
      <w:r>
        <w:rPr>
          <w:rFonts w:hint="eastAsia" w:ascii="Calibri" w:hAnsi="Calibri"/>
        </w:rPr>
        <w:t>（条形图</w:t>
      </w:r>
      <w:r>
        <w:rPr>
          <w:rFonts w:ascii="Calibri" w:hAnsi="Calibri"/>
        </w:rPr>
        <w:t>）</w:t>
      </w:r>
    </w:p>
    <w:p>
      <w:pPr>
        <w:ind w:firstLine="804" w:firstLineChars="383"/>
        <w:rPr>
          <w:rFonts w:ascii="宋体" w:hAnsi="宋体"/>
        </w:rPr>
      </w:pPr>
      <w:r>
        <w:rPr>
          <w:rFonts w:hint="eastAsia" w:ascii="宋体" w:hAnsi="宋体"/>
        </w:rPr>
        <w:t>（四</w:t>
      </w:r>
      <w:r>
        <w:rPr>
          <w:rFonts w:ascii="宋体" w:hAnsi="宋体"/>
        </w:rPr>
        <w:t>）</w:t>
      </w:r>
      <w:r>
        <w:rPr>
          <w:rFonts w:hint="eastAsia" w:ascii="宋体" w:hAnsi="宋体"/>
        </w:rPr>
        <w:t>职业期待吻合度（饼图）</w:t>
      </w:r>
    </w:p>
    <w:p>
      <w:pPr>
        <w:ind w:left="420" w:leftChars="200"/>
        <w:rPr>
          <w:rFonts w:ascii="Calibri" w:hAnsi="Calibri"/>
          <w:b/>
        </w:rPr>
      </w:pPr>
      <w:r>
        <w:rPr>
          <w:rFonts w:hint="eastAsia" w:ascii="Calibri" w:hAnsi="Calibri"/>
          <w:b/>
        </w:rPr>
        <w:t>二</w:t>
      </w:r>
      <w:r>
        <w:rPr>
          <w:rFonts w:ascii="Calibri" w:hAnsi="Calibri"/>
          <w:b/>
        </w:rPr>
        <w:t>、</w:t>
      </w:r>
      <w:r>
        <w:rPr>
          <w:rFonts w:hint="eastAsia" w:ascii="Calibri" w:hAnsi="Calibri"/>
          <w:b/>
        </w:rPr>
        <w:t>用人</w:t>
      </w:r>
      <w:r>
        <w:rPr>
          <w:rFonts w:ascii="Calibri" w:hAnsi="Calibri"/>
          <w:b/>
        </w:rPr>
        <w:t>单位对毕业生</w:t>
      </w:r>
      <w:r>
        <w:rPr>
          <w:rFonts w:hint="eastAsia" w:ascii="Calibri" w:hAnsi="Calibri"/>
          <w:b/>
        </w:rPr>
        <w:t>的评价</w:t>
      </w:r>
    </w:p>
    <w:p>
      <w:pPr>
        <w:ind w:left="420" w:leftChars="200" w:firstLine="480"/>
        <w:rPr>
          <w:rFonts w:ascii="Calibri" w:hAnsi="Calibri"/>
        </w:rPr>
      </w:pPr>
      <w:r>
        <w:rPr>
          <w:rFonts w:hint="eastAsia" w:ascii="Calibri" w:hAnsi="Calibri"/>
        </w:rPr>
        <w:t>（一</w:t>
      </w:r>
      <w:r>
        <w:rPr>
          <w:rFonts w:ascii="Calibri" w:hAnsi="Calibri"/>
        </w:rPr>
        <w:t>）</w:t>
      </w:r>
      <w:r>
        <w:rPr>
          <w:rFonts w:hint="eastAsia" w:ascii="Calibri" w:hAnsi="Calibri"/>
        </w:rPr>
        <w:t>用人</w:t>
      </w:r>
      <w:r>
        <w:rPr>
          <w:rFonts w:ascii="Calibri" w:hAnsi="Calibri"/>
        </w:rPr>
        <w:t>单位对毕业生的满意度</w:t>
      </w:r>
      <w:r>
        <w:rPr>
          <w:rFonts w:hint="eastAsia" w:ascii="Calibri" w:hAnsi="Calibri"/>
        </w:rPr>
        <w:t>（饼图）</w:t>
      </w:r>
    </w:p>
    <w:p>
      <w:pPr>
        <w:ind w:left="420" w:leftChars="200" w:firstLine="480"/>
        <w:rPr>
          <w:rFonts w:ascii="Calibri" w:hAnsi="Calibri"/>
        </w:rPr>
      </w:pPr>
      <w:r>
        <w:rPr>
          <w:rFonts w:hint="eastAsia" w:ascii="Calibri" w:hAnsi="Calibri"/>
        </w:rPr>
        <w:t>（二</w:t>
      </w:r>
      <w:r>
        <w:rPr>
          <w:rFonts w:ascii="Calibri" w:hAnsi="Calibri"/>
        </w:rPr>
        <w:t>）</w:t>
      </w:r>
      <w:r>
        <w:rPr>
          <w:rFonts w:hint="eastAsia" w:ascii="Calibri" w:hAnsi="Calibri"/>
        </w:rPr>
        <w:t>用人单位对毕业生就业能力的评价（条形图）</w:t>
      </w:r>
    </w:p>
    <w:p>
      <w:pPr>
        <w:rPr>
          <w:rFonts w:ascii="宋体" w:hAnsi="宋体"/>
          <w:shd w:val="pct10" w:color="auto" w:fill="FFFFFF"/>
        </w:rPr>
      </w:pPr>
      <w:r>
        <w:fldChar w:fldCharType="begin"/>
      </w:r>
      <w:r>
        <w:instrText xml:space="preserve"> HYPERLINK \l "_Toc397169573" </w:instrText>
      </w:r>
      <w:r>
        <w:fldChar w:fldCharType="separate"/>
      </w:r>
      <w:r>
        <w:rPr>
          <w:rFonts w:hint="eastAsia" w:ascii="宋体" w:hAnsi="宋体"/>
          <w:b/>
          <w:bCs/>
        </w:rPr>
        <w:t>第四篇：就业发展趋势分析</w:t>
      </w:r>
      <w:r>
        <w:rPr>
          <w:rFonts w:hint="eastAsia" w:ascii="宋体" w:hAnsi="宋体"/>
          <w:b/>
          <w:bCs/>
        </w:rPr>
        <w:fldChar w:fldCharType="end"/>
      </w:r>
    </w:p>
    <w:p>
      <w:pPr>
        <w:ind w:left="420" w:leftChars="200"/>
        <w:rPr>
          <w:rFonts w:ascii="Calibri" w:hAnsi="Calibri"/>
        </w:rPr>
      </w:pPr>
      <w:r>
        <w:rPr>
          <w:rFonts w:hint="eastAsia" w:ascii="Calibri" w:hAnsi="Calibri"/>
        </w:rPr>
        <w:t>一、近三年规模</w:t>
      </w:r>
      <w:r>
        <w:rPr>
          <w:rFonts w:ascii="Calibri" w:hAnsi="Calibri"/>
        </w:rPr>
        <w:t>和</w:t>
      </w:r>
      <w:r>
        <w:rPr>
          <w:rFonts w:hint="eastAsia" w:ascii="Calibri" w:hAnsi="Calibri"/>
        </w:rPr>
        <w:t>就业率的变化</w:t>
      </w:r>
      <w:r>
        <w:rPr>
          <w:rFonts w:ascii="Calibri" w:hAnsi="Calibri"/>
        </w:rPr>
        <w:t>趋势</w:t>
      </w:r>
      <w:r>
        <w:rPr>
          <w:rFonts w:hint="eastAsia" w:ascii="Calibri" w:hAnsi="Calibri"/>
        </w:rPr>
        <w:t>（复合图</w:t>
      </w:r>
      <w:r>
        <w:rPr>
          <w:rFonts w:ascii="Calibri" w:hAnsi="Calibri"/>
        </w:rPr>
        <w:t>）</w:t>
      </w:r>
    </w:p>
    <w:p>
      <w:pPr>
        <w:ind w:left="420" w:leftChars="200"/>
        <w:rPr>
          <w:rFonts w:ascii="Calibri" w:hAnsi="Calibri"/>
        </w:rPr>
      </w:pPr>
      <w:r>
        <w:rPr>
          <w:rFonts w:hint="eastAsia" w:ascii="Calibri" w:hAnsi="Calibri"/>
        </w:rPr>
        <w:t>二、近三年毕业去向的变化</w:t>
      </w:r>
      <w:r>
        <w:rPr>
          <w:rFonts w:ascii="Calibri" w:hAnsi="Calibri"/>
        </w:rPr>
        <w:t>趋势</w:t>
      </w:r>
      <w:r>
        <w:rPr>
          <w:rFonts w:hint="eastAsia" w:ascii="Calibri" w:hAnsi="Calibri"/>
        </w:rPr>
        <w:t>（折线图</w:t>
      </w:r>
      <w:r>
        <w:rPr>
          <w:rFonts w:ascii="Calibri" w:hAnsi="Calibri"/>
        </w:rPr>
        <w:t>）</w:t>
      </w:r>
    </w:p>
    <w:p>
      <w:pPr>
        <w:ind w:left="420" w:leftChars="200"/>
        <w:rPr>
          <w:rFonts w:ascii="Calibri" w:hAnsi="Calibri"/>
        </w:rPr>
      </w:pPr>
      <w:r>
        <w:rPr>
          <w:rFonts w:hint="eastAsia" w:ascii="Calibri" w:hAnsi="Calibri"/>
        </w:rPr>
        <w:t>三、近三年薪酬的变化</w:t>
      </w:r>
      <w:r>
        <w:rPr>
          <w:rFonts w:ascii="Calibri" w:hAnsi="Calibri"/>
        </w:rPr>
        <w:t>趋势</w:t>
      </w:r>
      <w:r>
        <w:rPr>
          <w:rFonts w:hint="eastAsia" w:ascii="Calibri" w:hAnsi="Calibri"/>
        </w:rPr>
        <w:t>（柱形图</w:t>
      </w:r>
      <w:r>
        <w:rPr>
          <w:rFonts w:ascii="Calibri" w:hAnsi="Calibri"/>
        </w:rPr>
        <w:t>）</w:t>
      </w:r>
    </w:p>
    <w:p>
      <w:pPr>
        <w:ind w:left="420" w:leftChars="200"/>
        <w:rPr>
          <w:rFonts w:ascii="Calibri" w:hAnsi="Calibri"/>
        </w:rPr>
      </w:pPr>
      <w:r>
        <w:rPr>
          <w:rFonts w:hint="eastAsia" w:ascii="Calibri" w:hAnsi="Calibri"/>
        </w:rPr>
        <w:t>四、近三年就业</w:t>
      </w:r>
      <w:r>
        <w:rPr>
          <w:rFonts w:ascii="Calibri" w:hAnsi="Calibri"/>
        </w:rPr>
        <w:t>地区</w:t>
      </w:r>
      <w:r>
        <w:rPr>
          <w:rFonts w:hint="eastAsia" w:ascii="Calibri" w:hAnsi="Calibri"/>
        </w:rPr>
        <w:t>的变化</w:t>
      </w:r>
      <w:r>
        <w:rPr>
          <w:rFonts w:ascii="Calibri" w:hAnsi="Calibri"/>
        </w:rPr>
        <w:t>趋势</w:t>
      </w:r>
      <w:r>
        <w:rPr>
          <w:rFonts w:hint="eastAsia" w:ascii="Calibri" w:hAnsi="Calibri"/>
        </w:rPr>
        <w:t>（柱形图</w:t>
      </w:r>
      <w:r>
        <w:rPr>
          <w:rFonts w:ascii="Calibri" w:hAnsi="Calibri"/>
        </w:rPr>
        <w:t>）</w:t>
      </w:r>
    </w:p>
    <w:p>
      <w:pPr>
        <w:ind w:left="420" w:leftChars="200"/>
        <w:rPr>
          <w:rFonts w:ascii="Calibri" w:hAnsi="Calibri"/>
        </w:rPr>
      </w:pPr>
      <w:r>
        <w:rPr>
          <w:rFonts w:hint="eastAsia" w:ascii="Calibri" w:hAnsi="Calibri"/>
        </w:rPr>
        <w:t>五、近三年就业</w:t>
      </w:r>
      <w:r>
        <w:rPr>
          <w:rFonts w:ascii="Calibri" w:hAnsi="Calibri"/>
        </w:rPr>
        <w:t>行业</w:t>
      </w:r>
      <w:r>
        <w:rPr>
          <w:rFonts w:hint="eastAsia" w:ascii="Calibri" w:hAnsi="Calibri"/>
        </w:rPr>
        <w:t>的变化</w:t>
      </w:r>
      <w:r>
        <w:rPr>
          <w:rFonts w:ascii="Calibri" w:hAnsi="Calibri"/>
        </w:rPr>
        <w:t>趋势</w:t>
      </w:r>
      <w:r>
        <w:rPr>
          <w:rFonts w:hint="eastAsia" w:ascii="Calibri" w:hAnsi="Calibri"/>
        </w:rPr>
        <w:t>（柱形图</w:t>
      </w:r>
      <w:r>
        <w:rPr>
          <w:rFonts w:ascii="Calibri" w:hAnsi="Calibri"/>
        </w:rPr>
        <w:t>）</w:t>
      </w:r>
    </w:p>
    <w:p>
      <w:pPr>
        <w:ind w:left="420" w:leftChars="200"/>
        <w:rPr>
          <w:rFonts w:ascii="Calibri" w:hAnsi="Calibri"/>
        </w:rPr>
      </w:pPr>
      <w:r>
        <w:rPr>
          <w:rFonts w:hint="eastAsia" w:ascii="Calibri" w:hAnsi="Calibri"/>
        </w:rPr>
        <w:t>六、近三年就业</w:t>
      </w:r>
      <w:r>
        <w:rPr>
          <w:rFonts w:ascii="Calibri" w:hAnsi="Calibri"/>
        </w:rPr>
        <w:t>单位</w:t>
      </w:r>
      <w:r>
        <w:rPr>
          <w:rFonts w:hint="eastAsia" w:ascii="Calibri" w:hAnsi="Calibri"/>
        </w:rPr>
        <w:t>的变化</w:t>
      </w:r>
      <w:r>
        <w:rPr>
          <w:rFonts w:ascii="Calibri" w:hAnsi="Calibri"/>
        </w:rPr>
        <w:t>趋势</w:t>
      </w:r>
      <w:r>
        <w:rPr>
          <w:rFonts w:hint="eastAsia" w:ascii="Calibri" w:hAnsi="Calibri"/>
        </w:rPr>
        <w:t>（条形图</w:t>
      </w:r>
      <w:r>
        <w:rPr>
          <w:rFonts w:ascii="Calibri" w:hAnsi="Calibri"/>
        </w:rPr>
        <w:t>）</w:t>
      </w:r>
    </w:p>
    <w:p>
      <w:pPr>
        <w:tabs>
          <w:tab w:val="right" w:pos="8306"/>
        </w:tabs>
        <w:outlineLvl w:val="0"/>
        <w:rPr>
          <w:rFonts w:ascii="宋体" w:hAnsi="宋体"/>
        </w:rPr>
      </w:pPr>
      <w:r>
        <w:fldChar w:fldCharType="begin"/>
      </w:r>
      <w:r>
        <w:instrText xml:space="preserve"> HYPERLINK \l "_Toc397169579" </w:instrText>
      </w:r>
      <w:r>
        <w:fldChar w:fldCharType="separate"/>
      </w:r>
      <w:r>
        <w:rPr>
          <w:rFonts w:hint="eastAsia" w:ascii="宋体" w:hAnsi="宋体"/>
          <w:b/>
          <w:bCs/>
        </w:rPr>
        <w:t>第五篇：就业对教育教学的反馈</w:t>
      </w:r>
      <w:r>
        <w:rPr>
          <w:rFonts w:hint="eastAsia" w:ascii="宋体" w:hAnsi="宋体"/>
          <w:b/>
          <w:bCs/>
        </w:rPr>
        <w:fldChar w:fldCharType="end"/>
      </w:r>
    </w:p>
    <w:p>
      <w:pPr>
        <w:ind w:left="420" w:leftChars="200"/>
        <w:rPr>
          <w:rFonts w:ascii="Calibri" w:hAnsi="Calibri"/>
          <w:b/>
        </w:rPr>
      </w:pPr>
      <w:r>
        <w:rPr>
          <w:rFonts w:hint="eastAsia" w:ascii="Calibri" w:hAnsi="Calibri"/>
          <w:b/>
        </w:rPr>
        <w:t>一</w:t>
      </w:r>
      <w:r>
        <w:rPr>
          <w:rFonts w:ascii="Calibri" w:hAnsi="Calibri"/>
          <w:b/>
        </w:rPr>
        <w:t>、</w:t>
      </w:r>
      <w:r>
        <w:rPr>
          <w:rFonts w:hint="eastAsia" w:ascii="Calibri" w:hAnsi="Calibri"/>
          <w:b/>
        </w:rPr>
        <w:t>对人才培养的反馈</w:t>
      </w:r>
    </w:p>
    <w:p>
      <w:pPr>
        <w:ind w:left="840" w:leftChars="400"/>
        <w:rPr>
          <w:rFonts w:ascii="宋体" w:hAnsi="宋体"/>
        </w:rPr>
      </w:pPr>
      <w:r>
        <w:rPr>
          <w:rFonts w:hint="eastAsia" w:ascii="宋体" w:hAnsi="宋体"/>
        </w:rPr>
        <w:t>（一</w:t>
      </w:r>
      <w:r>
        <w:rPr>
          <w:rFonts w:ascii="宋体" w:hAnsi="宋体"/>
        </w:rPr>
        <w:t>）对</w:t>
      </w:r>
      <w:r>
        <w:rPr>
          <w:rFonts w:hint="eastAsia" w:ascii="宋体" w:hAnsi="宋体"/>
        </w:rPr>
        <w:t>人才培养的评价</w:t>
      </w:r>
    </w:p>
    <w:p>
      <w:pPr>
        <w:ind w:left="420" w:leftChars="200" w:firstLine="840" w:firstLineChars="400"/>
        <w:rPr>
          <w:rFonts w:ascii="Calibri" w:hAnsi="Calibri"/>
        </w:rPr>
      </w:pPr>
      <w:r>
        <w:rPr>
          <w:rFonts w:hint="eastAsia" w:ascii="Calibri" w:hAnsi="Calibri"/>
        </w:rPr>
        <w:t>1</w:t>
      </w:r>
      <w:r>
        <w:rPr>
          <w:rFonts w:ascii="Calibri" w:hAnsi="Calibri"/>
        </w:rPr>
        <w:t>.</w:t>
      </w:r>
      <w:r>
        <w:rPr>
          <w:rFonts w:hint="eastAsia" w:ascii="Calibri" w:hAnsi="Calibri"/>
        </w:rPr>
        <w:t>母校的满意度（柱形图</w:t>
      </w:r>
      <w:r>
        <w:rPr>
          <w:rFonts w:ascii="Calibri" w:hAnsi="Calibri"/>
        </w:rPr>
        <w:t>）</w:t>
      </w:r>
    </w:p>
    <w:p>
      <w:pPr>
        <w:ind w:left="420" w:leftChars="200" w:firstLine="840" w:firstLineChars="400"/>
        <w:rPr>
          <w:rFonts w:ascii="Calibri" w:hAnsi="Calibri"/>
        </w:rPr>
      </w:pPr>
      <w:r>
        <w:rPr>
          <w:rFonts w:hint="eastAsia" w:ascii="Calibri" w:hAnsi="Calibri"/>
        </w:rPr>
        <w:t>2</w:t>
      </w:r>
      <w:r>
        <w:rPr>
          <w:rFonts w:ascii="Calibri" w:hAnsi="Calibri"/>
        </w:rPr>
        <w:t>.</w:t>
      </w:r>
      <w:r>
        <w:rPr>
          <w:rFonts w:hint="eastAsia" w:ascii="Calibri" w:hAnsi="Calibri"/>
        </w:rPr>
        <w:t>母校的</w:t>
      </w:r>
      <w:r>
        <w:rPr>
          <w:rFonts w:ascii="Calibri" w:hAnsi="Calibri"/>
        </w:rPr>
        <w:t>推荐度</w:t>
      </w:r>
      <w:r>
        <w:rPr>
          <w:rFonts w:hint="eastAsia" w:ascii="Calibri" w:hAnsi="Calibri"/>
        </w:rPr>
        <w:t>（柱状</w:t>
      </w:r>
      <w:r>
        <w:rPr>
          <w:rFonts w:ascii="Calibri" w:hAnsi="Calibri"/>
        </w:rPr>
        <w:t>构成</w:t>
      </w:r>
      <w:r>
        <w:rPr>
          <w:rFonts w:hint="eastAsia" w:ascii="Calibri" w:hAnsi="Calibri"/>
        </w:rPr>
        <w:t>图</w:t>
      </w:r>
      <w:r>
        <w:rPr>
          <w:rFonts w:ascii="Calibri" w:hAnsi="Calibri"/>
        </w:rPr>
        <w:t>）</w:t>
      </w:r>
    </w:p>
    <w:p>
      <w:pPr>
        <w:ind w:left="420" w:leftChars="200" w:firstLine="840" w:firstLineChars="400"/>
        <w:rPr>
          <w:rFonts w:ascii="Calibri" w:hAnsi="Calibri"/>
        </w:rPr>
      </w:pPr>
      <w:r>
        <w:rPr>
          <w:rFonts w:hint="eastAsia" w:ascii="Calibri" w:hAnsi="Calibri"/>
        </w:rPr>
        <w:t>3.对课堂教学的评价（柱形图）</w:t>
      </w:r>
    </w:p>
    <w:p>
      <w:pPr>
        <w:ind w:left="420" w:leftChars="200" w:firstLine="840" w:firstLineChars="400"/>
        <w:rPr>
          <w:rFonts w:ascii="仿宋" w:hAnsi="仿宋" w:eastAsia="仿宋"/>
        </w:rPr>
      </w:pPr>
      <w:r>
        <w:rPr>
          <w:rFonts w:hint="eastAsia" w:ascii="Calibri" w:hAnsi="Calibri"/>
        </w:rPr>
        <w:t>4.对实践教学的评价（柱形图）</w:t>
      </w:r>
    </w:p>
    <w:p>
      <w:pPr>
        <w:ind w:left="420" w:leftChars="200" w:firstLine="840" w:firstLineChars="400"/>
        <w:rPr>
          <w:rFonts w:ascii="Calibri" w:hAnsi="Calibri"/>
        </w:rPr>
      </w:pPr>
      <w:r>
        <w:rPr>
          <w:rFonts w:hint="eastAsia" w:ascii="Calibri" w:hAnsi="Calibri"/>
        </w:rPr>
        <w:t>5.对教师的评价（柱形图）</w:t>
      </w:r>
    </w:p>
    <w:p>
      <w:pPr>
        <w:ind w:left="420" w:leftChars="200" w:firstLine="840" w:firstLineChars="400"/>
        <w:rPr>
          <w:rFonts w:ascii="Calibri" w:hAnsi="Calibri"/>
        </w:rPr>
      </w:pPr>
      <w:r>
        <w:rPr>
          <w:rFonts w:hint="eastAsia" w:ascii="Calibri" w:hAnsi="Calibri"/>
        </w:rPr>
        <w:t>6.毕业生能力素质的评价（条形图）</w:t>
      </w:r>
    </w:p>
    <w:p>
      <w:pPr>
        <w:ind w:left="840" w:leftChars="400"/>
        <w:rPr>
          <w:rFonts w:ascii="宋体" w:hAnsi="宋体"/>
        </w:rPr>
      </w:pPr>
      <w:r>
        <w:rPr>
          <w:rFonts w:hint="eastAsia" w:ascii="宋体" w:hAnsi="宋体"/>
        </w:rPr>
        <w:t>（二</w:t>
      </w:r>
      <w:r>
        <w:rPr>
          <w:rFonts w:ascii="宋体" w:hAnsi="宋体"/>
        </w:rPr>
        <w:t>）</w:t>
      </w:r>
      <w:r>
        <w:rPr>
          <w:rFonts w:hint="eastAsia" w:ascii="宋体" w:hAnsi="宋体"/>
        </w:rPr>
        <w:t>人才培养改进措施</w:t>
      </w:r>
    </w:p>
    <w:p>
      <w:pPr>
        <w:ind w:firstLine="482"/>
        <w:rPr>
          <w:rFonts w:ascii="Calibri" w:hAnsi="Calibri"/>
          <w:b/>
        </w:rPr>
      </w:pPr>
      <w:r>
        <w:fldChar w:fldCharType="begin"/>
      </w:r>
      <w:r>
        <w:instrText xml:space="preserve"> HYPERLINK \l "_Toc397169586" </w:instrText>
      </w:r>
      <w:r>
        <w:fldChar w:fldCharType="separate"/>
      </w:r>
      <w:r>
        <w:rPr>
          <w:rFonts w:hint="eastAsia" w:ascii="Calibri" w:hAnsi="Calibri"/>
          <w:b/>
        </w:rPr>
        <w:t>二、对招生和专业设置的</w:t>
      </w:r>
      <w:r>
        <w:rPr>
          <w:rFonts w:hint="eastAsia" w:ascii="Calibri" w:hAnsi="Calibri"/>
          <w:b/>
        </w:rPr>
        <w:fldChar w:fldCharType="end"/>
      </w:r>
      <w:r>
        <w:rPr>
          <w:rFonts w:hint="eastAsia" w:ascii="Calibri" w:hAnsi="Calibri"/>
          <w:b/>
        </w:rPr>
        <w:t>反馈</w:t>
      </w:r>
    </w:p>
    <w:p>
      <w:pPr>
        <w:ind w:firstLine="482"/>
        <w:rPr>
          <w:rFonts w:ascii="Calibri" w:hAnsi="Calibri"/>
          <w:b/>
        </w:rPr>
      </w:pPr>
      <w:r>
        <w:fldChar w:fldCharType="begin"/>
      </w:r>
      <w:r>
        <w:instrText xml:space="preserve"> HYPERLINK \l "_Toc397169586" </w:instrText>
      </w:r>
      <w:r>
        <w:fldChar w:fldCharType="separate"/>
      </w:r>
      <w:r>
        <w:rPr>
          <w:rFonts w:hint="eastAsia" w:ascii="Calibri" w:hAnsi="Calibri"/>
          <w:b/>
        </w:rPr>
        <w:t>三、对就创业指导服务工作的</w:t>
      </w:r>
      <w:r>
        <w:rPr>
          <w:rFonts w:hint="eastAsia" w:ascii="Calibri" w:hAnsi="Calibri"/>
          <w:b/>
        </w:rPr>
        <w:fldChar w:fldCharType="end"/>
      </w:r>
      <w:r>
        <w:rPr>
          <w:rFonts w:hint="eastAsia" w:ascii="Calibri" w:hAnsi="Calibri"/>
          <w:b/>
        </w:rPr>
        <w:t>反馈</w:t>
      </w:r>
    </w:p>
    <w:p>
      <w:pPr>
        <w:ind w:left="840" w:leftChars="400"/>
        <w:rPr>
          <w:rFonts w:ascii="宋体" w:hAnsi="宋体"/>
        </w:rPr>
      </w:pPr>
      <w:r>
        <w:rPr>
          <w:rFonts w:hint="eastAsia" w:ascii="宋体" w:hAnsi="宋体"/>
        </w:rPr>
        <w:t>（一</w:t>
      </w:r>
      <w:r>
        <w:rPr>
          <w:rFonts w:ascii="宋体" w:hAnsi="宋体"/>
        </w:rPr>
        <w:t>）对</w:t>
      </w:r>
      <w:r>
        <w:rPr>
          <w:rFonts w:hint="eastAsia" w:ascii="宋体" w:hAnsi="宋体"/>
        </w:rPr>
        <w:t>就创业指导服务工作的评价</w:t>
      </w:r>
    </w:p>
    <w:p>
      <w:pPr>
        <w:ind w:left="420" w:leftChars="200" w:firstLine="840" w:firstLineChars="400"/>
        <w:rPr>
          <w:rFonts w:ascii="Calibri" w:hAnsi="Calibri"/>
        </w:rPr>
      </w:pPr>
      <w:r>
        <w:rPr>
          <w:rFonts w:hint="eastAsia" w:ascii="Calibri" w:hAnsi="Calibri"/>
        </w:rPr>
        <w:t>1</w:t>
      </w:r>
      <w:r>
        <w:rPr>
          <w:rFonts w:ascii="Calibri" w:hAnsi="Calibri"/>
        </w:rPr>
        <w:t>.</w:t>
      </w:r>
      <w:r>
        <w:rPr>
          <w:rFonts w:hint="eastAsia" w:ascii="Calibri" w:hAnsi="Calibri"/>
        </w:rPr>
        <w:t>毕业生对学校就业指导服务的评价（柱形图</w:t>
      </w:r>
      <w:r>
        <w:rPr>
          <w:rFonts w:ascii="Calibri" w:hAnsi="Calibri"/>
        </w:rPr>
        <w:t>）</w:t>
      </w:r>
    </w:p>
    <w:p>
      <w:pPr>
        <w:ind w:left="420" w:leftChars="200" w:firstLine="840" w:firstLineChars="400"/>
        <w:rPr>
          <w:rFonts w:ascii="Calibri" w:hAnsi="Calibri"/>
        </w:rPr>
      </w:pPr>
      <w:r>
        <w:rPr>
          <w:rFonts w:hint="eastAsia" w:ascii="Calibri" w:hAnsi="Calibri"/>
        </w:rPr>
        <w:t>2</w:t>
      </w:r>
      <w:r>
        <w:rPr>
          <w:rFonts w:ascii="Calibri" w:hAnsi="Calibri"/>
        </w:rPr>
        <w:t>.</w:t>
      </w:r>
      <w:r>
        <w:rPr>
          <w:rFonts w:hint="eastAsia" w:ascii="Calibri" w:hAnsi="Calibri"/>
        </w:rPr>
        <w:t>毕业生对学校创业指导服务的评价（柱形图</w:t>
      </w:r>
      <w:r>
        <w:rPr>
          <w:rFonts w:ascii="Calibri" w:hAnsi="Calibri"/>
        </w:rPr>
        <w:t>）</w:t>
      </w:r>
    </w:p>
    <w:p>
      <w:pPr>
        <w:ind w:left="420" w:leftChars="200" w:firstLine="840" w:firstLineChars="400"/>
        <w:rPr>
          <w:rFonts w:ascii="Calibri" w:hAnsi="Calibri"/>
        </w:rPr>
      </w:pPr>
      <w:r>
        <w:rPr>
          <w:rFonts w:hint="eastAsia" w:ascii="Calibri" w:hAnsi="Calibri"/>
        </w:rPr>
        <w:t>3.用人单位对学校就业服务工作的评价（饼图）</w:t>
      </w:r>
    </w:p>
    <w:p>
      <w:pPr>
        <w:ind w:left="840" w:leftChars="400"/>
        <w:rPr>
          <w:rFonts w:ascii="宋体" w:hAnsi="宋体"/>
        </w:rPr>
      </w:pPr>
      <w:r>
        <w:rPr>
          <w:rFonts w:hint="eastAsia" w:ascii="宋体" w:hAnsi="宋体"/>
        </w:rPr>
        <w:t>（二</w:t>
      </w:r>
      <w:r>
        <w:rPr>
          <w:rFonts w:ascii="宋体" w:hAnsi="宋体"/>
        </w:rPr>
        <w:t>）</w:t>
      </w:r>
      <w:r>
        <w:rPr>
          <w:rFonts w:hint="eastAsia" w:ascii="宋体" w:hAnsi="宋体"/>
        </w:rPr>
        <w:t>对就创业指导服务工作改进措施</w:t>
      </w:r>
    </w:p>
    <w:p/>
    <w:p/>
    <w:p>
      <w:r>
        <w:rPr>
          <w:rFonts w:hint="eastAsia"/>
        </w:rPr>
        <w:t>附件二：</w:t>
      </w:r>
    </w:p>
    <w:p>
      <w:pPr>
        <w:jc w:val="center"/>
        <w:rPr>
          <w:sz w:val="30"/>
          <w:szCs w:val="30"/>
        </w:rPr>
      </w:pPr>
      <w:r>
        <w:rPr>
          <w:rFonts w:hint="eastAsia"/>
          <w:b/>
          <w:bCs/>
          <w:sz w:val="30"/>
          <w:szCs w:val="30"/>
        </w:rPr>
        <w:t>铜陵学院毕业生培养质量中期评价报告大纲（参考格式）</w:t>
      </w:r>
    </w:p>
    <w:p>
      <w:pPr>
        <w:rPr>
          <w:b/>
        </w:rPr>
      </w:pPr>
      <w:r>
        <w:rPr>
          <w:rFonts w:hint="eastAsia"/>
          <w:b/>
        </w:rPr>
        <w:t>中期发展及问题</w:t>
      </w:r>
    </w:p>
    <w:p>
      <w:pPr>
        <w:rPr>
          <w:b/>
          <w:i/>
        </w:rPr>
      </w:pPr>
      <w:r>
        <w:rPr>
          <w:rFonts w:hint="eastAsia"/>
          <w:b/>
        </w:rPr>
        <w:t>第一部分</w:t>
      </w:r>
      <w:r>
        <w:rPr>
          <w:b/>
        </w:rPr>
        <w:t xml:space="preserve"> </w:t>
      </w:r>
      <w:r>
        <w:rPr>
          <w:rFonts w:hint="eastAsia"/>
          <w:b/>
        </w:rPr>
        <w:t>主要发现</w:t>
      </w:r>
    </w:p>
    <w:p>
      <w:pPr>
        <w:numPr>
          <w:ilvl w:val="0"/>
          <w:numId w:val="6"/>
        </w:numPr>
        <w:rPr>
          <w:b/>
        </w:rPr>
      </w:pPr>
      <w:r>
        <w:rPr>
          <w:rFonts w:hint="eastAsia"/>
          <w:b/>
        </w:rPr>
        <w:t>中期发展</w:t>
      </w:r>
    </w:p>
    <w:p>
      <w:pPr>
        <w:numPr>
          <w:ilvl w:val="0"/>
          <w:numId w:val="6"/>
        </w:numPr>
        <w:rPr>
          <w:b/>
        </w:rPr>
      </w:pPr>
      <w:r>
        <w:rPr>
          <w:rFonts w:hint="eastAsia"/>
          <w:b/>
        </w:rPr>
        <w:t>专业定位</w:t>
      </w:r>
    </w:p>
    <w:p>
      <w:pPr>
        <w:numPr>
          <w:ilvl w:val="0"/>
          <w:numId w:val="6"/>
        </w:numPr>
        <w:rPr>
          <w:b/>
        </w:rPr>
      </w:pPr>
      <w:r>
        <w:rPr>
          <w:rFonts w:hint="eastAsia"/>
          <w:b/>
        </w:rPr>
        <w:t>培养目标达成</w:t>
      </w:r>
    </w:p>
    <w:p>
      <w:pPr>
        <w:numPr>
          <w:ilvl w:val="0"/>
          <w:numId w:val="6"/>
        </w:numPr>
        <w:rPr>
          <w:b/>
        </w:rPr>
      </w:pPr>
      <w:r>
        <w:rPr>
          <w:rFonts w:hint="eastAsia"/>
          <w:b/>
        </w:rPr>
        <w:t>优秀毕业生</w:t>
      </w:r>
    </w:p>
    <w:p>
      <w:pPr>
        <w:rPr>
          <w:b/>
        </w:rPr>
      </w:pPr>
      <w:r>
        <w:rPr>
          <w:rFonts w:hint="eastAsia"/>
          <w:b/>
        </w:rPr>
        <w:t>第二部分</w:t>
      </w:r>
      <w:r>
        <w:rPr>
          <w:b/>
        </w:rPr>
        <w:t xml:space="preserve"> </w:t>
      </w:r>
      <w:r>
        <w:rPr>
          <w:rFonts w:hint="eastAsia"/>
          <w:b/>
        </w:rPr>
        <w:t>分析报告</w:t>
      </w:r>
    </w:p>
    <w:p>
      <w:pPr>
        <w:rPr>
          <w:b/>
        </w:rPr>
      </w:pPr>
      <w:r>
        <w:rPr>
          <w:rFonts w:hint="eastAsia"/>
          <w:b/>
        </w:rPr>
        <w:t>第一章</w:t>
      </w:r>
      <w:r>
        <w:rPr>
          <w:b/>
        </w:rPr>
        <w:tab/>
      </w:r>
      <w:r>
        <w:rPr>
          <w:rFonts w:hint="eastAsia"/>
          <w:b/>
        </w:rPr>
        <w:t>中期发展</w:t>
      </w:r>
    </w:p>
    <w:p>
      <w:pPr>
        <w:numPr>
          <w:ilvl w:val="0"/>
          <w:numId w:val="7"/>
        </w:numPr>
        <w:rPr>
          <w:b/>
        </w:rPr>
      </w:pPr>
      <w:r>
        <w:rPr>
          <w:rFonts w:hint="eastAsia"/>
          <w:b/>
        </w:rPr>
        <w:t>就业状态分布</w:t>
      </w:r>
    </w:p>
    <w:p>
      <w:pPr>
        <w:numPr>
          <w:ilvl w:val="0"/>
          <w:numId w:val="8"/>
        </w:numPr>
      </w:pPr>
      <w:r>
        <w:rPr>
          <w:rFonts w:hint="eastAsia"/>
        </w:rPr>
        <w:t>毕业生就业状态分布（柱形图，与全国对比）</w:t>
      </w:r>
    </w:p>
    <w:p>
      <w:pPr>
        <w:numPr>
          <w:ilvl w:val="0"/>
          <w:numId w:val="7"/>
        </w:numPr>
        <w:rPr>
          <w:b/>
        </w:rPr>
      </w:pPr>
      <w:r>
        <w:rPr>
          <w:rFonts w:hint="eastAsia"/>
          <w:b/>
        </w:rPr>
        <w:t>月收入（</w:t>
      </w:r>
      <w:r>
        <w:rPr>
          <w:rFonts w:hint="eastAsia"/>
        </w:rPr>
        <w:t>与全国对比</w:t>
      </w:r>
      <w:r>
        <w:rPr>
          <w:rFonts w:hint="eastAsia"/>
          <w:b/>
        </w:rPr>
        <w:t>）</w:t>
      </w:r>
    </w:p>
    <w:p>
      <w:pPr>
        <w:numPr>
          <w:ilvl w:val="0"/>
          <w:numId w:val="9"/>
        </w:numPr>
      </w:pPr>
      <w:r>
        <w:rPr>
          <w:rFonts w:hint="eastAsia"/>
        </w:rPr>
        <w:t>毕业生月收入（柱形图）</w:t>
      </w:r>
    </w:p>
    <w:p>
      <w:pPr>
        <w:numPr>
          <w:ilvl w:val="0"/>
          <w:numId w:val="9"/>
        </w:numPr>
      </w:pPr>
      <w:r>
        <w:rPr>
          <w:rFonts w:hint="eastAsia"/>
        </w:rPr>
        <w:t>主要职业类月收入（条形图）</w:t>
      </w:r>
    </w:p>
    <w:p>
      <w:pPr>
        <w:numPr>
          <w:ilvl w:val="0"/>
          <w:numId w:val="9"/>
        </w:numPr>
      </w:pPr>
      <w:r>
        <w:rPr>
          <w:rFonts w:hint="eastAsia"/>
        </w:rPr>
        <w:t>主要行业类月收入（条形图）</w:t>
      </w:r>
    </w:p>
    <w:p>
      <w:pPr>
        <w:numPr>
          <w:ilvl w:val="0"/>
          <w:numId w:val="9"/>
        </w:numPr>
      </w:pPr>
      <w:r>
        <w:rPr>
          <w:rFonts w:hint="eastAsia"/>
        </w:rPr>
        <w:t>各学院</w:t>
      </w:r>
      <w:r>
        <w:t>/</w:t>
      </w:r>
      <w:r>
        <w:rPr>
          <w:rFonts w:hint="eastAsia"/>
        </w:rPr>
        <w:t>专业毕业生月收入（条形图）</w:t>
      </w:r>
    </w:p>
    <w:p>
      <w:pPr>
        <w:numPr>
          <w:ilvl w:val="0"/>
          <w:numId w:val="7"/>
        </w:numPr>
        <w:rPr>
          <w:b/>
        </w:rPr>
      </w:pPr>
      <w:r>
        <w:rPr>
          <w:rFonts w:hint="eastAsia"/>
          <w:b/>
        </w:rPr>
        <w:t>职位晋升</w:t>
      </w:r>
    </w:p>
    <w:p>
      <w:pPr>
        <w:numPr>
          <w:ilvl w:val="0"/>
          <w:numId w:val="10"/>
        </w:numPr>
      </w:pPr>
      <w:r>
        <w:rPr>
          <w:rFonts w:hint="eastAsia"/>
        </w:rPr>
        <w:t>毕业生职位晋升比例（柱形图，与全国对比）</w:t>
      </w:r>
    </w:p>
    <w:p>
      <w:pPr>
        <w:numPr>
          <w:ilvl w:val="0"/>
          <w:numId w:val="10"/>
        </w:numPr>
      </w:pPr>
      <w:r>
        <w:rPr>
          <w:rFonts w:hint="eastAsia"/>
        </w:rPr>
        <w:t>各学院</w:t>
      </w:r>
      <w:r>
        <w:t>/</w:t>
      </w:r>
      <w:r>
        <w:rPr>
          <w:rFonts w:hint="eastAsia"/>
        </w:rPr>
        <w:t>专业毕业生职位晋升比例（条形图，与全国对比）</w:t>
      </w:r>
    </w:p>
    <w:p>
      <w:pPr>
        <w:numPr>
          <w:ilvl w:val="0"/>
          <w:numId w:val="10"/>
        </w:numPr>
      </w:pPr>
      <w:r>
        <w:rPr>
          <w:rFonts w:hint="eastAsia"/>
        </w:rPr>
        <w:t>毕业生职位晋升频度分布（柱形图，与全国对比）</w:t>
      </w:r>
    </w:p>
    <w:p>
      <w:pPr>
        <w:numPr>
          <w:ilvl w:val="0"/>
          <w:numId w:val="10"/>
        </w:numPr>
      </w:pPr>
      <w:r>
        <w:rPr>
          <w:rFonts w:hint="eastAsia"/>
        </w:rPr>
        <w:t>毕业生职位晋升次数（柱形图，与全国对比）</w:t>
      </w:r>
    </w:p>
    <w:p>
      <w:pPr>
        <w:numPr>
          <w:ilvl w:val="0"/>
          <w:numId w:val="10"/>
        </w:numPr>
      </w:pPr>
      <w:r>
        <w:rPr>
          <w:rFonts w:hint="eastAsia"/>
        </w:rPr>
        <w:t>各学院</w:t>
      </w:r>
      <w:r>
        <w:t>/</w:t>
      </w:r>
      <w:r>
        <w:rPr>
          <w:rFonts w:hint="eastAsia"/>
        </w:rPr>
        <w:t>专业毕业生职位晋升次数（条形图）</w:t>
      </w:r>
    </w:p>
    <w:p>
      <w:pPr>
        <w:numPr>
          <w:ilvl w:val="0"/>
          <w:numId w:val="10"/>
        </w:numPr>
      </w:pPr>
      <w:r>
        <w:rPr>
          <w:rFonts w:hint="eastAsia"/>
        </w:rPr>
        <w:t>各学院及专业的职位晋升排名（表格）</w:t>
      </w:r>
    </w:p>
    <w:p>
      <w:pPr>
        <w:numPr>
          <w:ilvl w:val="0"/>
          <w:numId w:val="10"/>
        </w:numPr>
      </w:pPr>
      <w:r>
        <w:rPr>
          <w:rFonts w:hint="eastAsia"/>
        </w:rPr>
        <w:t>对晋升最有帮助的大学活动（条形图，与全国对比）</w:t>
      </w:r>
    </w:p>
    <w:p>
      <w:pPr>
        <w:rPr>
          <w:b/>
        </w:rPr>
      </w:pPr>
      <w:r>
        <w:rPr>
          <w:rFonts w:hint="eastAsia"/>
          <w:b/>
        </w:rPr>
        <w:t>第二章</w:t>
      </w:r>
      <w:r>
        <w:rPr>
          <w:b/>
        </w:rPr>
        <w:t xml:space="preserve"> </w:t>
      </w:r>
      <w:r>
        <w:rPr>
          <w:rFonts w:hint="eastAsia"/>
          <w:b/>
        </w:rPr>
        <w:t>专业定位</w:t>
      </w:r>
    </w:p>
    <w:p>
      <w:pPr>
        <w:numPr>
          <w:ilvl w:val="0"/>
          <w:numId w:val="11"/>
        </w:numPr>
        <w:rPr>
          <w:b/>
        </w:rPr>
      </w:pPr>
      <w:r>
        <w:rPr>
          <w:rFonts w:hint="eastAsia"/>
          <w:b/>
        </w:rPr>
        <w:t>工作与专业相关度</w:t>
      </w:r>
    </w:p>
    <w:p>
      <w:pPr>
        <w:numPr>
          <w:ilvl w:val="0"/>
          <w:numId w:val="12"/>
        </w:numPr>
      </w:pPr>
      <w:r>
        <w:rPr>
          <w:rFonts w:hint="eastAsia"/>
        </w:rPr>
        <w:t>毕业生工作与专业相关度（柱形图、与全国对比）</w:t>
      </w:r>
    </w:p>
    <w:p>
      <w:pPr>
        <w:numPr>
          <w:ilvl w:val="0"/>
          <w:numId w:val="12"/>
        </w:numPr>
      </w:pPr>
      <w:r>
        <w:rPr>
          <w:rFonts w:hint="eastAsia"/>
        </w:rPr>
        <w:t>各学院</w:t>
      </w:r>
      <w:r>
        <w:t>/</w:t>
      </w:r>
      <w:r>
        <w:rPr>
          <w:rFonts w:hint="eastAsia"/>
        </w:rPr>
        <w:t>专业毕业生的工作与专业相关度（条形图）</w:t>
      </w:r>
    </w:p>
    <w:p>
      <w:pPr>
        <w:numPr>
          <w:ilvl w:val="0"/>
          <w:numId w:val="11"/>
        </w:numPr>
        <w:rPr>
          <w:b/>
        </w:rPr>
      </w:pPr>
      <w:r>
        <w:rPr>
          <w:rFonts w:hint="eastAsia"/>
          <w:b/>
        </w:rPr>
        <w:t>职业定位</w:t>
      </w:r>
    </w:p>
    <w:p>
      <w:pPr>
        <w:numPr>
          <w:ilvl w:val="0"/>
          <w:numId w:val="13"/>
        </w:numPr>
      </w:pPr>
      <w:r>
        <w:rPr>
          <w:rFonts w:hint="eastAsia"/>
        </w:rPr>
        <w:t>职业分布（柱形图）</w:t>
      </w:r>
    </w:p>
    <w:p>
      <w:pPr>
        <w:numPr>
          <w:ilvl w:val="0"/>
          <w:numId w:val="13"/>
        </w:numPr>
      </w:pPr>
      <w:r>
        <w:rPr>
          <w:rFonts w:hint="eastAsia"/>
        </w:rPr>
        <w:t>各学院</w:t>
      </w:r>
      <w:r>
        <w:t>/</w:t>
      </w:r>
      <w:r>
        <w:rPr>
          <w:rFonts w:hint="eastAsia"/>
        </w:rPr>
        <w:t>专业毕业生主要就业职业（表格）</w:t>
      </w:r>
    </w:p>
    <w:p>
      <w:pPr>
        <w:numPr>
          <w:ilvl w:val="0"/>
          <w:numId w:val="11"/>
        </w:numPr>
        <w:rPr>
          <w:b/>
        </w:rPr>
      </w:pPr>
      <w:r>
        <w:rPr>
          <w:rFonts w:hint="eastAsia"/>
          <w:b/>
        </w:rPr>
        <w:t>行业定位</w:t>
      </w:r>
    </w:p>
    <w:p>
      <w:pPr>
        <w:numPr>
          <w:ilvl w:val="0"/>
          <w:numId w:val="14"/>
        </w:numPr>
      </w:pPr>
      <w:r>
        <w:rPr>
          <w:rFonts w:hint="eastAsia"/>
        </w:rPr>
        <w:t>行业分布（柱形图）</w:t>
      </w:r>
    </w:p>
    <w:p>
      <w:pPr>
        <w:numPr>
          <w:ilvl w:val="0"/>
          <w:numId w:val="14"/>
        </w:numPr>
      </w:pPr>
      <w:r>
        <w:rPr>
          <w:rFonts w:hint="eastAsia"/>
        </w:rPr>
        <w:t>各学院</w:t>
      </w:r>
      <w:r>
        <w:t>/</w:t>
      </w:r>
      <w:r>
        <w:rPr>
          <w:rFonts w:hint="eastAsia"/>
        </w:rPr>
        <w:t>专业毕业生主要就业行业（表格）</w:t>
      </w:r>
    </w:p>
    <w:p>
      <w:pPr>
        <w:numPr>
          <w:ilvl w:val="0"/>
          <w:numId w:val="11"/>
        </w:numPr>
        <w:rPr>
          <w:b/>
        </w:rPr>
      </w:pPr>
      <w:r>
        <w:rPr>
          <w:rFonts w:hint="eastAsia"/>
          <w:b/>
        </w:rPr>
        <w:t>地区人才贡献</w:t>
      </w:r>
    </w:p>
    <w:p>
      <w:pPr>
        <w:numPr>
          <w:ilvl w:val="0"/>
          <w:numId w:val="15"/>
        </w:numPr>
      </w:pPr>
      <w:bookmarkStart w:id="32" w:name="OLE_LINK2"/>
      <w:bookmarkStart w:id="33" w:name="OLE_LINK1"/>
      <w:r>
        <w:rPr>
          <w:rFonts w:hint="eastAsia"/>
        </w:rPr>
        <w:t>在本地就业的比例（柱形图）</w:t>
      </w:r>
    </w:p>
    <w:bookmarkEnd w:id="32"/>
    <w:bookmarkEnd w:id="33"/>
    <w:p>
      <w:pPr>
        <w:numPr>
          <w:ilvl w:val="0"/>
          <w:numId w:val="15"/>
        </w:numPr>
      </w:pPr>
      <w:r>
        <w:rPr>
          <w:rFonts w:hint="eastAsia"/>
        </w:rPr>
        <w:t>在本地就业的主要行业类及月收入（表格）</w:t>
      </w:r>
    </w:p>
    <w:p>
      <w:pPr>
        <w:numPr>
          <w:ilvl w:val="0"/>
          <w:numId w:val="15"/>
        </w:numPr>
      </w:pPr>
      <w:r>
        <w:rPr>
          <w:rFonts w:hint="eastAsia"/>
        </w:rPr>
        <w:t>就业城市及月收入（表格）</w:t>
      </w:r>
    </w:p>
    <w:p>
      <w:pPr>
        <w:rPr>
          <w:b/>
        </w:rPr>
      </w:pPr>
      <w:r>
        <w:rPr>
          <w:rFonts w:hint="eastAsia"/>
          <w:b/>
        </w:rPr>
        <w:t>第三章</w:t>
      </w:r>
      <w:r>
        <w:rPr>
          <w:b/>
        </w:rPr>
        <w:t xml:space="preserve"> </w:t>
      </w:r>
      <w:r>
        <w:rPr>
          <w:rFonts w:hint="eastAsia"/>
          <w:b/>
        </w:rPr>
        <w:t>培养目标达成</w:t>
      </w:r>
    </w:p>
    <w:p>
      <w:pPr>
        <w:numPr>
          <w:ilvl w:val="0"/>
          <w:numId w:val="16"/>
        </w:numPr>
        <w:rPr>
          <w:b/>
        </w:rPr>
      </w:pPr>
      <w:r>
        <w:rPr>
          <w:rFonts w:hint="eastAsia"/>
          <w:b/>
        </w:rPr>
        <w:t>培养目标</w:t>
      </w:r>
    </w:p>
    <w:p>
      <w:pPr>
        <w:numPr>
          <w:ilvl w:val="0"/>
          <w:numId w:val="17"/>
        </w:numPr>
        <w:rPr>
          <w:b/>
        </w:rPr>
      </w:pPr>
      <w:r>
        <w:rPr>
          <w:rFonts w:hint="eastAsia"/>
          <w:b/>
        </w:rPr>
        <w:t>能力达成情况</w:t>
      </w:r>
    </w:p>
    <w:p>
      <w:pPr>
        <w:numPr>
          <w:ilvl w:val="0"/>
          <w:numId w:val="18"/>
        </w:numPr>
      </w:pPr>
      <w:r>
        <w:rPr>
          <w:rFonts w:hint="eastAsia"/>
        </w:rPr>
        <w:t>各项能力达成度（条形图）</w:t>
      </w:r>
    </w:p>
    <w:p>
      <w:pPr>
        <w:numPr>
          <w:ilvl w:val="0"/>
          <w:numId w:val="18"/>
        </w:numPr>
      </w:pPr>
      <w:r>
        <w:rPr>
          <w:rFonts w:hint="eastAsia"/>
        </w:rPr>
        <w:t>各学院能力达成度（条形图）</w:t>
      </w:r>
    </w:p>
    <w:p>
      <w:pPr>
        <w:numPr>
          <w:ilvl w:val="0"/>
          <w:numId w:val="18"/>
        </w:numPr>
      </w:pPr>
      <w:r>
        <w:rPr>
          <w:rFonts w:hint="eastAsia"/>
        </w:rPr>
        <w:t>达成度低的能力的院系分析（条形图）</w:t>
      </w:r>
    </w:p>
    <w:p>
      <w:pPr>
        <w:numPr>
          <w:ilvl w:val="0"/>
          <w:numId w:val="17"/>
        </w:numPr>
        <w:rPr>
          <w:b/>
        </w:rPr>
      </w:pPr>
      <w:r>
        <w:rPr>
          <w:rFonts w:hint="eastAsia"/>
          <w:b/>
        </w:rPr>
        <w:t>在校影响分析</w:t>
      </w:r>
    </w:p>
    <w:p>
      <w:pPr>
        <w:numPr>
          <w:ilvl w:val="0"/>
          <w:numId w:val="19"/>
        </w:numPr>
      </w:pPr>
      <w:r>
        <w:rPr>
          <w:rFonts w:hint="eastAsia"/>
        </w:rPr>
        <w:t>在校经历对各项能力的影响（条形图）</w:t>
      </w:r>
    </w:p>
    <w:p>
      <w:pPr>
        <w:numPr>
          <w:ilvl w:val="0"/>
          <w:numId w:val="16"/>
        </w:numPr>
        <w:rPr>
          <w:b/>
        </w:rPr>
      </w:pPr>
      <w:r>
        <w:rPr>
          <w:rFonts w:hint="eastAsia"/>
          <w:b/>
        </w:rPr>
        <w:t>培养过程</w:t>
      </w:r>
    </w:p>
    <w:p>
      <w:pPr>
        <w:numPr>
          <w:ilvl w:val="0"/>
          <w:numId w:val="20"/>
        </w:numPr>
        <w:rPr>
          <w:b/>
        </w:rPr>
      </w:pPr>
      <w:r>
        <w:rPr>
          <w:rFonts w:hint="eastAsia"/>
          <w:b/>
        </w:rPr>
        <w:t>在校培养评价</w:t>
      </w:r>
    </w:p>
    <w:p>
      <w:pPr>
        <w:numPr>
          <w:ilvl w:val="0"/>
          <w:numId w:val="21"/>
        </w:numPr>
      </w:pPr>
      <w:r>
        <w:rPr>
          <w:rFonts w:hint="eastAsia"/>
        </w:rPr>
        <w:t>在校培养总体评价（饼图）</w:t>
      </w:r>
    </w:p>
    <w:p>
      <w:pPr>
        <w:numPr>
          <w:ilvl w:val="0"/>
          <w:numId w:val="21"/>
        </w:numPr>
      </w:pPr>
      <w:r>
        <w:rPr>
          <w:rFonts w:hint="eastAsia"/>
        </w:rPr>
        <w:t>各学院毕业生对在校培养的评价（堆积条形图）</w:t>
      </w:r>
    </w:p>
    <w:p>
      <w:pPr>
        <w:numPr>
          <w:ilvl w:val="0"/>
          <w:numId w:val="21"/>
        </w:numPr>
      </w:pPr>
      <w:r>
        <w:rPr>
          <w:rFonts w:hint="eastAsia"/>
        </w:rPr>
        <w:t>工作与专业相关</w:t>
      </w:r>
      <w:r>
        <w:t>/</w:t>
      </w:r>
      <w:r>
        <w:rPr>
          <w:rFonts w:hint="eastAsia"/>
        </w:rPr>
        <w:t>无关人群对在校培养的评价（柱形图）</w:t>
      </w:r>
    </w:p>
    <w:p>
      <w:pPr>
        <w:numPr>
          <w:ilvl w:val="0"/>
          <w:numId w:val="21"/>
        </w:numPr>
      </w:pPr>
      <w:r>
        <w:rPr>
          <w:rFonts w:hint="eastAsia"/>
        </w:rPr>
        <w:t>职位晋升</w:t>
      </w:r>
      <w:r>
        <w:t>/</w:t>
      </w:r>
      <w:r>
        <w:rPr>
          <w:rFonts w:hint="eastAsia"/>
        </w:rPr>
        <w:t>未晋升人群对在校培养的评价（柱形图）</w:t>
      </w:r>
    </w:p>
    <w:p>
      <w:pPr>
        <w:numPr>
          <w:ilvl w:val="0"/>
          <w:numId w:val="20"/>
        </w:numPr>
        <w:rPr>
          <w:b/>
        </w:rPr>
      </w:pPr>
      <w:r>
        <w:rPr>
          <w:rFonts w:hint="eastAsia"/>
          <w:b/>
        </w:rPr>
        <w:t>教学评价</w:t>
      </w:r>
    </w:p>
    <w:p>
      <w:pPr>
        <w:numPr>
          <w:ilvl w:val="0"/>
          <w:numId w:val="22"/>
        </w:numPr>
      </w:pPr>
      <w:r>
        <w:rPr>
          <w:rFonts w:hint="eastAsia"/>
        </w:rPr>
        <w:t>毕业生对母校教学的满意度（堆积条形图）</w:t>
      </w:r>
    </w:p>
    <w:p>
      <w:pPr>
        <w:numPr>
          <w:ilvl w:val="0"/>
          <w:numId w:val="22"/>
        </w:numPr>
      </w:pPr>
      <w:r>
        <w:rPr>
          <w:rFonts w:hint="eastAsia"/>
        </w:rPr>
        <w:t>各学院毕业生对母校教学的满意度评价（条形图）</w:t>
      </w:r>
    </w:p>
    <w:p>
      <w:pPr>
        <w:numPr>
          <w:ilvl w:val="0"/>
          <w:numId w:val="22"/>
        </w:numPr>
      </w:pPr>
      <w:r>
        <w:rPr>
          <w:rFonts w:hint="eastAsia"/>
        </w:rPr>
        <w:t>满意度低的教学环节的院系分析（条形图）</w:t>
      </w:r>
    </w:p>
    <w:p>
      <w:pPr>
        <w:numPr>
          <w:ilvl w:val="0"/>
          <w:numId w:val="22"/>
        </w:numPr>
      </w:pPr>
      <w:r>
        <w:rPr>
          <w:rFonts w:hint="eastAsia"/>
        </w:rPr>
        <w:t>职位晋升</w:t>
      </w:r>
      <w:r>
        <w:t>/</w:t>
      </w:r>
      <w:r>
        <w:rPr>
          <w:rFonts w:hint="eastAsia"/>
        </w:rPr>
        <w:t>未晋升毕业生对母校教学的满意度评价（条形图）</w:t>
      </w:r>
    </w:p>
    <w:p>
      <w:pPr>
        <w:numPr>
          <w:ilvl w:val="0"/>
          <w:numId w:val="20"/>
        </w:numPr>
        <w:rPr>
          <w:b/>
        </w:rPr>
      </w:pPr>
      <w:r>
        <w:rPr>
          <w:rFonts w:hint="eastAsia"/>
          <w:b/>
        </w:rPr>
        <w:t>课程评价</w:t>
      </w:r>
    </w:p>
    <w:p>
      <w:pPr>
        <w:numPr>
          <w:ilvl w:val="0"/>
          <w:numId w:val="23"/>
        </w:numPr>
      </w:pPr>
      <w:r>
        <w:rPr>
          <w:rFonts w:hint="eastAsia"/>
        </w:rPr>
        <w:t>毕业生希望加强培养的课程类型（柱形图）</w:t>
      </w:r>
    </w:p>
    <w:p>
      <w:pPr>
        <w:numPr>
          <w:ilvl w:val="0"/>
          <w:numId w:val="23"/>
        </w:numPr>
      </w:pPr>
      <w:r>
        <w:rPr>
          <w:rFonts w:hint="eastAsia"/>
        </w:rPr>
        <w:t>各学院毕业生希望加强培养的课程类型（表格）</w:t>
      </w:r>
    </w:p>
    <w:p>
      <w:pPr>
        <w:numPr>
          <w:ilvl w:val="0"/>
          <w:numId w:val="23"/>
        </w:numPr>
      </w:pPr>
      <w:r>
        <w:rPr>
          <w:rFonts w:hint="eastAsia"/>
        </w:rPr>
        <w:t>各类通识教育的重要度（柱形图）</w:t>
      </w:r>
    </w:p>
    <w:p>
      <w:pPr>
        <w:numPr>
          <w:ilvl w:val="0"/>
          <w:numId w:val="23"/>
        </w:numPr>
      </w:pPr>
      <w:r>
        <w:rPr>
          <w:rFonts w:hint="eastAsia"/>
        </w:rPr>
        <w:t>各类通识教育需要加强的比例（柱状图）</w:t>
      </w:r>
    </w:p>
    <w:p>
      <w:pPr>
        <w:rPr>
          <w:b/>
        </w:rPr>
      </w:pPr>
      <w:r>
        <w:rPr>
          <w:rFonts w:hint="eastAsia"/>
          <w:b/>
        </w:rPr>
        <w:t>第四章</w:t>
      </w:r>
      <w:r>
        <w:rPr>
          <w:b/>
        </w:rPr>
        <w:t xml:space="preserve"> </w:t>
      </w:r>
      <w:r>
        <w:rPr>
          <w:rFonts w:hint="eastAsia"/>
          <w:b/>
        </w:rPr>
        <w:t>创新创业情况</w:t>
      </w:r>
    </w:p>
    <w:p>
      <w:pPr>
        <w:numPr>
          <w:ilvl w:val="0"/>
          <w:numId w:val="24"/>
        </w:numPr>
        <w:rPr>
          <w:b/>
        </w:rPr>
      </w:pPr>
      <w:r>
        <w:rPr>
          <w:rFonts w:hint="eastAsia"/>
          <w:b/>
        </w:rPr>
        <w:t>自主创业比例</w:t>
      </w:r>
    </w:p>
    <w:p>
      <w:pPr>
        <w:numPr>
          <w:ilvl w:val="0"/>
          <w:numId w:val="25"/>
        </w:numPr>
      </w:pPr>
      <w:r>
        <w:rPr>
          <w:rFonts w:hint="eastAsia"/>
        </w:rPr>
        <w:t>自主创业比例（柱形图，与全国对比）</w:t>
      </w:r>
    </w:p>
    <w:p>
      <w:pPr>
        <w:numPr>
          <w:ilvl w:val="0"/>
          <w:numId w:val="25"/>
        </w:numPr>
      </w:pPr>
      <w:r>
        <w:rPr>
          <w:rFonts w:hint="eastAsia"/>
        </w:rPr>
        <w:t>自主创业主要地区（饼图）</w:t>
      </w:r>
    </w:p>
    <w:p>
      <w:pPr>
        <w:numPr>
          <w:ilvl w:val="0"/>
          <w:numId w:val="24"/>
        </w:numPr>
        <w:rPr>
          <w:b/>
        </w:rPr>
      </w:pPr>
      <w:r>
        <w:rPr>
          <w:rFonts w:hint="eastAsia"/>
          <w:b/>
        </w:rPr>
        <w:t>自主创业状态</w:t>
      </w:r>
    </w:p>
    <w:p>
      <w:pPr>
        <w:numPr>
          <w:ilvl w:val="0"/>
          <w:numId w:val="26"/>
        </w:numPr>
      </w:pPr>
      <w:r>
        <w:rPr>
          <w:rFonts w:hint="eastAsia"/>
        </w:rPr>
        <w:t>自主创业项目与专业相关的比例（柱形图）</w:t>
      </w:r>
    </w:p>
    <w:p>
      <w:pPr>
        <w:numPr>
          <w:ilvl w:val="0"/>
          <w:numId w:val="26"/>
        </w:numPr>
      </w:pPr>
      <w:r>
        <w:rPr>
          <w:rFonts w:hint="eastAsia"/>
        </w:rPr>
        <w:t>自主创业项目的盈利情况（饼图）</w:t>
      </w:r>
    </w:p>
    <w:p>
      <w:pPr>
        <w:numPr>
          <w:ilvl w:val="0"/>
          <w:numId w:val="24"/>
        </w:numPr>
        <w:rPr>
          <w:b/>
        </w:rPr>
      </w:pPr>
      <w:r>
        <w:rPr>
          <w:rFonts w:hint="eastAsia"/>
          <w:b/>
        </w:rPr>
        <w:t>创新创业教育反馈</w:t>
      </w:r>
    </w:p>
    <w:p>
      <w:pPr>
        <w:numPr>
          <w:ilvl w:val="0"/>
          <w:numId w:val="27"/>
        </w:numPr>
      </w:pPr>
      <w:r>
        <w:rPr>
          <w:rFonts w:hint="eastAsia"/>
        </w:rPr>
        <w:t>创新创业教育的参与度和有效性（柱形堆积图）</w:t>
      </w:r>
    </w:p>
    <w:p>
      <w:pPr>
        <w:numPr>
          <w:ilvl w:val="0"/>
          <w:numId w:val="27"/>
        </w:numPr>
      </w:pPr>
      <w:r>
        <w:rPr>
          <w:rFonts w:hint="eastAsia"/>
        </w:rPr>
        <w:t>创新创业教育最需要改进的地方（条形图）</w:t>
      </w:r>
    </w:p>
    <w:p>
      <w:pPr>
        <w:rPr>
          <w:b/>
        </w:rPr>
      </w:pPr>
      <w:r>
        <w:rPr>
          <w:rFonts w:hint="eastAsia"/>
          <w:b/>
        </w:rPr>
        <w:t>第五章</w:t>
      </w:r>
      <w:r>
        <w:rPr>
          <w:b/>
        </w:rPr>
        <w:t xml:space="preserve"> </w:t>
      </w:r>
      <w:r>
        <w:rPr>
          <w:rFonts w:hint="eastAsia"/>
          <w:b/>
        </w:rPr>
        <w:t>优秀毕业生影响因素</w:t>
      </w:r>
    </w:p>
    <w:p>
      <w:pPr>
        <w:numPr>
          <w:ilvl w:val="0"/>
          <w:numId w:val="28"/>
        </w:numPr>
        <w:rPr>
          <w:b/>
        </w:rPr>
      </w:pPr>
      <w:r>
        <w:rPr>
          <w:rFonts w:hint="eastAsia"/>
          <w:b/>
        </w:rPr>
        <w:t>背景因素</w:t>
      </w:r>
    </w:p>
    <w:p>
      <w:pPr>
        <w:numPr>
          <w:ilvl w:val="0"/>
          <w:numId w:val="29"/>
        </w:numPr>
      </w:pPr>
      <w:r>
        <w:rPr>
          <w:rFonts w:hint="eastAsia"/>
        </w:rPr>
        <w:t>性别分布（柱状图）</w:t>
      </w:r>
    </w:p>
    <w:p>
      <w:pPr>
        <w:numPr>
          <w:ilvl w:val="0"/>
          <w:numId w:val="29"/>
        </w:numPr>
      </w:pPr>
      <w:r>
        <w:rPr>
          <w:rFonts w:hint="eastAsia"/>
        </w:rPr>
        <w:t>高中阶段的学校类型（柱状图）</w:t>
      </w:r>
    </w:p>
    <w:p>
      <w:pPr>
        <w:numPr>
          <w:ilvl w:val="0"/>
          <w:numId w:val="29"/>
        </w:numPr>
      </w:pPr>
      <w:r>
        <w:rPr>
          <w:rFonts w:hint="eastAsia"/>
        </w:rPr>
        <w:t>父母的最高教育水平（柱状图）</w:t>
      </w:r>
    </w:p>
    <w:p>
      <w:pPr>
        <w:numPr>
          <w:ilvl w:val="0"/>
          <w:numId w:val="29"/>
        </w:numPr>
      </w:pPr>
      <w:r>
        <w:rPr>
          <w:rFonts w:hint="eastAsia"/>
        </w:rPr>
        <w:t>父母所属职业阶层（条形图）</w:t>
      </w:r>
    </w:p>
    <w:p>
      <w:pPr>
        <w:numPr>
          <w:ilvl w:val="0"/>
          <w:numId w:val="28"/>
        </w:numPr>
        <w:rPr>
          <w:b/>
        </w:rPr>
      </w:pPr>
      <w:r>
        <w:rPr>
          <w:rFonts w:hint="eastAsia"/>
          <w:b/>
        </w:rPr>
        <w:t>学校因素</w:t>
      </w:r>
    </w:p>
    <w:p>
      <w:pPr>
        <w:numPr>
          <w:ilvl w:val="0"/>
          <w:numId w:val="30"/>
        </w:numPr>
      </w:pPr>
      <w:r>
        <w:rPr>
          <w:rFonts w:hint="eastAsia"/>
        </w:rPr>
        <w:t>在校参与的活动类型分布（学术讲座、科研项目、社团活动等）（条形图）</w:t>
      </w:r>
    </w:p>
    <w:p>
      <w:pPr>
        <w:numPr>
          <w:ilvl w:val="0"/>
          <w:numId w:val="30"/>
        </w:numPr>
      </w:pPr>
      <w:r>
        <w:rPr>
          <w:rFonts w:hint="eastAsia"/>
        </w:rPr>
        <w:t>在校经历分布（学生干部、社团干部、奖励、入党）（柱状图）</w:t>
      </w:r>
    </w:p>
    <w:p>
      <w:pPr>
        <w:numPr>
          <w:ilvl w:val="0"/>
          <w:numId w:val="28"/>
        </w:numPr>
        <w:rPr>
          <w:b/>
        </w:rPr>
      </w:pPr>
      <w:r>
        <w:rPr>
          <w:rFonts w:hint="eastAsia"/>
          <w:b/>
        </w:rPr>
        <w:t>培养反馈</w:t>
      </w:r>
    </w:p>
    <w:p>
      <w:pPr>
        <w:numPr>
          <w:ilvl w:val="0"/>
          <w:numId w:val="31"/>
        </w:numPr>
      </w:pPr>
      <w:r>
        <w:rPr>
          <w:rFonts w:hint="eastAsia"/>
        </w:rPr>
        <w:t>优秀毕业生对在校培养的评价（柱状图）</w:t>
      </w:r>
    </w:p>
    <w:p>
      <w:pPr>
        <w:numPr>
          <w:ilvl w:val="0"/>
          <w:numId w:val="31"/>
        </w:numPr>
      </w:pPr>
      <w:r>
        <w:rPr>
          <w:rFonts w:hint="eastAsia"/>
        </w:rPr>
        <w:t>优秀毕业生中期各项能力的达成度（条形图）</w:t>
      </w:r>
    </w:p>
    <w:p>
      <w:pPr>
        <w:numPr>
          <w:ilvl w:val="0"/>
          <w:numId w:val="31"/>
        </w:numPr>
      </w:pPr>
      <w:r>
        <w:rPr>
          <w:rFonts w:hint="eastAsia"/>
        </w:rPr>
        <w:t>优秀毕业生对教学的评价（条形图）</w:t>
      </w:r>
    </w:p>
    <w:p>
      <w:pPr>
        <w:numPr>
          <w:ilvl w:val="0"/>
          <w:numId w:val="31"/>
        </w:numPr>
      </w:pPr>
      <w:r>
        <w:rPr>
          <w:rFonts w:hint="eastAsia"/>
        </w:rPr>
        <w:t>优秀毕业生认为需要加强的课程类型（条形图）</w:t>
      </w:r>
    </w:p>
    <w:p>
      <w:pPr>
        <w:numPr>
          <w:ilvl w:val="0"/>
          <w:numId w:val="31"/>
        </w:numPr>
      </w:pPr>
      <w:r>
        <w:rPr>
          <w:rFonts w:hint="eastAsia"/>
        </w:rPr>
        <w:t>优秀毕业生认为需要加强的通识教育（条形图）</w:t>
      </w:r>
    </w:p>
    <w:p>
      <w:pPr>
        <w:numPr>
          <w:ilvl w:val="0"/>
          <w:numId w:val="31"/>
        </w:numPr>
      </w:pPr>
      <w:r>
        <w:rPr>
          <w:rFonts w:hint="eastAsia"/>
        </w:rPr>
        <w:t>优秀毕业生认为工作中职业素养的重要度（条形图）</w:t>
      </w:r>
    </w:p>
    <w:p>
      <w:pPr>
        <w:numPr>
          <w:ilvl w:val="0"/>
          <w:numId w:val="31"/>
        </w:numPr>
      </w:pPr>
      <w:r>
        <w:rPr>
          <w:rFonts w:hint="eastAsia"/>
        </w:rPr>
        <w:t>优秀毕业生认为工作中职业发展能力的重要度（条形图）</w:t>
      </w:r>
    </w:p>
    <w:p>
      <w:pPr>
        <w:rPr>
          <w:b/>
        </w:rPr>
      </w:pPr>
      <w:r>
        <w:rPr>
          <w:rFonts w:hint="eastAsia"/>
          <w:b/>
        </w:rPr>
        <w:t>第六章</w:t>
      </w:r>
      <w:r>
        <w:rPr>
          <w:b/>
        </w:rPr>
        <w:t xml:space="preserve"> </w:t>
      </w:r>
      <w:r>
        <w:rPr>
          <w:rFonts w:hint="eastAsia"/>
          <w:b/>
        </w:rPr>
        <w:t>社会声誉</w:t>
      </w:r>
    </w:p>
    <w:p>
      <w:pPr>
        <w:numPr>
          <w:ilvl w:val="0"/>
          <w:numId w:val="32"/>
        </w:numPr>
        <w:rPr>
          <w:b/>
        </w:rPr>
      </w:pPr>
      <w:r>
        <w:rPr>
          <w:rFonts w:hint="eastAsia"/>
          <w:b/>
        </w:rPr>
        <w:t>校友评价指数汇总</w:t>
      </w:r>
    </w:p>
    <w:p>
      <w:pPr>
        <w:numPr>
          <w:ilvl w:val="0"/>
          <w:numId w:val="33"/>
        </w:numPr>
      </w:pPr>
      <w:r>
        <w:rPr>
          <w:rFonts w:hint="eastAsia"/>
        </w:rPr>
        <w:t>各学院及专业校友综合评价排名（表格）</w:t>
      </w:r>
    </w:p>
    <w:p>
      <w:pPr>
        <w:numPr>
          <w:ilvl w:val="0"/>
          <w:numId w:val="32"/>
        </w:numPr>
        <w:rPr>
          <w:b/>
        </w:rPr>
      </w:pPr>
      <w:r>
        <w:rPr>
          <w:rFonts w:hint="eastAsia"/>
          <w:b/>
        </w:rPr>
        <w:t>校友推荐度</w:t>
      </w:r>
    </w:p>
    <w:p>
      <w:pPr>
        <w:numPr>
          <w:ilvl w:val="0"/>
          <w:numId w:val="34"/>
        </w:numPr>
      </w:pPr>
      <w:r>
        <w:rPr>
          <w:rFonts w:hint="eastAsia"/>
        </w:rPr>
        <w:t>毕业生对母校的推荐度（柱形图，与全国对比）</w:t>
      </w:r>
    </w:p>
    <w:p>
      <w:pPr>
        <w:numPr>
          <w:ilvl w:val="0"/>
          <w:numId w:val="34"/>
        </w:numPr>
      </w:pPr>
      <w:r>
        <w:rPr>
          <w:rFonts w:hint="eastAsia"/>
        </w:rPr>
        <w:t>各学院</w:t>
      </w:r>
      <w:r>
        <w:t>/</w:t>
      </w:r>
      <w:r>
        <w:rPr>
          <w:rFonts w:hint="eastAsia"/>
        </w:rPr>
        <w:t>专业毕业生对母校的推荐度（条形图）</w:t>
      </w:r>
    </w:p>
    <w:p>
      <w:pPr>
        <w:numPr>
          <w:ilvl w:val="0"/>
          <w:numId w:val="32"/>
        </w:numPr>
        <w:rPr>
          <w:b/>
        </w:rPr>
      </w:pPr>
      <w:r>
        <w:rPr>
          <w:rFonts w:hint="eastAsia"/>
          <w:b/>
        </w:rPr>
        <w:t>校友关注度</w:t>
      </w:r>
    </w:p>
    <w:p>
      <w:pPr>
        <w:numPr>
          <w:ilvl w:val="0"/>
          <w:numId w:val="35"/>
        </w:numPr>
      </w:pPr>
      <w:r>
        <w:rPr>
          <w:rFonts w:hint="eastAsia"/>
        </w:rPr>
        <w:t>毕业生对母校的关注度（柱形图，与全国对比）</w:t>
      </w:r>
    </w:p>
    <w:p>
      <w:pPr>
        <w:numPr>
          <w:ilvl w:val="0"/>
          <w:numId w:val="35"/>
        </w:numPr>
      </w:pPr>
      <w:r>
        <w:rPr>
          <w:rFonts w:hint="eastAsia"/>
        </w:rPr>
        <w:t>各学院</w:t>
      </w:r>
      <w:r>
        <w:t>/</w:t>
      </w:r>
      <w:r>
        <w:rPr>
          <w:rFonts w:hint="eastAsia"/>
        </w:rPr>
        <w:t>专业毕业生对母校的关注度（条形图）</w:t>
      </w:r>
    </w:p>
    <w:p>
      <w:pPr>
        <w:numPr>
          <w:ilvl w:val="0"/>
          <w:numId w:val="35"/>
        </w:numPr>
      </w:pPr>
      <w:r>
        <w:rPr>
          <w:rFonts w:hint="eastAsia"/>
        </w:rPr>
        <w:t>毕业生对母校的关注途径（条形图）</w:t>
      </w:r>
    </w:p>
    <w:p>
      <w:pPr>
        <w:numPr>
          <w:ilvl w:val="0"/>
          <w:numId w:val="35"/>
        </w:numPr>
      </w:pPr>
      <w:r>
        <w:rPr>
          <w:rFonts w:hint="eastAsia"/>
        </w:rPr>
        <w:t>毕业生与母校间的联系程度（饼图）</w:t>
      </w:r>
    </w:p>
    <w:p>
      <w:pPr>
        <w:numPr>
          <w:ilvl w:val="0"/>
          <w:numId w:val="35"/>
        </w:numPr>
      </w:pPr>
      <w:r>
        <w:rPr>
          <w:rFonts w:hint="eastAsia"/>
        </w:rPr>
        <w:t>毕业生对母校的社会声誉评价分布（柱形图，与全国对比）</w:t>
      </w:r>
    </w:p>
    <w:p>
      <w:pPr>
        <w:numPr>
          <w:ilvl w:val="0"/>
          <w:numId w:val="32"/>
        </w:numPr>
        <w:rPr>
          <w:b/>
        </w:rPr>
      </w:pPr>
      <w:r>
        <w:rPr>
          <w:rFonts w:hint="eastAsia"/>
          <w:b/>
        </w:rPr>
        <w:t>校友回馈度</w:t>
      </w:r>
    </w:p>
    <w:p>
      <w:pPr>
        <w:numPr>
          <w:ilvl w:val="0"/>
          <w:numId w:val="36"/>
        </w:numPr>
      </w:pPr>
      <w:r>
        <w:rPr>
          <w:rFonts w:hint="eastAsia"/>
        </w:rPr>
        <w:t>毕业生对母校的回馈度（柱形图，与全国对比）</w:t>
      </w:r>
    </w:p>
    <w:p>
      <w:pPr>
        <w:numPr>
          <w:ilvl w:val="0"/>
          <w:numId w:val="36"/>
        </w:numPr>
      </w:pPr>
      <w:r>
        <w:rPr>
          <w:rFonts w:hint="eastAsia"/>
        </w:rPr>
        <w:t>各学院</w:t>
      </w:r>
      <w:r>
        <w:t>/</w:t>
      </w:r>
      <w:r>
        <w:rPr>
          <w:rFonts w:hint="eastAsia"/>
        </w:rPr>
        <w:t>专业毕业生对母校的回馈度（条形图）</w:t>
      </w:r>
    </w:p>
    <w:p>
      <w:pPr>
        <w:numPr>
          <w:ilvl w:val="0"/>
          <w:numId w:val="36"/>
        </w:numPr>
      </w:pPr>
      <w:r>
        <w:rPr>
          <w:rFonts w:hint="eastAsia"/>
        </w:rPr>
        <w:t>毕业生回馈母校的途径（条形图）</w:t>
      </w:r>
    </w:p>
    <w:p>
      <w:pPr>
        <w:numPr>
          <w:ilvl w:val="0"/>
          <w:numId w:val="32"/>
        </w:numPr>
        <w:rPr>
          <w:b/>
        </w:rPr>
      </w:pPr>
      <w:r>
        <w:rPr>
          <w:rFonts w:hint="eastAsia"/>
          <w:b/>
        </w:rPr>
        <w:t>校友服务</w:t>
      </w:r>
    </w:p>
    <w:p>
      <w:pPr>
        <w:numPr>
          <w:ilvl w:val="0"/>
          <w:numId w:val="37"/>
        </w:numPr>
      </w:pPr>
      <w:r>
        <w:rPr>
          <w:rFonts w:hint="eastAsia"/>
        </w:rPr>
        <w:t>毕业生希望母校提供的校友服务类型（条形图）</w:t>
      </w:r>
    </w:p>
    <w:p>
      <w:pPr>
        <w:numPr>
          <w:ilvl w:val="0"/>
          <w:numId w:val="37"/>
        </w:numPr>
      </w:pPr>
      <w:r>
        <w:rPr>
          <w:rFonts w:hint="eastAsia"/>
        </w:rPr>
        <w:t>毕业生对母校校友服务的意见和建议</w:t>
      </w:r>
    </w:p>
    <w:p>
      <w:pPr>
        <w:rPr>
          <w:b/>
        </w:rPr>
      </w:pPr>
      <w:r>
        <w:rPr>
          <w:rFonts w:hint="eastAsia"/>
          <w:b/>
        </w:rPr>
        <w:t>技术报告</w:t>
      </w:r>
    </w:p>
    <w:p>
      <w:pPr>
        <w:numPr>
          <w:ilvl w:val="0"/>
          <w:numId w:val="38"/>
        </w:numPr>
        <w:rPr>
          <w:b/>
        </w:rPr>
      </w:pPr>
      <w:r>
        <w:rPr>
          <w:rFonts w:hint="eastAsia"/>
          <w:b/>
        </w:rPr>
        <w:t>项目背景介绍</w:t>
      </w:r>
    </w:p>
    <w:p>
      <w:pPr>
        <w:numPr>
          <w:ilvl w:val="0"/>
          <w:numId w:val="39"/>
        </w:numPr>
      </w:pPr>
      <w:r>
        <w:rPr>
          <w:rFonts w:hint="eastAsia"/>
        </w:rPr>
        <w:t>背景介绍</w:t>
      </w:r>
    </w:p>
    <w:p>
      <w:pPr>
        <w:numPr>
          <w:ilvl w:val="0"/>
          <w:numId w:val="39"/>
        </w:numPr>
      </w:pPr>
      <w:r>
        <w:rPr>
          <w:rFonts w:hint="eastAsia"/>
        </w:rPr>
        <w:t>样本说明</w:t>
      </w:r>
    </w:p>
    <w:p>
      <w:pPr>
        <w:numPr>
          <w:ilvl w:val="0"/>
          <w:numId w:val="38"/>
        </w:numPr>
        <w:rPr>
          <w:b/>
        </w:rPr>
      </w:pPr>
      <w:r>
        <w:rPr>
          <w:rFonts w:hint="eastAsia"/>
          <w:b/>
        </w:rPr>
        <w:t>研究概况</w:t>
      </w:r>
    </w:p>
    <w:p>
      <w:pPr>
        <w:numPr>
          <w:ilvl w:val="0"/>
          <w:numId w:val="40"/>
        </w:numPr>
      </w:pPr>
      <w:r>
        <w:rPr>
          <w:rFonts w:hint="eastAsia"/>
        </w:rPr>
        <w:t>研究目的</w:t>
      </w:r>
    </w:p>
    <w:p>
      <w:pPr>
        <w:numPr>
          <w:ilvl w:val="0"/>
          <w:numId w:val="40"/>
        </w:numPr>
        <w:rPr>
          <w:rFonts w:ascii="宋体" w:hAnsi="宋体" w:eastAsia="宋体"/>
        </w:rPr>
      </w:pPr>
      <w:r>
        <w:rPr>
          <w:rFonts w:hint="eastAsia"/>
        </w:rPr>
        <w:t>研究框架</w:t>
      </w:r>
    </w:p>
    <w:p>
      <w:pPr>
        <w:rPr>
          <w:rFonts w:ascii="宋体" w:hAnsi="宋体" w:eastAsia="宋体"/>
        </w:rPr>
      </w:pPr>
    </w:p>
    <w:sectPr>
      <w:footerReference r:id="rId10" w:type="first"/>
      <w:footerReference r:id="rId9" w:type="default"/>
      <w:pgSz w:w="11906" w:h="16838"/>
      <w:pgMar w:top="1440" w:right="1689" w:bottom="1440" w:left="1689" w:header="851" w:footer="992" w:gutter="0"/>
      <w:cols w:space="72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r>
      <w:rPr>
        <w:rFonts w:ascii="Times New Roman" w:hAnsi="Times New Roman" w:eastAsia="宋体" w:cs="Times New Roman"/>
        <w:kern w:val="2"/>
        <w:sz w:val="18"/>
        <w:szCs w:val="18"/>
        <w:lang w:val="en-US" w:eastAsia="zh-CN" w:bidi="ar-SA"/>
      </w:rPr>
      <w:pict>
        <v:shape id="文本框 1031" o:spid="_x0000_s4098" o:spt="202" type="#_x0000_t202" style="position:absolute;left:0pt;margin-top:0pt;height:144pt;width:144pt;mso-position-horizontal:right;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11"/>
                </w:pPr>
                <w:r>
                  <w:fldChar w:fldCharType="begin"/>
                </w:r>
                <w:r>
                  <w:instrText xml:space="preserve"> PAGE  \* MERGEFORMAT </w:instrText>
                </w:r>
                <w:r>
                  <w:fldChar w:fldCharType="separate"/>
                </w:r>
                <w:r>
                  <w:t>15</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ascii="Times New Roman" w:hAnsi="Times New Roman" w:eastAsia="宋体" w:cs="Times New Roman"/>
        <w:kern w:val="2"/>
        <w:sz w:val="18"/>
        <w:szCs w:val="18"/>
        <w:lang w:val="en-US" w:eastAsia="zh-CN" w:bidi="ar-SA"/>
      </w:rPr>
      <w:pict>
        <v:shape id="文本框 1032" o:spid="_x0000_s4097" o:spt="202" type="#_x0000_t202" style="position:absolute;left:0pt;margin-top:0pt;height:144pt;width:144pt;mso-position-horizontal:right;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0813D9"/>
    <w:multiLevelType w:val="singleLevel"/>
    <w:tmpl w:val="CC0813D9"/>
    <w:lvl w:ilvl="0" w:tentative="0">
      <w:start w:val="5"/>
      <w:numFmt w:val="chineseCounting"/>
      <w:suff w:val="nothing"/>
      <w:lvlText w:val="（%1）"/>
      <w:lvlJc w:val="left"/>
      <w:rPr>
        <w:rFonts w:hint="eastAsia"/>
      </w:rPr>
    </w:lvl>
  </w:abstractNum>
  <w:abstractNum w:abstractNumId="1">
    <w:nsid w:val="00000002"/>
    <w:multiLevelType w:val="singleLevel"/>
    <w:tmpl w:val="00000002"/>
    <w:lvl w:ilvl="0" w:tentative="0">
      <w:start w:val="3"/>
      <w:numFmt w:val="chineseCounting"/>
      <w:suff w:val="nothing"/>
      <w:lvlText w:val="%1、"/>
      <w:lvlJc w:val="left"/>
      <w:rPr>
        <w:rFonts w:hint="eastAsia"/>
      </w:rPr>
    </w:lvl>
  </w:abstractNum>
  <w:abstractNum w:abstractNumId="2">
    <w:nsid w:val="00000003"/>
    <w:multiLevelType w:val="singleLevel"/>
    <w:tmpl w:val="00000003"/>
    <w:lvl w:ilvl="0" w:tentative="0">
      <w:start w:val="1"/>
      <w:numFmt w:val="decimal"/>
      <w:suff w:val="nothing"/>
      <w:lvlText w:val="%1、"/>
      <w:lvlJc w:val="left"/>
      <w:pPr>
        <w:ind w:left="0" w:firstLine="0"/>
      </w:pPr>
      <w:rPr>
        <w:rFonts w:cs="Times New Roman"/>
      </w:rPr>
    </w:lvl>
  </w:abstractNum>
  <w:abstractNum w:abstractNumId="3">
    <w:nsid w:val="038526AC"/>
    <w:multiLevelType w:val="multilevel"/>
    <w:tmpl w:val="038526AC"/>
    <w:lvl w:ilvl="0" w:tentative="0">
      <w:start w:val="1"/>
      <w:numFmt w:val="decimal"/>
      <w:lvlText w:val="%1."/>
      <w:lvlJc w:val="left"/>
      <w:pPr>
        <w:ind w:left="987" w:hanging="420"/>
      </w:pPr>
      <w:rPr>
        <w:rFonts w:hint="default" w:cs="Times New Roman"/>
      </w:rPr>
    </w:lvl>
    <w:lvl w:ilvl="1" w:tentative="0">
      <w:start w:val="1"/>
      <w:numFmt w:val="lowerLetter"/>
      <w:lvlText w:val="%2)"/>
      <w:lvlJc w:val="left"/>
      <w:pPr>
        <w:ind w:left="1407" w:hanging="420"/>
      </w:pPr>
      <w:rPr>
        <w:rFonts w:cs="Times New Roman"/>
      </w:rPr>
    </w:lvl>
    <w:lvl w:ilvl="2" w:tentative="0">
      <w:start w:val="1"/>
      <w:numFmt w:val="lowerRoman"/>
      <w:lvlText w:val="%3."/>
      <w:lvlJc w:val="right"/>
      <w:pPr>
        <w:ind w:left="1827" w:hanging="420"/>
      </w:pPr>
      <w:rPr>
        <w:rFonts w:cs="Times New Roman"/>
      </w:rPr>
    </w:lvl>
    <w:lvl w:ilvl="3" w:tentative="0">
      <w:start w:val="1"/>
      <w:numFmt w:val="decimal"/>
      <w:lvlText w:val="%4."/>
      <w:lvlJc w:val="left"/>
      <w:pPr>
        <w:ind w:left="2247" w:hanging="420"/>
      </w:pPr>
      <w:rPr>
        <w:rFonts w:cs="Times New Roman"/>
      </w:rPr>
    </w:lvl>
    <w:lvl w:ilvl="4" w:tentative="0">
      <w:start w:val="1"/>
      <w:numFmt w:val="lowerLetter"/>
      <w:lvlText w:val="%5)"/>
      <w:lvlJc w:val="left"/>
      <w:pPr>
        <w:ind w:left="2667" w:hanging="420"/>
      </w:pPr>
      <w:rPr>
        <w:rFonts w:cs="Times New Roman"/>
      </w:rPr>
    </w:lvl>
    <w:lvl w:ilvl="5" w:tentative="0">
      <w:start w:val="1"/>
      <w:numFmt w:val="lowerRoman"/>
      <w:lvlText w:val="%6."/>
      <w:lvlJc w:val="right"/>
      <w:pPr>
        <w:ind w:left="3087" w:hanging="420"/>
      </w:pPr>
      <w:rPr>
        <w:rFonts w:cs="Times New Roman"/>
      </w:rPr>
    </w:lvl>
    <w:lvl w:ilvl="6" w:tentative="0">
      <w:start w:val="1"/>
      <w:numFmt w:val="decimal"/>
      <w:lvlText w:val="%7."/>
      <w:lvlJc w:val="left"/>
      <w:pPr>
        <w:ind w:left="3507" w:hanging="420"/>
      </w:pPr>
      <w:rPr>
        <w:rFonts w:cs="Times New Roman"/>
      </w:rPr>
    </w:lvl>
    <w:lvl w:ilvl="7" w:tentative="0">
      <w:start w:val="1"/>
      <w:numFmt w:val="lowerLetter"/>
      <w:lvlText w:val="%8)"/>
      <w:lvlJc w:val="left"/>
      <w:pPr>
        <w:ind w:left="3927" w:hanging="420"/>
      </w:pPr>
      <w:rPr>
        <w:rFonts w:cs="Times New Roman"/>
      </w:rPr>
    </w:lvl>
    <w:lvl w:ilvl="8" w:tentative="0">
      <w:start w:val="1"/>
      <w:numFmt w:val="lowerRoman"/>
      <w:lvlText w:val="%9."/>
      <w:lvlJc w:val="right"/>
      <w:pPr>
        <w:ind w:left="4347" w:hanging="420"/>
      </w:pPr>
      <w:rPr>
        <w:rFonts w:cs="Times New Roman"/>
      </w:rPr>
    </w:lvl>
  </w:abstractNum>
  <w:abstractNum w:abstractNumId="4">
    <w:nsid w:val="05B10EE3"/>
    <w:multiLevelType w:val="multilevel"/>
    <w:tmpl w:val="05B10EE3"/>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5">
    <w:nsid w:val="08E85579"/>
    <w:multiLevelType w:val="multilevel"/>
    <w:tmpl w:val="08E85579"/>
    <w:lvl w:ilvl="0" w:tentative="0">
      <w:start w:val="1"/>
      <w:numFmt w:val="japaneseCounting"/>
      <w:lvlText w:val="（%1）"/>
      <w:lvlJc w:val="left"/>
      <w:pPr>
        <w:ind w:left="1295" w:hanging="720"/>
      </w:pPr>
      <w:rPr>
        <w:rFonts w:hint="default" w:cs="Times New Roman"/>
      </w:rPr>
    </w:lvl>
    <w:lvl w:ilvl="1" w:tentative="0">
      <w:start w:val="1"/>
      <w:numFmt w:val="lowerLetter"/>
      <w:lvlText w:val="%2)"/>
      <w:lvlJc w:val="left"/>
      <w:pPr>
        <w:ind w:left="1415" w:hanging="420"/>
      </w:pPr>
      <w:rPr>
        <w:rFonts w:cs="Times New Roman"/>
      </w:rPr>
    </w:lvl>
    <w:lvl w:ilvl="2" w:tentative="0">
      <w:start w:val="1"/>
      <w:numFmt w:val="lowerRoman"/>
      <w:lvlText w:val="%3."/>
      <w:lvlJc w:val="right"/>
      <w:pPr>
        <w:ind w:left="1835" w:hanging="420"/>
      </w:pPr>
      <w:rPr>
        <w:rFonts w:cs="Times New Roman"/>
      </w:rPr>
    </w:lvl>
    <w:lvl w:ilvl="3" w:tentative="0">
      <w:start w:val="1"/>
      <w:numFmt w:val="decimal"/>
      <w:lvlText w:val="%4."/>
      <w:lvlJc w:val="left"/>
      <w:pPr>
        <w:ind w:left="2255" w:hanging="420"/>
      </w:pPr>
      <w:rPr>
        <w:rFonts w:cs="Times New Roman"/>
      </w:rPr>
    </w:lvl>
    <w:lvl w:ilvl="4" w:tentative="0">
      <w:start w:val="1"/>
      <w:numFmt w:val="lowerLetter"/>
      <w:lvlText w:val="%5)"/>
      <w:lvlJc w:val="left"/>
      <w:pPr>
        <w:ind w:left="2675" w:hanging="420"/>
      </w:pPr>
      <w:rPr>
        <w:rFonts w:cs="Times New Roman"/>
      </w:rPr>
    </w:lvl>
    <w:lvl w:ilvl="5" w:tentative="0">
      <w:start w:val="1"/>
      <w:numFmt w:val="lowerRoman"/>
      <w:lvlText w:val="%6."/>
      <w:lvlJc w:val="right"/>
      <w:pPr>
        <w:ind w:left="3095" w:hanging="420"/>
      </w:pPr>
      <w:rPr>
        <w:rFonts w:cs="Times New Roman"/>
      </w:rPr>
    </w:lvl>
    <w:lvl w:ilvl="6" w:tentative="0">
      <w:start w:val="1"/>
      <w:numFmt w:val="decimal"/>
      <w:lvlText w:val="%7."/>
      <w:lvlJc w:val="left"/>
      <w:pPr>
        <w:ind w:left="3515" w:hanging="420"/>
      </w:pPr>
      <w:rPr>
        <w:rFonts w:cs="Times New Roman"/>
      </w:rPr>
    </w:lvl>
    <w:lvl w:ilvl="7" w:tentative="0">
      <w:start w:val="1"/>
      <w:numFmt w:val="lowerLetter"/>
      <w:lvlText w:val="%8)"/>
      <w:lvlJc w:val="left"/>
      <w:pPr>
        <w:ind w:left="3935" w:hanging="420"/>
      </w:pPr>
      <w:rPr>
        <w:rFonts w:cs="Times New Roman"/>
      </w:rPr>
    </w:lvl>
    <w:lvl w:ilvl="8" w:tentative="0">
      <w:start w:val="1"/>
      <w:numFmt w:val="lowerRoman"/>
      <w:lvlText w:val="%9."/>
      <w:lvlJc w:val="right"/>
      <w:pPr>
        <w:ind w:left="4355" w:hanging="420"/>
      </w:pPr>
      <w:rPr>
        <w:rFonts w:cs="Times New Roman"/>
      </w:rPr>
    </w:lvl>
  </w:abstractNum>
  <w:abstractNum w:abstractNumId="6">
    <w:nsid w:val="0BE15C68"/>
    <w:multiLevelType w:val="multilevel"/>
    <w:tmpl w:val="0BE15C68"/>
    <w:lvl w:ilvl="0" w:tentative="0">
      <w:start w:val="1"/>
      <w:numFmt w:val="chineseCountingThousand"/>
      <w:lvlText w:val="%1"/>
      <w:lvlJc w:val="left"/>
      <w:pPr>
        <w:ind w:left="844" w:hanging="420"/>
      </w:pPr>
      <w:rPr>
        <w:rFonts w:hint="default" w:cs="Times New Roman"/>
        <w:b/>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7">
    <w:nsid w:val="0BED2A45"/>
    <w:multiLevelType w:val="multilevel"/>
    <w:tmpl w:val="0BED2A45"/>
    <w:lvl w:ilvl="0" w:tentative="0">
      <w:start w:val="1"/>
      <w:numFmt w:val="chineseCountingThousand"/>
      <w:lvlText w:val="%1"/>
      <w:lvlJc w:val="left"/>
      <w:pPr>
        <w:ind w:left="844" w:hanging="420"/>
      </w:pPr>
      <w:rPr>
        <w:rFonts w:hint="default" w:cs="Times New Roman"/>
        <w:b/>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8">
    <w:nsid w:val="0C7F7C03"/>
    <w:multiLevelType w:val="singleLevel"/>
    <w:tmpl w:val="0C7F7C03"/>
    <w:lvl w:ilvl="0" w:tentative="0">
      <w:start w:val="2"/>
      <w:numFmt w:val="decimal"/>
      <w:lvlText w:val="%1."/>
      <w:lvlJc w:val="left"/>
      <w:pPr>
        <w:tabs>
          <w:tab w:val="left" w:pos="312"/>
        </w:tabs>
      </w:pPr>
    </w:lvl>
  </w:abstractNum>
  <w:abstractNum w:abstractNumId="9">
    <w:nsid w:val="0F94487B"/>
    <w:multiLevelType w:val="multilevel"/>
    <w:tmpl w:val="0F94487B"/>
    <w:lvl w:ilvl="0" w:tentative="0">
      <w:start w:val="1"/>
      <w:numFmt w:val="decimal"/>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10">
    <w:nsid w:val="1061F914"/>
    <w:multiLevelType w:val="multilevel"/>
    <w:tmpl w:val="1061F914"/>
    <w:lvl w:ilvl="0" w:tentative="0">
      <w:start w:val="3"/>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17E434C8"/>
    <w:multiLevelType w:val="multilevel"/>
    <w:tmpl w:val="17E434C8"/>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12">
    <w:nsid w:val="1C4B0DE9"/>
    <w:multiLevelType w:val="multilevel"/>
    <w:tmpl w:val="1C4B0DE9"/>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13">
    <w:nsid w:val="20B31A37"/>
    <w:multiLevelType w:val="multilevel"/>
    <w:tmpl w:val="20B31A37"/>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14">
    <w:nsid w:val="21FE3E28"/>
    <w:multiLevelType w:val="multilevel"/>
    <w:tmpl w:val="21FE3E28"/>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15">
    <w:nsid w:val="2AE54F03"/>
    <w:multiLevelType w:val="multilevel"/>
    <w:tmpl w:val="2AE54F03"/>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16">
    <w:nsid w:val="2CB41E81"/>
    <w:multiLevelType w:val="multilevel"/>
    <w:tmpl w:val="2CB41E81"/>
    <w:lvl w:ilvl="0" w:tentative="0">
      <w:start w:val="1"/>
      <w:numFmt w:val="decimal"/>
      <w:lvlText w:val="%1."/>
      <w:lvlJc w:val="left"/>
      <w:pPr>
        <w:ind w:left="840" w:hanging="420"/>
      </w:pPr>
      <w:rPr>
        <w:rFonts w:cs="Times New Roman"/>
      </w:rPr>
    </w:lvl>
    <w:lvl w:ilvl="1" w:tentative="0">
      <w:start w:val="1"/>
      <w:numFmt w:val="lowerLetter"/>
      <w:lvlText w:val="%2)"/>
      <w:lvlJc w:val="left"/>
      <w:pPr>
        <w:ind w:left="1260" w:hanging="420"/>
      </w:pPr>
      <w:rPr>
        <w:rFonts w:cs="Times New Roman"/>
      </w:rPr>
    </w:lvl>
    <w:lvl w:ilvl="2" w:tentative="0">
      <w:start w:val="1"/>
      <w:numFmt w:val="lowerRoman"/>
      <w:lvlText w:val="%3."/>
      <w:lvlJc w:val="right"/>
      <w:pPr>
        <w:ind w:left="1680" w:hanging="420"/>
      </w:pPr>
      <w:rPr>
        <w:rFonts w:cs="Times New Roman"/>
      </w:rPr>
    </w:lvl>
    <w:lvl w:ilvl="3" w:tentative="0">
      <w:start w:val="1"/>
      <w:numFmt w:val="decimal"/>
      <w:lvlText w:val="%4."/>
      <w:lvlJc w:val="left"/>
      <w:pPr>
        <w:ind w:left="2100" w:hanging="420"/>
      </w:pPr>
      <w:rPr>
        <w:rFonts w:cs="Times New Roman"/>
      </w:rPr>
    </w:lvl>
    <w:lvl w:ilvl="4" w:tentative="0">
      <w:start w:val="1"/>
      <w:numFmt w:val="lowerLetter"/>
      <w:lvlText w:val="%5)"/>
      <w:lvlJc w:val="left"/>
      <w:pPr>
        <w:ind w:left="2520" w:hanging="420"/>
      </w:pPr>
      <w:rPr>
        <w:rFonts w:cs="Times New Roman"/>
      </w:rPr>
    </w:lvl>
    <w:lvl w:ilvl="5" w:tentative="0">
      <w:start w:val="1"/>
      <w:numFmt w:val="lowerRoman"/>
      <w:lvlText w:val="%6."/>
      <w:lvlJc w:val="right"/>
      <w:pPr>
        <w:ind w:left="2940" w:hanging="420"/>
      </w:pPr>
      <w:rPr>
        <w:rFonts w:cs="Times New Roman"/>
      </w:rPr>
    </w:lvl>
    <w:lvl w:ilvl="6" w:tentative="0">
      <w:start w:val="1"/>
      <w:numFmt w:val="decimal"/>
      <w:lvlText w:val="%7."/>
      <w:lvlJc w:val="left"/>
      <w:pPr>
        <w:ind w:left="3360" w:hanging="420"/>
      </w:pPr>
      <w:rPr>
        <w:rFonts w:cs="Times New Roman"/>
      </w:rPr>
    </w:lvl>
    <w:lvl w:ilvl="7" w:tentative="0">
      <w:start w:val="1"/>
      <w:numFmt w:val="lowerLetter"/>
      <w:lvlText w:val="%8)"/>
      <w:lvlJc w:val="left"/>
      <w:pPr>
        <w:ind w:left="3780" w:hanging="420"/>
      </w:pPr>
      <w:rPr>
        <w:rFonts w:cs="Times New Roman"/>
      </w:rPr>
    </w:lvl>
    <w:lvl w:ilvl="8" w:tentative="0">
      <w:start w:val="1"/>
      <w:numFmt w:val="lowerRoman"/>
      <w:lvlText w:val="%9."/>
      <w:lvlJc w:val="right"/>
      <w:pPr>
        <w:ind w:left="4200" w:hanging="420"/>
      </w:pPr>
      <w:rPr>
        <w:rFonts w:cs="Times New Roman"/>
      </w:rPr>
    </w:lvl>
  </w:abstractNum>
  <w:abstractNum w:abstractNumId="17">
    <w:nsid w:val="2D8179AD"/>
    <w:multiLevelType w:val="multilevel"/>
    <w:tmpl w:val="2D8179AD"/>
    <w:lvl w:ilvl="0" w:tentative="0">
      <w:start w:val="1"/>
      <w:numFmt w:val="chineseCountingThousand"/>
      <w:lvlText w:val="%1"/>
      <w:lvlJc w:val="left"/>
      <w:pPr>
        <w:ind w:left="844" w:hanging="420"/>
      </w:pPr>
      <w:rPr>
        <w:rFonts w:hint="default" w:cs="Times New Roman"/>
        <w:b/>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18">
    <w:nsid w:val="31C16689"/>
    <w:multiLevelType w:val="multilevel"/>
    <w:tmpl w:val="31C16689"/>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19">
    <w:nsid w:val="32726C87"/>
    <w:multiLevelType w:val="multilevel"/>
    <w:tmpl w:val="32726C87"/>
    <w:lvl w:ilvl="0" w:tentative="0">
      <w:start w:val="1"/>
      <w:numFmt w:val="chineseCountingThousand"/>
      <w:lvlText w:val="%1"/>
      <w:lvlJc w:val="left"/>
      <w:pPr>
        <w:ind w:left="844" w:hanging="420"/>
      </w:pPr>
      <w:rPr>
        <w:rFonts w:hint="default" w:cs="Times New Roman"/>
        <w:b/>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20">
    <w:nsid w:val="327B4B45"/>
    <w:multiLevelType w:val="multilevel"/>
    <w:tmpl w:val="327B4B45"/>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21">
    <w:nsid w:val="33F50281"/>
    <w:multiLevelType w:val="multilevel"/>
    <w:tmpl w:val="33F50281"/>
    <w:lvl w:ilvl="0" w:tentative="0">
      <w:start w:val="1"/>
      <w:numFmt w:val="chineseCountingThousand"/>
      <w:lvlText w:val="%1"/>
      <w:lvlJc w:val="left"/>
      <w:pPr>
        <w:ind w:left="844" w:hanging="420"/>
      </w:pPr>
      <w:rPr>
        <w:rFonts w:hint="default" w:cs="Times New Roman"/>
        <w:b/>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22">
    <w:nsid w:val="33F6116B"/>
    <w:multiLevelType w:val="multilevel"/>
    <w:tmpl w:val="33F6116B"/>
    <w:lvl w:ilvl="0" w:tentative="0">
      <w:start w:val="1"/>
      <w:numFmt w:val="chineseCountingThousand"/>
      <w:lvlText w:val="（%1）"/>
      <w:lvlJc w:val="left"/>
      <w:pPr>
        <w:ind w:left="591" w:hanging="307"/>
      </w:pPr>
      <w:rPr>
        <w:rFonts w:hint="eastAsia" w:cs="Times New Roman"/>
      </w:rPr>
    </w:lvl>
    <w:lvl w:ilvl="1" w:tentative="0">
      <w:start w:val="1"/>
      <w:numFmt w:val="lowerLetter"/>
      <w:lvlText w:val="%2)"/>
      <w:lvlJc w:val="left"/>
      <w:pPr>
        <w:ind w:left="811" w:hanging="420"/>
      </w:pPr>
      <w:rPr>
        <w:rFonts w:cs="Times New Roman"/>
      </w:rPr>
    </w:lvl>
    <w:lvl w:ilvl="2" w:tentative="0">
      <w:start w:val="1"/>
      <w:numFmt w:val="lowerRoman"/>
      <w:lvlText w:val="%3."/>
      <w:lvlJc w:val="right"/>
      <w:pPr>
        <w:ind w:left="1231" w:hanging="420"/>
      </w:pPr>
      <w:rPr>
        <w:rFonts w:cs="Times New Roman"/>
      </w:rPr>
    </w:lvl>
    <w:lvl w:ilvl="3" w:tentative="0">
      <w:start w:val="1"/>
      <w:numFmt w:val="decimal"/>
      <w:lvlText w:val="%4."/>
      <w:lvlJc w:val="left"/>
      <w:pPr>
        <w:ind w:left="1651" w:hanging="420"/>
      </w:pPr>
      <w:rPr>
        <w:rFonts w:cs="Times New Roman"/>
      </w:rPr>
    </w:lvl>
    <w:lvl w:ilvl="4" w:tentative="0">
      <w:start w:val="1"/>
      <w:numFmt w:val="lowerLetter"/>
      <w:lvlText w:val="%5)"/>
      <w:lvlJc w:val="left"/>
      <w:pPr>
        <w:ind w:left="2071" w:hanging="420"/>
      </w:pPr>
      <w:rPr>
        <w:rFonts w:cs="Times New Roman"/>
      </w:rPr>
    </w:lvl>
    <w:lvl w:ilvl="5" w:tentative="0">
      <w:start w:val="1"/>
      <w:numFmt w:val="lowerRoman"/>
      <w:lvlText w:val="%6."/>
      <w:lvlJc w:val="right"/>
      <w:pPr>
        <w:ind w:left="2491" w:hanging="420"/>
      </w:pPr>
      <w:rPr>
        <w:rFonts w:cs="Times New Roman"/>
      </w:rPr>
    </w:lvl>
    <w:lvl w:ilvl="6" w:tentative="0">
      <w:start w:val="1"/>
      <w:numFmt w:val="decimal"/>
      <w:lvlText w:val="%7."/>
      <w:lvlJc w:val="left"/>
      <w:pPr>
        <w:ind w:left="2911" w:hanging="420"/>
      </w:pPr>
      <w:rPr>
        <w:rFonts w:cs="Times New Roman"/>
      </w:rPr>
    </w:lvl>
    <w:lvl w:ilvl="7" w:tentative="0">
      <w:start w:val="1"/>
      <w:numFmt w:val="lowerLetter"/>
      <w:lvlText w:val="%8)"/>
      <w:lvlJc w:val="left"/>
      <w:pPr>
        <w:ind w:left="3331" w:hanging="420"/>
      </w:pPr>
      <w:rPr>
        <w:rFonts w:cs="Times New Roman"/>
      </w:rPr>
    </w:lvl>
    <w:lvl w:ilvl="8" w:tentative="0">
      <w:start w:val="1"/>
      <w:numFmt w:val="lowerRoman"/>
      <w:lvlText w:val="%9."/>
      <w:lvlJc w:val="right"/>
      <w:pPr>
        <w:ind w:left="3751" w:hanging="420"/>
      </w:pPr>
      <w:rPr>
        <w:rFonts w:cs="Times New Roman"/>
      </w:rPr>
    </w:lvl>
  </w:abstractNum>
  <w:abstractNum w:abstractNumId="23">
    <w:nsid w:val="34B7065A"/>
    <w:multiLevelType w:val="multilevel"/>
    <w:tmpl w:val="34B7065A"/>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24">
    <w:nsid w:val="35CA492D"/>
    <w:multiLevelType w:val="multilevel"/>
    <w:tmpl w:val="35CA492D"/>
    <w:lvl w:ilvl="0" w:tentative="0">
      <w:start w:val="1"/>
      <w:numFmt w:val="japaneseCounting"/>
      <w:lvlText w:val="（%1）"/>
      <w:lvlJc w:val="left"/>
      <w:pPr>
        <w:ind w:left="1295" w:hanging="720"/>
      </w:pPr>
      <w:rPr>
        <w:rFonts w:hint="default" w:cs="Times New Roman"/>
      </w:rPr>
    </w:lvl>
    <w:lvl w:ilvl="1" w:tentative="0">
      <w:start w:val="1"/>
      <w:numFmt w:val="lowerLetter"/>
      <w:lvlText w:val="%2)"/>
      <w:lvlJc w:val="left"/>
      <w:pPr>
        <w:ind w:left="1415" w:hanging="420"/>
      </w:pPr>
      <w:rPr>
        <w:rFonts w:cs="Times New Roman"/>
      </w:rPr>
    </w:lvl>
    <w:lvl w:ilvl="2" w:tentative="0">
      <w:start w:val="1"/>
      <w:numFmt w:val="lowerRoman"/>
      <w:lvlText w:val="%3."/>
      <w:lvlJc w:val="right"/>
      <w:pPr>
        <w:ind w:left="1835" w:hanging="420"/>
      </w:pPr>
      <w:rPr>
        <w:rFonts w:cs="Times New Roman"/>
      </w:rPr>
    </w:lvl>
    <w:lvl w:ilvl="3" w:tentative="0">
      <w:start w:val="1"/>
      <w:numFmt w:val="decimal"/>
      <w:lvlText w:val="%4."/>
      <w:lvlJc w:val="left"/>
      <w:pPr>
        <w:ind w:left="2255" w:hanging="420"/>
      </w:pPr>
      <w:rPr>
        <w:rFonts w:cs="Times New Roman"/>
      </w:rPr>
    </w:lvl>
    <w:lvl w:ilvl="4" w:tentative="0">
      <w:start w:val="1"/>
      <w:numFmt w:val="lowerLetter"/>
      <w:lvlText w:val="%5)"/>
      <w:lvlJc w:val="left"/>
      <w:pPr>
        <w:ind w:left="2675" w:hanging="420"/>
      </w:pPr>
      <w:rPr>
        <w:rFonts w:cs="Times New Roman"/>
      </w:rPr>
    </w:lvl>
    <w:lvl w:ilvl="5" w:tentative="0">
      <w:start w:val="1"/>
      <w:numFmt w:val="lowerRoman"/>
      <w:lvlText w:val="%6."/>
      <w:lvlJc w:val="right"/>
      <w:pPr>
        <w:ind w:left="3095" w:hanging="420"/>
      </w:pPr>
      <w:rPr>
        <w:rFonts w:cs="Times New Roman"/>
      </w:rPr>
    </w:lvl>
    <w:lvl w:ilvl="6" w:tentative="0">
      <w:start w:val="1"/>
      <w:numFmt w:val="decimal"/>
      <w:lvlText w:val="%7."/>
      <w:lvlJc w:val="left"/>
      <w:pPr>
        <w:ind w:left="3515" w:hanging="420"/>
      </w:pPr>
      <w:rPr>
        <w:rFonts w:cs="Times New Roman"/>
      </w:rPr>
    </w:lvl>
    <w:lvl w:ilvl="7" w:tentative="0">
      <w:start w:val="1"/>
      <w:numFmt w:val="lowerLetter"/>
      <w:lvlText w:val="%8)"/>
      <w:lvlJc w:val="left"/>
      <w:pPr>
        <w:ind w:left="3935" w:hanging="420"/>
      </w:pPr>
      <w:rPr>
        <w:rFonts w:cs="Times New Roman"/>
      </w:rPr>
    </w:lvl>
    <w:lvl w:ilvl="8" w:tentative="0">
      <w:start w:val="1"/>
      <w:numFmt w:val="lowerRoman"/>
      <w:lvlText w:val="%9."/>
      <w:lvlJc w:val="right"/>
      <w:pPr>
        <w:ind w:left="4355" w:hanging="420"/>
      </w:pPr>
      <w:rPr>
        <w:rFonts w:cs="Times New Roman"/>
      </w:rPr>
    </w:lvl>
  </w:abstractNum>
  <w:abstractNum w:abstractNumId="25">
    <w:nsid w:val="38B64F2A"/>
    <w:multiLevelType w:val="multilevel"/>
    <w:tmpl w:val="38B64F2A"/>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26">
    <w:nsid w:val="3CBA71AD"/>
    <w:multiLevelType w:val="multilevel"/>
    <w:tmpl w:val="3CBA71AD"/>
    <w:lvl w:ilvl="0" w:tentative="0">
      <w:start w:val="1"/>
      <w:numFmt w:val="decimal"/>
      <w:lvlText w:val="%1."/>
      <w:lvlJc w:val="left"/>
      <w:pPr>
        <w:ind w:left="987" w:hanging="420"/>
      </w:pPr>
      <w:rPr>
        <w:rFonts w:hint="default" w:cs="Times New Roman"/>
      </w:rPr>
    </w:lvl>
    <w:lvl w:ilvl="1" w:tentative="0">
      <w:start w:val="1"/>
      <w:numFmt w:val="lowerLetter"/>
      <w:lvlText w:val="%2)"/>
      <w:lvlJc w:val="left"/>
      <w:pPr>
        <w:ind w:left="1407" w:hanging="420"/>
      </w:pPr>
      <w:rPr>
        <w:rFonts w:cs="Times New Roman"/>
      </w:rPr>
    </w:lvl>
    <w:lvl w:ilvl="2" w:tentative="0">
      <w:start w:val="1"/>
      <w:numFmt w:val="lowerRoman"/>
      <w:lvlText w:val="%3."/>
      <w:lvlJc w:val="right"/>
      <w:pPr>
        <w:ind w:left="1827" w:hanging="420"/>
      </w:pPr>
      <w:rPr>
        <w:rFonts w:cs="Times New Roman"/>
      </w:rPr>
    </w:lvl>
    <w:lvl w:ilvl="3" w:tentative="0">
      <w:start w:val="1"/>
      <w:numFmt w:val="decimal"/>
      <w:lvlText w:val="%4."/>
      <w:lvlJc w:val="left"/>
      <w:pPr>
        <w:ind w:left="2247" w:hanging="420"/>
      </w:pPr>
      <w:rPr>
        <w:rFonts w:cs="Times New Roman"/>
      </w:rPr>
    </w:lvl>
    <w:lvl w:ilvl="4" w:tentative="0">
      <w:start w:val="1"/>
      <w:numFmt w:val="lowerLetter"/>
      <w:lvlText w:val="%5)"/>
      <w:lvlJc w:val="left"/>
      <w:pPr>
        <w:ind w:left="2667" w:hanging="420"/>
      </w:pPr>
      <w:rPr>
        <w:rFonts w:cs="Times New Roman"/>
      </w:rPr>
    </w:lvl>
    <w:lvl w:ilvl="5" w:tentative="0">
      <w:start w:val="1"/>
      <w:numFmt w:val="lowerRoman"/>
      <w:lvlText w:val="%6."/>
      <w:lvlJc w:val="right"/>
      <w:pPr>
        <w:ind w:left="3087" w:hanging="420"/>
      </w:pPr>
      <w:rPr>
        <w:rFonts w:cs="Times New Roman"/>
      </w:rPr>
    </w:lvl>
    <w:lvl w:ilvl="6" w:tentative="0">
      <w:start w:val="1"/>
      <w:numFmt w:val="decimal"/>
      <w:lvlText w:val="%7."/>
      <w:lvlJc w:val="left"/>
      <w:pPr>
        <w:ind w:left="3507" w:hanging="420"/>
      </w:pPr>
      <w:rPr>
        <w:rFonts w:cs="Times New Roman"/>
      </w:rPr>
    </w:lvl>
    <w:lvl w:ilvl="7" w:tentative="0">
      <w:start w:val="1"/>
      <w:numFmt w:val="lowerLetter"/>
      <w:lvlText w:val="%8)"/>
      <w:lvlJc w:val="left"/>
      <w:pPr>
        <w:ind w:left="3927" w:hanging="420"/>
      </w:pPr>
      <w:rPr>
        <w:rFonts w:cs="Times New Roman"/>
      </w:rPr>
    </w:lvl>
    <w:lvl w:ilvl="8" w:tentative="0">
      <w:start w:val="1"/>
      <w:numFmt w:val="lowerRoman"/>
      <w:lvlText w:val="%9."/>
      <w:lvlJc w:val="right"/>
      <w:pPr>
        <w:ind w:left="4347" w:hanging="420"/>
      </w:pPr>
      <w:rPr>
        <w:rFonts w:cs="Times New Roman"/>
      </w:rPr>
    </w:lvl>
  </w:abstractNum>
  <w:abstractNum w:abstractNumId="27">
    <w:nsid w:val="3F572F5B"/>
    <w:multiLevelType w:val="multilevel"/>
    <w:tmpl w:val="3F572F5B"/>
    <w:lvl w:ilvl="0" w:tentative="0">
      <w:start w:val="1"/>
      <w:numFmt w:val="decimal"/>
      <w:lvlText w:val="%1."/>
      <w:lvlJc w:val="left"/>
      <w:pPr>
        <w:ind w:left="844" w:hanging="420"/>
      </w:pPr>
      <w:rPr>
        <w:rFonts w:cs="Times New Roman"/>
        <w:b w:val="0"/>
        <w:sz w:val="21"/>
        <w:szCs w:val="21"/>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28">
    <w:nsid w:val="451E42A5"/>
    <w:multiLevelType w:val="multilevel"/>
    <w:tmpl w:val="451E42A5"/>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29">
    <w:nsid w:val="489955C2"/>
    <w:multiLevelType w:val="multilevel"/>
    <w:tmpl w:val="489955C2"/>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30">
    <w:nsid w:val="4D527A4E"/>
    <w:multiLevelType w:val="multilevel"/>
    <w:tmpl w:val="4D527A4E"/>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31">
    <w:nsid w:val="51F326BD"/>
    <w:multiLevelType w:val="multilevel"/>
    <w:tmpl w:val="51F326BD"/>
    <w:lvl w:ilvl="0" w:tentative="0">
      <w:start w:val="1"/>
      <w:numFmt w:val="decimal"/>
      <w:lvlText w:val="%1."/>
      <w:lvlJc w:val="left"/>
      <w:pPr>
        <w:ind w:left="846"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32">
    <w:nsid w:val="5F57558A"/>
    <w:multiLevelType w:val="multilevel"/>
    <w:tmpl w:val="5F57558A"/>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33">
    <w:nsid w:val="6194486C"/>
    <w:multiLevelType w:val="multilevel"/>
    <w:tmpl w:val="6194486C"/>
    <w:lvl w:ilvl="0" w:tentative="0">
      <w:start w:val="1"/>
      <w:numFmt w:val="chineseCountingThousand"/>
      <w:lvlText w:val="%1"/>
      <w:lvlJc w:val="left"/>
      <w:pPr>
        <w:ind w:left="844" w:hanging="420"/>
      </w:pPr>
      <w:rPr>
        <w:rFonts w:hint="default" w:cs="Times New Roman"/>
        <w:b/>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34">
    <w:nsid w:val="62AE7E9E"/>
    <w:multiLevelType w:val="multilevel"/>
    <w:tmpl w:val="62AE7E9E"/>
    <w:lvl w:ilvl="0" w:tentative="0">
      <w:start w:val="1"/>
      <w:numFmt w:val="chineseCountingThousand"/>
      <w:lvlText w:val="%1"/>
      <w:lvlJc w:val="left"/>
      <w:pPr>
        <w:ind w:left="844" w:hanging="420"/>
      </w:pPr>
      <w:rPr>
        <w:rFonts w:hint="default" w:cs="Times New Roman"/>
        <w:b/>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35">
    <w:nsid w:val="6F8C216B"/>
    <w:multiLevelType w:val="multilevel"/>
    <w:tmpl w:val="6F8C216B"/>
    <w:lvl w:ilvl="0" w:tentative="0">
      <w:start w:val="1"/>
      <w:numFmt w:val="chineseCountingThousand"/>
      <w:lvlText w:val="（%1）"/>
      <w:lvlJc w:val="left"/>
      <w:pPr>
        <w:ind w:left="648" w:hanging="364"/>
      </w:pPr>
      <w:rPr>
        <w:rFonts w:hint="eastAsia" w:cs="Times New Roman"/>
      </w:rPr>
    </w:lvl>
    <w:lvl w:ilvl="1" w:tentative="0">
      <w:start w:val="1"/>
      <w:numFmt w:val="lowerLetter"/>
      <w:lvlText w:val="%2)"/>
      <w:lvlJc w:val="left"/>
      <w:pPr>
        <w:ind w:left="868" w:hanging="420"/>
      </w:pPr>
      <w:rPr>
        <w:rFonts w:cs="Times New Roman"/>
      </w:rPr>
    </w:lvl>
    <w:lvl w:ilvl="2" w:tentative="0">
      <w:start w:val="1"/>
      <w:numFmt w:val="lowerRoman"/>
      <w:lvlText w:val="%3."/>
      <w:lvlJc w:val="right"/>
      <w:pPr>
        <w:ind w:left="1288" w:hanging="420"/>
      </w:pPr>
      <w:rPr>
        <w:rFonts w:cs="Times New Roman"/>
      </w:rPr>
    </w:lvl>
    <w:lvl w:ilvl="3" w:tentative="0">
      <w:start w:val="1"/>
      <w:numFmt w:val="decimal"/>
      <w:lvlText w:val="%4."/>
      <w:lvlJc w:val="left"/>
      <w:pPr>
        <w:ind w:left="1708" w:hanging="420"/>
      </w:pPr>
      <w:rPr>
        <w:rFonts w:cs="Times New Roman"/>
      </w:rPr>
    </w:lvl>
    <w:lvl w:ilvl="4" w:tentative="0">
      <w:start w:val="1"/>
      <w:numFmt w:val="lowerLetter"/>
      <w:lvlText w:val="%5)"/>
      <w:lvlJc w:val="left"/>
      <w:pPr>
        <w:ind w:left="2128" w:hanging="420"/>
      </w:pPr>
      <w:rPr>
        <w:rFonts w:cs="Times New Roman"/>
      </w:rPr>
    </w:lvl>
    <w:lvl w:ilvl="5" w:tentative="0">
      <w:start w:val="1"/>
      <w:numFmt w:val="lowerRoman"/>
      <w:lvlText w:val="%6."/>
      <w:lvlJc w:val="right"/>
      <w:pPr>
        <w:ind w:left="2548" w:hanging="420"/>
      </w:pPr>
      <w:rPr>
        <w:rFonts w:cs="Times New Roman"/>
      </w:rPr>
    </w:lvl>
    <w:lvl w:ilvl="6" w:tentative="0">
      <w:start w:val="1"/>
      <w:numFmt w:val="decimal"/>
      <w:lvlText w:val="%7."/>
      <w:lvlJc w:val="left"/>
      <w:pPr>
        <w:ind w:left="2968" w:hanging="420"/>
      </w:pPr>
      <w:rPr>
        <w:rFonts w:cs="Times New Roman"/>
      </w:rPr>
    </w:lvl>
    <w:lvl w:ilvl="7" w:tentative="0">
      <w:start w:val="1"/>
      <w:numFmt w:val="lowerLetter"/>
      <w:lvlText w:val="%8)"/>
      <w:lvlJc w:val="left"/>
      <w:pPr>
        <w:ind w:left="3388" w:hanging="420"/>
      </w:pPr>
      <w:rPr>
        <w:rFonts w:cs="Times New Roman"/>
      </w:rPr>
    </w:lvl>
    <w:lvl w:ilvl="8" w:tentative="0">
      <w:start w:val="1"/>
      <w:numFmt w:val="lowerRoman"/>
      <w:lvlText w:val="%9."/>
      <w:lvlJc w:val="right"/>
      <w:pPr>
        <w:ind w:left="3808" w:hanging="420"/>
      </w:pPr>
      <w:rPr>
        <w:rFonts w:cs="Times New Roman"/>
      </w:rPr>
    </w:lvl>
  </w:abstractNum>
  <w:abstractNum w:abstractNumId="36">
    <w:nsid w:val="730E20C1"/>
    <w:multiLevelType w:val="multilevel"/>
    <w:tmpl w:val="730E20C1"/>
    <w:lvl w:ilvl="0" w:tentative="0">
      <w:start w:val="1"/>
      <w:numFmt w:val="chineseCountingThousand"/>
      <w:lvlText w:val="%1"/>
      <w:lvlJc w:val="left"/>
      <w:pPr>
        <w:ind w:left="844" w:hanging="420"/>
      </w:pPr>
      <w:rPr>
        <w:rFonts w:hint="default" w:cs="Times New Roman"/>
        <w:b/>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37">
    <w:nsid w:val="7B344CEE"/>
    <w:multiLevelType w:val="multilevel"/>
    <w:tmpl w:val="7B344CEE"/>
    <w:lvl w:ilvl="0" w:tentative="0">
      <w:start w:val="1"/>
      <w:numFmt w:val="decimal"/>
      <w:lvlText w:val="%1."/>
      <w:lvlJc w:val="left"/>
      <w:pPr>
        <w:ind w:left="844" w:hanging="420"/>
      </w:pPr>
      <w:rPr>
        <w:rFonts w:cs="Times New Roman"/>
        <w:b w:val="0"/>
        <w:sz w:val="21"/>
        <w:szCs w:val="21"/>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38">
    <w:nsid w:val="7C50610C"/>
    <w:multiLevelType w:val="multilevel"/>
    <w:tmpl w:val="7C50610C"/>
    <w:lvl w:ilvl="0" w:tentative="0">
      <w:start w:val="1"/>
      <w:numFmt w:val="decimal"/>
      <w:lvlText w:val="%1."/>
      <w:lvlJc w:val="left"/>
      <w:pPr>
        <w:ind w:left="844" w:hanging="420"/>
      </w:pPr>
      <w:rPr>
        <w:rFonts w:cs="Times New Roman"/>
        <w:b w:val="0"/>
        <w:sz w:val="21"/>
        <w:szCs w:val="21"/>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abstractNum w:abstractNumId="39">
    <w:nsid w:val="7D9476A6"/>
    <w:multiLevelType w:val="multilevel"/>
    <w:tmpl w:val="7D9476A6"/>
    <w:lvl w:ilvl="0" w:tentative="0">
      <w:start w:val="1"/>
      <w:numFmt w:val="decimal"/>
      <w:lvlText w:val="%1."/>
      <w:lvlJc w:val="left"/>
      <w:pPr>
        <w:ind w:left="844" w:hanging="420"/>
      </w:pPr>
      <w:rPr>
        <w:rFonts w:cs="Times New Roman"/>
      </w:rPr>
    </w:lvl>
    <w:lvl w:ilvl="1" w:tentative="0">
      <w:start w:val="1"/>
      <w:numFmt w:val="lowerLetter"/>
      <w:lvlText w:val="%2)"/>
      <w:lvlJc w:val="left"/>
      <w:pPr>
        <w:ind w:left="1264" w:hanging="420"/>
      </w:pPr>
      <w:rPr>
        <w:rFonts w:cs="Times New Roman"/>
      </w:rPr>
    </w:lvl>
    <w:lvl w:ilvl="2" w:tentative="0">
      <w:start w:val="1"/>
      <w:numFmt w:val="lowerRoman"/>
      <w:lvlText w:val="%3."/>
      <w:lvlJc w:val="right"/>
      <w:pPr>
        <w:ind w:left="1684" w:hanging="420"/>
      </w:pPr>
      <w:rPr>
        <w:rFonts w:cs="Times New Roman"/>
      </w:rPr>
    </w:lvl>
    <w:lvl w:ilvl="3" w:tentative="0">
      <w:start w:val="1"/>
      <w:numFmt w:val="decimal"/>
      <w:lvlText w:val="%4."/>
      <w:lvlJc w:val="left"/>
      <w:pPr>
        <w:ind w:left="2104" w:hanging="420"/>
      </w:pPr>
      <w:rPr>
        <w:rFonts w:cs="Times New Roman"/>
      </w:rPr>
    </w:lvl>
    <w:lvl w:ilvl="4" w:tentative="0">
      <w:start w:val="1"/>
      <w:numFmt w:val="lowerLetter"/>
      <w:lvlText w:val="%5)"/>
      <w:lvlJc w:val="left"/>
      <w:pPr>
        <w:ind w:left="2524" w:hanging="420"/>
      </w:pPr>
      <w:rPr>
        <w:rFonts w:cs="Times New Roman"/>
      </w:rPr>
    </w:lvl>
    <w:lvl w:ilvl="5" w:tentative="0">
      <w:start w:val="1"/>
      <w:numFmt w:val="lowerRoman"/>
      <w:lvlText w:val="%6."/>
      <w:lvlJc w:val="right"/>
      <w:pPr>
        <w:ind w:left="2944" w:hanging="420"/>
      </w:pPr>
      <w:rPr>
        <w:rFonts w:cs="Times New Roman"/>
      </w:rPr>
    </w:lvl>
    <w:lvl w:ilvl="6" w:tentative="0">
      <w:start w:val="1"/>
      <w:numFmt w:val="decimal"/>
      <w:lvlText w:val="%7."/>
      <w:lvlJc w:val="left"/>
      <w:pPr>
        <w:ind w:left="3364" w:hanging="420"/>
      </w:pPr>
      <w:rPr>
        <w:rFonts w:cs="Times New Roman"/>
      </w:rPr>
    </w:lvl>
    <w:lvl w:ilvl="7" w:tentative="0">
      <w:start w:val="1"/>
      <w:numFmt w:val="lowerLetter"/>
      <w:lvlText w:val="%8)"/>
      <w:lvlJc w:val="left"/>
      <w:pPr>
        <w:ind w:left="3784" w:hanging="420"/>
      </w:pPr>
      <w:rPr>
        <w:rFonts w:cs="Times New Roman"/>
      </w:rPr>
    </w:lvl>
    <w:lvl w:ilvl="8" w:tentative="0">
      <w:start w:val="1"/>
      <w:numFmt w:val="lowerRoman"/>
      <w:lvlText w:val="%9."/>
      <w:lvlJc w:val="right"/>
      <w:pPr>
        <w:ind w:left="4204" w:hanging="420"/>
      </w:pPr>
      <w:rPr>
        <w:rFonts w:cs="Times New Roman"/>
      </w:rPr>
    </w:lvl>
  </w:abstractNum>
  <w:num w:numId="1">
    <w:abstractNumId w:val="10"/>
  </w:num>
  <w:num w:numId="2">
    <w:abstractNumId w:val="2"/>
    <w:lvlOverride w:ilvl="0">
      <w:startOverride w:val="1"/>
    </w:lvlOverride>
  </w:num>
  <w:num w:numId="3">
    <w:abstractNumId w:val="0"/>
  </w:num>
  <w:num w:numId="4">
    <w:abstractNumId w:val="1"/>
  </w:num>
  <w:num w:numId="5">
    <w:abstractNumId w:val="8"/>
  </w:num>
  <w:num w:numId="6">
    <w:abstractNumId w:val="7"/>
  </w:num>
  <w:num w:numId="7">
    <w:abstractNumId w:val="17"/>
  </w:num>
  <w:num w:numId="8">
    <w:abstractNumId w:val="25"/>
  </w:num>
  <w:num w:numId="9">
    <w:abstractNumId w:val="30"/>
  </w:num>
  <w:num w:numId="10">
    <w:abstractNumId w:val="9"/>
  </w:num>
  <w:num w:numId="11">
    <w:abstractNumId w:val="6"/>
  </w:num>
  <w:num w:numId="12">
    <w:abstractNumId w:val="28"/>
  </w:num>
  <w:num w:numId="13">
    <w:abstractNumId w:val="3"/>
  </w:num>
  <w:num w:numId="14">
    <w:abstractNumId w:val="26"/>
  </w:num>
  <w:num w:numId="15">
    <w:abstractNumId w:val="20"/>
  </w:num>
  <w:num w:numId="16">
    <w:abstractNumId w:val="21"/>
  </w:num>
  <w:num w:numId="17">
    <w:abstractNumId w:val="5"/>
  </w:num>
  <w:num w:numId="18">
    <w:abstractNumId w:val="29"/>
  </w:num>
  <w:num w:numId="19">
    <w:abstractNumId w:val="4"/>
  </w:num>
  <w:num w:numId="20">
    <w:abstractNumId w:val="24"/>
  </w:num>
  <w:num w:numId="21">
    <w:abstractNumId w:val="31"/>
  </w:num>
  <w:num w:numId="22">
    <w:abstractNumId w:val="16"/>
  </w:num>
  <w:num w:numId="23">
    <w:abstractNumId w:val="18"/>
  </w:num>
  <w:num w:numId="24">
    <w:abstractNumId w:val="19"/>
  </w:num>
  <w:num w:numId="25">
    <w:abstractNumId w:val="32"/>
  </w:num>
  <w:num w:numId="26">
    <w:abstractNumId w:val="12"/>
  </w:num>
  <w:num w:numId="27">
    <w:abstractNumId w:val="11"/>
  </w:num>
  <w:num w:numId="28">
    <w:abstractNumId w:val="36"/>
  </w:num>
  <w:num w:numId="29">
    <w:abstractNumId w:val="38"/>
  </w:num>
  <w:num w:numId="30">
    <w:abstractNumId w:val="27"/>
  </w:num>
  <w:num w:numId="31">
    <w:abstractNumId w:val="37"/>
  </w:num>
  <w:num w:numId="32">
    <w:abstractNumId w:val="33"/>
  </w:num>
  <w:num w:numId="33">
    <w:abstractNumId w:val="14"/>
  </w:num>
  <w:num w:numId="34">
    <w:abstractNumId w:val="23"/>
  </w:num>
  <w:num w:numId="35">
    <w:abstractNumId w:val="13"/>
  </w:num>
  <w:num w:numId="36">
    <w:abstractNumId w:val="39"/>
  </w:num>
  <w:num w:numId="37">
    <w:abstractNumId w:val="15"/>
  </w:num>
  <w:num w:numId="38">
    <w:abstractNumId w:val="34"/>
  </w:num>
  <w:num w:numId="39">
    <w:abstractNumId w:val="22"/>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WUyYmUzN2UxZGExZmZkZGI4ZmFmYmI3N2QyOTNhYTYifQ=="/>
  </w:docVars>
  <w:rsids>
    <w:rsidRoot w:val="00284B9D"/>
    <w:rsid w:val="00006A7E"/>
    <w:rsid w:val="0001006E"/>
    <w:rsid w:val="00014934"/>
    <w:rsid w:val="00022804"/>
    <w:rsid w:val="00024443"/>
    <w:rsid w:val="00025A14"/>
    <w:rsid w:val="000262A7"/>
    <w:rsid w:val="00026A5E"/>
    <w:rsid w:val="0004003F"/>
    <w:rsid w:val="00044B0E"/>
    <w:rsid w:val="0004536E"/>
    <w:rsid w:val="00045EFE"/>
    <w:rsid w:val="00047BCF"/>
    <w:rsid w:val="0005335C"/>
    <w:rsid w:val="0005353B"/>
    <w:rsid w:val="00056C1C"/>
    <w:rsid w:val="00067847"/>
    <w:rsid w:val="00070DE0"/>
    <w:rsid w:val="000724B5"/>
    <w:rsid w:val="00076F99"/>
    <w:rsid w:val="00077540"/>
    <w:rsid w:val="00077E40"/>
    <w:rsid w:val="0008083D"/>
    <w:rsid w:val="00082D22"/>
    <w:rsid w:val="00091BDF"/>
    <w:rsid w:val="0009328B"/>
    <w:rsid w:val="000A19C3"/>
    <w:rsid w:val="000A29F2"/>
    <w:rsid w:val="000A4361"/>
    <w:rsid w:val="000A62BC"/>
    <w:rsid w:val="000A74E2"/>
    <w:rsid w:val="000B0C5F"/>
    <w:rsid w:val="000B2158"/>
    <w:rsid w:val="000B243D"/>
    <w:rsid w:val="000B4668"/>
    <w:rsid w:val="000B5A43"/>
    <w:rsid w:val="000B64F6"/>
    <w:rsid w:val="000C0806"/>
    <w:rsid w:val="000C38D6"/>
    <w:rsid w:val="000C4651"/>
    <w:rsid w:val="000C4D8A"/>
    <w:rsid w:val="000C5E61"/>
    <w:rsid w:val="000D1FEC"/>
    <w:rsid w:val="000D2578"/>
    <w:rsid w:val="000D25D0"/>
    <w:rsid w:val="000D41E0"/>
    <w:rsid w:val="000D55AF"/>
    <w:rsid w:val="000D6A78"/>
    <w:rsid w:val="000D7E2E"/>
    <w:rsid w:val="000E27E4"/>
    <w:rsid w:val="000E2B79"/>
    <w:rsid w:val="000E5602"/>
    <w:rsid w:val="000E5EF4"/>
    <w:rsid w:val="000F168E"/>
    <w:rsid w:val="000F33C7"/>
    <w:rsid w:val="000F7A7E"/>
    <w:rsid w:val="0010004F"/>
    <w:rsid w:val="00107A4F"/>
    <w:rsid w:val="00110728"/>
    <w:rsid w:val="00111102"/>
    <w:rsid w:val="00115864"/>
    <w:rsid w:val="0012060A"/>
    <w:rsid w:val="00122D2C"/>
    <w:rsid w:val="001251C7"/>
    <w:rsid w:val="001261CB"/>
    <w:rsid w:val="00126C4B"/>
    <w:rsid w:val="0012712F"/>
    <w:rsid w:val="001279D2"/>
    <w:rsid w:val="00132091"/>
    <w:rsid w:val="00133530"/>
    <w:rsid w:val="001344E6"/>
    <w:rsid w:val="00136BA7"/>
    <w:rsid w:val="001449EC"/>
    <w:rsid w:val="00152510"/>
    <w:rsid w:val="00153A4C"/>
    <w:rsid w:val="0015464C"/>
    <w:rsid w:val="00155C6A"/>
    <w:rsid w:val="00156DFA"/>
    <w:rsid w:val="001604BE"/>
    <w:rsid w:val="00160783"/>
    <w:rsid w:val="00162854"/>
    <w:rsid w:val="001642AD"/>
    <w:rsid w:val="00164558"/>
    <w:rsid w:val="00166B15"/>
    <w:rsid w:val="00170993"/>
    <w:rsid w:val="00173DA9"/>
    <w:rsid w:val="00174BBF"/>
    <w:rsid w:val="001940A6"/>
    <w:rsid w:val="00194CBF"/>
    <w:rsid w:val="001A2075"/>
    <w:rsid w:val="001A209B"/>
    <w:rsid w:val="001A4E0A"/>
    <w:rsid w:val="001B33F3"/>
    <w:rsid w:val="001B683E"/>
    <w:rsid w:val="001B7174"/>
    <w:rsid w:val="001C02B3"/>
    <w:rsid w:val="001C1439"/>
    <w:rsid w:val="001C2EE9"/>
    <w:rsid w:val="001C5617"/>
    <w:rsid w:val="001C5DF2"/>
    <w:rsid w:val="001C6FA6"/>
    <w:rsid w:val="001D0491"/>
    <w:rsid w:val="001D078F"/>
    <w:rsid w:val="001D6DD4"/>
    <w:rsid w:val="001E0A21"/>
    <w:rsid w:val="001E2500"/>
    <w:rsid w:val="001E63BA"/>
    <w:rsid w:val="001E6612"/>
    <w:rsid w:val="001F1B30"/>
    <w:rsid w:val="001F3923"/>
    <w:rsid w:val="001F5434"/>
    <w:rsid w:val="001F5AAD"/>
    <w:rsid w:val="00203F43"/>
    <w:rsid w:val="00206FEB"/>
    <w:rsid w:val="00216C5A"/>
    <w:rsid w:val="002218B5"/>
    <w:rsid w:val="00224423"/>
    <w:rsid w:val="00225DB3"/>
    <w:rsid w:val="00226291"/>
    <w:rsid w:val="00227847"/>
    <w:rsid w:val="00231295"/>
    <w:rsid w:val="00231978"/>
    <w:rsid w:val="002326B4"/>
    <w:rsid w:val="00240822"/>
    <w:rsid w:val="00240C72"/>
    <w:rsid w:val="00242C05"/>
    <w:rsid w:val="00244AB1"/>
    <w:rsid w:val="00244D2F"/>
    <w:rsid w:val="00246A3A"/>
    <w:rsid w:val="00250025"/>
    <w:rsid w:val="0025310D"/>
    <w:rsid w:val="00254CE1"/>
    <w:rsid w:val="00255B3C"/>
    <w:rsid w:val="00263B3D"/>
    <w:rsid w:val="00264C9A"/>
    <w:rsid w:val="00267AC2"/>
    <w:rsid w:val="002730E3"/>
    <w:rsid w:val="0027367B"/>
    <w:rsid w:val="00274ED1"/>
    <w:rsid w:val="00284312"/>
    <w:rsid w:val="00284B9D"/>
    <w:rsid w:val="002865A8"/>
    <w:rsid w:val="00287400"/>
    <w:rsid w:val="002918C8"/>
    <w:rsid w:val="00291907"/>
    <w:rsid w:val="002A0AB5"/>
    <w:rsid w:val="002A2118"/>
    <w:rsid w:val="002A3769"/>
    <w:rsid w:val="002A5E3C"/>
    <w:rsid w:val="002A7914"/>
    <w:rsid w:val="002B3C80"/>
    <w:rsid w:val="002B7549"/>
    <w:rsid w:val="002C26C5"/>
    <w:rsid w:val="002C2940"/>
    <w:rsid w:val="002C57FE"/>
    <w:rsid w:val="002D0D29"/>
    <w:rsid w:val="002D13EF"/>
    <w:rsid w:val="002D262B"/>
    <w:rsid w:val="002D3804"/>
    <w:rsid w:val="002D5BA7"/>
    <w:rsid w:val="002D5F51"/>
    <w:rsid w:val="002E2C1C"/>
    <w:rsid w:val="002F1655"/>
    <w:rsid w:val="002F43B1"/>
    <w:rsid w:val="003011D5"/>
    <w:rsid w:val="00306D6E"/>
    <w:rsid w:val="003146DB"/>
    <w:rsid w:val="00315BD8"/>
    <w:rsid w:val="003163BA"/>
    <w:rsid w:val="00322C11"/>
    <w:rsid w:val="00323098"/>
    <w:rsid w:val="003232CF"/>
    <w:rsid w:val="00323832"/>
    <w:rsid w:val="003258F7"/>
    <w:rsid w:val="00334550"/>
    <w:rsid w:val="00335F47"/>
    <w:rsid w:val="00337C63"/>
    <w:rsid w:val="00342869"/>
    <w:rsid w:val="00342FE4"/>
    <w:rsid w:val="00345DFC"/>
    <w:rsid w:val="00345FF5"/>
    <w:rsid w:val="003513DC"/>
    <w:rsid w:val="00351D96"/>
    <w:rsid w:val="00353380"/>
    <w:rsid w:val="00353CDD"/>
    <w:rsid w:val="00356A7F"/>
    <w:rsid w:val="00362B13"/>
    <w:rsid w:val="00364420"/>
    <w:rsid w:val="00365B79"/>
    <w:rsid w:val="00365EDC"/>
    <w:rsid w:val="00370E8C"/>
    <w:rsid w:val="00372CA8"/>
    <w:rsid w:val="003742BE"/>
    <w:rsid w:val="00374325"/>
    <w:rsid w:val="00374A3A"/>
    <w:rsid w:val="00380E72"/>
    <w:rsid w:val="00381425"/>
    <w:rsid w:val="003849BD"/>
    <w:rsid w:val="00387422"/>
    <w:rsid w:val="003901E7"/>
    <w:rsid w:val="00396495"/>
    <w:rsid w:val="0039670B"/>
    <w:rsid w:val="003A17A7"/>
    <w:rsid w:val="003A1DEF"/>
    <w:rsid w:val="003B21AC"/>
    <w:rsid w:val="003B3548"/>
    <w:rsid w:val="003B4FA2"/>
    <w:rsid w:val="003B6962"/>
    <w:rsid w:val="003C26BD"/>
    <w:rsid w:val="003C7A55"/>
    <w:rsid w:val="003D0535"/>
    <w:rsid w:val="003D0EE0"/>
    <w:rsid w:val="003D1E3A"/>
    <w:rsid w:val="003D4840"/>
    <w:rsid w:val="003D6CC3"/>
    <w:rsid w:val="003E4804"/>
    <w:rsid w:val="003E766A"/>
    <w:rsid w:val="003E7D5D"/>
    <w:rsid w:val="003F02ED"/>
    <w:rsid w:val="003F5E5F"/>
    <w:rsid w:val="004017C3"/>
    <w:rsid w:val="00405EEB"/>
    <w:rsid w:val="00411609"/>
    <w:rsid w:val="0041294F"/>
    <w:rsid w:val="00413948"/>
    <w:rsid w:val="004177D8"/>
    <w:rsid w:val="00420D7B"/>
    <w:rsid w:val="00421802"/>
    <w:rsid w:val="004219E8"/>
    <w:rsid w:val="00423979"/>
    <w:rsid w:val="0042519B"/>
    <w:rsid w:val="00426D87"/>
    <w:rsid w:val="00435B6B"/>
    <w:rsid w:val="0044394C"/>
    <w:rsid w:val="00444321"/>
    <w:rsid w:val="00446AB7"/>
    <w:rsid w:val="0045026A"/>
    <w:rsid w:val="00451443"/>
    <w:rsid w:val="0045238F"/>
    <w:rsid w:val="00452795"/>
    <w:rsid w:val="00453499"/>
    <w:rsid w:val="00453C9F"/>
    <w:rsid w:val="00453CC3"/>
    <w:rsid w:val="0046262C"/>
    <w:rsid w:val="00463245"/>
    <w:rsid w:val="00465C3B"/>
    <w:rsid w:val="00476704"/>
    <w:rsid w:val="00486355"/>
    <w:rsid w:val="00486E4D"/>
    <w:rsid w:val="0049576C"/>
    <w:rsid w:val="00497CD5"/>
    <w:rsid w:val="004A3BF1"/>
    <w:rsid w:val="004A59FF"/>
    <w:rsid w:val="004A5B24"/>
    <w:rsid w:val="004A7D73"/>
    <w:rsid w:val="004B19EE"/>
    <w:rsid w:val="004B53AA"/>
    <w:rsid w:val="004B540C"/>
    <w:rsid w:val="004C0165"/>
    <w:rsid w:val="004C7741"/>
    <w:rsid w:val="004C7B85"/>
    <w:rsid w:val="004D296F"/>
    <w:rsid w:val="004D33ED"/>
    <w:rsid w:val="004D4CA7"/>
    <w:rsid w:val="004D55D0"/>
    <w:rsid w:val="004D5A90"/>
    <w:rsid w:val="004D5ADE"/>
    <w:rsid w:val="004D6624"/>
    <w:rsid w:val="004E26EF"/>
    <w:rsid w:val="004E6ECD"/>
    <w:rsid w:val="004E70B5"/>
    <w:rsid w:val="004E79F0"/>
    <w:rsid w:val="004F3FAE"/>
    <w:rsid w:val="004F41A7"/>
    <w:rsid w:val="00500D3E"/>
    <w:rsid w:val="00502BCA"/>
    <w:rsid w:val="00504ACD"/>
    <w:rsid w:val="00505BAB"/>
    <w:rsid w:val="005111B3"/>
    <w:rsid w:val="00512BDD"/>
    <w:rsid w:val="00512EB9"/>
    <w:rsid w:val="005166A4"/>
    <w:rsid w:val="00516BD5"/>
    <w:rsid w:val="005210A1"/>
    <w:rsid w:val="00522D85"/>
    <w:rsid w:val="005250B2"/>
    <w:rsid w:val="0052682A"/>
    <w:rsid w:val="00526957"/>
    <w:rsid w:val="005302A0"/>
    <w:rsid w:val="005321CC"/>
    <w:rsid w:val="00533DB6"/>
    <w:rsid w:val="00534F55"/>
    <w:rsid w:val="00537612"/>
    <w:rsid w:val="00541582"/>
    <w:rsid w:val="00546793"/>
    <w:rsid w:val="00553AAF"/>
    <w:rsid w:val="00560AB0"/>
    <w:rsid w:val="00561A1E"/>
    <w:rsid w:val="00562D00"/>
    <w:rsid w:val="005708A1"/>
    <w:rsid w:val="0057645D"/>
    <w:rsid w:val="00577AA5"/>
    <w:rsid w:val="00581442"/>
    <w:rsid w:val="00583EA4"/>
    <w:rsid w:val="00585B12"/>
    <w:rsid w:val="0058692A"/>
    <w:rsid w:val="00586FA5"/>
    <w:rsid w:val="00590955"/>
    <w:rsid w:val="005933C1"/>
    <w:rsid w:val="00596622"/>
    <w:rsid w:val="005972C5"/>
    <w:rsid w:val="005A081C"/>
    <w:rsid w:val="005A2870"/>
    <w:rsid w:val="005A304E"/>
    <w:rsid w:val="005A4BFE"/>
    <w:rsid w:val="005A5880"/>
    <w:rsid w:val="005A6C13"/>
    <w:rsid w:val="005B23F5"/>
    <w:rsid w:val="005C0815"/>
    <w:rsid w:val="005C098D"/>
    <w:rsid w:val="005C21FB"/>
    <w:rsid w:val="005C3761"/>
    <w:rsid w:val="005C3DFB"/>
    <w:rsid w:val="005C599F"/>
    <w:rsid w:val="005C70FC"/>
    <w:rsid w:val="005D0885"/>
    <w:rsid w:val="005D3454"/>
    <w:rsid w:val="005D4CD3"/>
    <w:rsid w:val="005D7697"/>
    <w:rsid w:val="005E01D1"/>
    <w:rsid w:val="005E0EB9"/>
    <w:rsid w:val="005E3BE9"/>
    <w:rsid w:val="005E3E88"/>
    <w:rsid w:val="005F06A6"/>
    <w:rsid w:val="005F11C0"/>
    <w:rsid w:val="005F4D97"/>
    <w:rsid w:val="005F54DB"/>
    <w:rsid w:val="0060736C"/>
    <w:rsid w:val="00611771"/>
    <w:rsid w:val="00621D31"/>
    <w:rsid w:val="006253AD"/>
    <w:rsid w:val="00633E15"/>
    <w:rsid w:val="006342CE"/>
    <w:rsid w:val="0063464E"/>
    <w:rsid w:val="00634685"/>
    <w:rsid w:val="00635257"/>
    <w:rsid w:val="006403D9"/>
    <w:rsid w:val="00640DF3"/>
    <w:rsid w:val="00652341"/>
    <w:rsid w:val="00656A6C"/>
    <w:rsid w:val="006601F9"/>
    <w:rsid w:val="00660D5F"/>
    <w:rsid w:val="00663827"/>
    <w:rsid w:val="00664E3D"/>
    <w:rsid w:val="00667375"/>
    <w:rsid w:val="00674FB6"/>
    <w:rsid w:val="0067756A"/>
    <w:rsid w:val="0069035D"/>
    <w:rsid w:val="006973BA"/>
    <w:rsid w:val="006A0EA7"/>
    <w:rsid w:val="006A1DFD"/>
    <w:rsid w:val="006A2675"/>
    <w:rsid w:val="006B6BEB"/>
    <w:rsid w:val="006C61F6"/>
    <w:rsid w:val="006C65EC"/>
    <w:rsid w:val="006C6863"/>
    <w:rsid w:val="006C6B55"/>
    <w:rsid w:val="006C79F7"/>
    <w:rsid w:val="006D355A"/>
    <w:rsid w:val="006D6389"/>
    <w:rsid w:val="006E1F02"/>
    <w:rsid w:val="006E2F19"/>
    <w:rsid w:val="006E66BE"/>
    <w:rsid w:val="006F0D68"/>
    <w:rsid w:val="006F367A"/>
    <w:rsid w:val="006F5DC2"/>
    <w:rsid w:val="006F7EA5"/>
    <w:rsid w:val="00703FBA"/>
    <w:rsid w:val="00704A83"/>
    <w:rsid w:val="00704E96"/>
    <w:rsid w:val="00706248"/>
    <w:rsid w:val="00706906"/>
    <w:rsid w:val="00710509"/>
    <w:rsid w:val="00711B31"/>
    <w:rsid w:val="0071774D"/>
    <w:rsid w:val="00720BB1"/>
    <w:rsid w:val="007266C2"/>
    <w:rsid w:val="0072770C"/>
    <w:rsid w:val="00732421"/>
    <w:rsid w:val="0073280E"/>
    <w:rsid w:val="00736AE7"/>
    <w:rsid w:val="007413B8"/>
    <w:rsid w:val="007418BE"/>
    <w:rsid w:val="00741A64"/>
    <w:rsid w:val="00741C0F"/>
    <w:rsid w:val="007434A4"/>
    <w:rsid w:val="00744CD4"/>
    <w:rsid w:val="0075243D"/>
    <w:rsid w:val="00755E80"/>
    <w:rsid w:val="00757963"/>
    <w:rsid w:val="00761CDC"/>
    <w:rsid w:val="00761DA7"/>
    <w:rsid w:val="00766B8C"/>
    <w:rsid w:val="0077069A"/>
    <w:rsid w:val="007715B6"/>
    <w:rsid w:val="007735F2"/>
    <w:rsid w:val="00781B3E"/>
    <w:rsid w:val="00784F1D"/>
    <w:rsid w:val="00785D15"/>
    <w:rsid w:val="00787226"/>
    <w:rsid w:val="0079026F"/>
    <w:rsid w:val="00791504"/>
    <w:rsid w:val="0079548C"/>
    <w:rsid w:val="00797179"/>
    <w:rsid w:val="00797AF9"/>
    <w:rsid w:val="007A07EE"/>
    <w:rsid w:val="007A1D57"/>
    <w:rsid w:val="007A75BF"/>
    <w:rsid w:val="007B0946"/>
    <w:rsid w:val="007B409A"/>
    <w:rsid w:val="007B4ADB"/>
    <w:rsid w:val="007B65AD"/>
    <w:rsid w:val="007C243B"/>
    <w:rsid w:val="007C41A7"/>
    <w:rsid w:val="007C5156"/>
    <w:rsid w:val="007C5183"/>
    <w:rsid w:val="007C5B02"/>
    <w:rsid w:val="007C69B5"/>
    <w:rsid w:val="007D3380"/>
    <w:rsid w:val="007D4355"/>
    <w:rsid w:val="007D57E9"/>
    <w:rsid w:val="007D6D10"/>
    <w:rsid w:val="007D7D90"/>
    <w:rsid w:val="007E31B5"/>
    <w:rsid w:val="007E3E83"/>
    <w:rsid w:val="007F08F9"/>
    <w:rsid w:val="007F2DE8"/>
    <w:rsid w:val="007F4579"/>
    <w:rsid w:val="007F485B"/>
    <w:rsid w:val="007F4B0E"/>
    <w:rsid w:val="007F4F73"/>
    <w:rsid w:val="0080035D"/>
    <w:rsid w:val="00804B4E"/>
    <w:rsid w:val="00806B00"/>
    <w:rsid w:val="0081199F"/>
    <w:rsid w:val="00811D4D"/>
    <w:rsid w:val="00815A0C"/>
    <w:rsid w:val="00817BB8"/>
    <w:rsid w:val="00823F29"/>
    <w:rsid w:val="00824E25"/>
    <w:rsid w:val="00827445"/>
    <w:rsid w:val="008303E9"/>
    <w:rsid w:val="00833F18"/>
    <w:rsid w:val="008402AA"/>
    <w:rsid w:val="0084300C"/>
    <w:rsid w:val="00843216"/>
    <w:rsid w:val="00844906"/>
    <w:rsid w:val="00846786"/>
    <w:rsid w:val="008479E9"/>
    <w:rsid w:val="00847F7C"/>
    <w:rsid w:val="00853C36"/>
    <w:rsid w:val="008545A2"/>
    <w:rsid w:val="00855A6A"/>
    <w:rsid w:val="008561DA"/>
    <w:rsid w:val="0086498D"/>
    <w:rsid w:val="00864A82"/>
    <w:rsid w:val="008653D6"/>
    <w:rsid w:val="00865535"/>
    <w:rsid w:val="00870C5B"/>
    <w:rsid w:val="0087444E"/>
    <w:rsid w:val="0088054B"/>
    <w:rsid w:val="00880E20"/>
    <w:rsid w:val="00884EE6"/>
    <w:rsid w:val="00891DA6"/>
    <w:rsid w:val="008966E4"/>
    <w:rsid w:val="00897B53"/>
    <w:rsid w:val="008B11B6"/>
    <w:rsid w:val="008B5714"/>
    <w:rsid w:val="008B5E36"/>
    <w:rsid w:val="008B7EF4"/>
    <w:rsid w:val="008C0613"/>
    <w:rsid w:val="008C0EC8"/>
    <w:rsid w:val="008C4852"/>
    <w:rsid w:val="008D18AC"/>
    <w:rsid w:val="008D526F"/>
    <w:rsid w:val="008D79D6"/>
    <w:rsid w:val="008D7E39"/>
    <w:rsid w:val="008E0575"/>
    <w:rsid w:val="008F332B"/>
    <w:rsid w:val="00905B6A"/>
    <w:rsid w:val="00906BFE"/>
    <w:rsid w:val="00920CA6"/>
    <w:rsid w:val="00922BCC"/>
    <w:rsid w:val="00923014"/>
    <w:rsid w:val="00923AC6"/>
    <w:rsid w:val="00926525"/>
    <w:rsid w:val="00932DFE"/>
    <w:rsid w:val="00933669"/>
    <w:rsid w:val="0093492B"/>
    <w:rsid w:val="009356CE"/>
    <w:rsid w:val="00942A6F"/>
    <w:rsid w:val="0094317B"/>
    <w:rsid w:val="00944D53"/>
    <w:rsid w:val="00946BC7"/>
    <w:rsid w:val="00946F2D"/>
    <w:rsid w:val="00950747"/>
    <w:rsid w:val="009513F4"/>
    <w:rsid w:val="00953410"/>
    <w:rsid w:val="00953F88"/>
    <w:rsid w:val="0095459D"/>
    <w:rsid w:val="009641E3"/>
    <w:rsid w:val="00967562"/>
    <w:rsid w:val="00974A5F"/>
    <w:rsid w:val="009800F1"/>
    <w:rsid w:val="00983778"/>
    <w:rsid w:val="009837DD"/>
    <w:rsid w:val="00984983"/>
    <w:rsid w:val="00984A09"/>
    <w:rsid w:val="0099206B"/>
    <w:rsid w:val="0099571A"/>
    <w:rsid w:val="009968D6"/>
    <w:rsid w:val="00997FC4"/>
    <w:rsid w:val="009B0E96"/>
    <w:rsid w:val="009B20B0"/>
    <w:rsid w:val="009B403D"/>
    <w:rsid w:val="009B5AA2"/>
    <w:rsid w:val="009B7482"/>
    <w:rsid w:val="009C4AFD"/>
    <w:rsid w:val="009D374F"/>
    <w:rsid w:val="009D42B7"/>
    <w:rsid w:val="009E0DA6"/>
    <w:rsid w:val="009E17EE"/>
    <w:rsid w:val="009E596E"/>
    <w:rsid w:val="009E67D0"/>
    <w:rsid w:val="009E708E"/>
    <w:rsid w:val="009E7C33"/>
    <w:rsid w:val="009F2350"/>
    <w:rsid w:val="009F446B"/>
    <w:rsid w:val="009F465E"/>
    <w:rsid w:val="00A024B0"/>
    <w:rsid w:val="00A05C11"/>
    <w:rsid w:val="00A061D3"/>
    <w:rsid w:val="00A10EF4"/>
    <w:rsid w:val="00A17B14"/>
    <w:rsid w:val="00A209E5"/>
    <w:rsid w:val="00A23C6F"/>
    <w:rsid w:val="00A2409D"/>
    <w:rsid w:val="00A2422F"/>
    <w:rsid w:val="00A277DD"/>
    <w:rsid w:val="00A27A9F"/>
    <w:rsid w:val="00A32B05"/>
    <w:rsid w:val="00A3543C"/>
    <w:rsid w:val="00A36BBA"/>
    <w:rsid w:val="00A42765"/>
    <w:rsid w:val="00A50156"/>
    <w:rsid w:val="00A51596"/>
    <w:rsid w:val="00A5292B"/>
    <w:rsid w:val="00A530EE"/>
    <w:rsid w:val="00A5383F"/>
    <w:rsid w:val="00A579EE"/>
    <w:rsid w:val="00A655FF"/>
    <w:rsid w:val="00A73368"/>
    <w:rsid w:val="00A8134A"/>
    <w:rsid w:val="00A82B69"/>
    <w:rsid w:val="00A85A67"/>
    <w:rsid w:val="00A873BC"/>
    <w:rsid w:val="00A91087"/>
    <w:rsid w:val="00A94075"/>
    <w:rsid w:val="00AA09CB"/>
    <w:rsid w:val="00AA21A0"/>
    <w:rsid w:val="00AA22F3"/>
    <w:rsid w:val="00AA5A73"/>
    <w:rsid w:val="00AA67C1"/>
    <w:rsid w:val="00AA729A"/>
    <w:rsid w:val="00AB2F5D"/>
    <w:rsid w:val="00AB522A"/>
    <w:rsid w:val="00AD20E8"/>
    <w:rsid w:val="00AD2A48"/>
    <w:rsid w:val="00AD4BF0"/>
    <w:rsid w:val="00AD59B5"/>
    <w:rsid w:val="00AD6CD7"/>
    <w:rsid w:val="00AE09F0"/>
    <w:rsid w:val="00AE1FEF"/>
    <w:rsid w:val="00AE40E8"/>
    <w:rsid w:val="00AE75B5"/>
    <w:rsid w:val="00AE7F42"/>
    <w:rsid w:val="00AF0878"/>
    <w:rsid w:val="00AF3A46"/>
    <w:rsid w:val="00AF5CC8"/>
    <w:rsid w:val="00B004ED"/>
    <w:rsid w:val="00B01730"/>
    <w:rsid w:val="00B01E8C"/>
    <w:rsid w:val="00B0511D"/>
    <w:rsid w:val="00B10684"/>
    <w:rsid w:val="00B12C12"/>
    <w:rsid w:val="00B12E36"/>
    <w:rsid w:val="00B14003"/>
    <w:rsid w:val="00B14EAD"/>
    <w:rsid w:val="00B15CB0"/>
    <w:rsid w:val="00B23980"/>
    <w:rsid w:val="00B23CAA"/>
    <w:rsid w:val="00B23E00"/>
    <w:rsid w:val="00B2637A"/>
    <w:rsid w:val="00B309E3"/>
    <w:rsid w:val="00B321E0"/>
    <w:rsid w:val="00B34D84"/>
    <w:rsid w:val="00B36C95"/>
    <w:rsid w:val="00B43A06"/>
    <w:rsid w:val="00B45C10"/>
    <w:rsid w:val="00B47B51"/>
    <w:rsid w:val="00B53D55"/>
    <w:rsid w:val="00B548E2"/>
    <w:rsid w:val="00B601D9"/>
    <w:rsid w:val="00B61B74"/>
    <w:rsid w:val="00B63B3E"/>
    <w:rsid w:val="00B648FB"/>
    <w:rsid w:val="00B65714"/>
    <w:rsid w:val="00B660BD"/>
    <w:rsid w:val="00B73549"/>
    <w:rsid w:val="00B75960"/>
    <w:rsid w:val="00B845E6"/>
    <w:rsid w:val="00B8589B"/>
    <w:rsid w:val="00B870FC"/>
    <w:rsid w:val="00B9005F"/>
    <w:rsid w:val="00B9762F"/>
    <w:rsid w:val="00B976F9"/>
    <w:rsid w:val="00BA6673"/>
    <w:rsid w:val="00BA6B92"/>
    <w:rsid w:val="00BA7ECB"/>
    <w:rsid w:val="00BB1BFE"/>
    <w:rsid w:val="00BB289D"/>
    <w:rsid w:val="00BC29CE"/>
    <w:rsid w:val="00BC5483"/>
    <w:rsid w:val="00BD21A0"/>
    <w:rsid w:val="00BD32C1"/>
    <w:rsid w:val="00BD3C60"/>
    <w:rsid w:val="00BD5C38"/>
    <w:rsid w:val="00BD615D"/>
    <w:rsid w:val="00BE0D45"/>
    <w:rsid w:val="00BE136A"/>
    <w:rsid w:val="00BE2BA0"/>
    <w:rsid w:val="00BE6E21"/>
    <w:rsid w:val="00BE702B"/>
    <w:rsid w:val="00BF07A1"/>
    <w:rsid w:val="00BF0E7C"/>
    <w:rsid w:val="00BF2045"/>
    <w:rsid w:val="00BF3720"/>
    <w:rsid w:val="00C11C6F"/>
    <w:rsid w:val="00C124AE"/>
    <w:rsid w:val="00C16089"/>
    <w:rsid w:val="00C17AD0"/>
    <w:rsid w:val="00C17D88"/>
    <w:rsid w:val="00C202D7"/>
    <w:rsid w:val="00C27B0B"/>
    <w:rsid w:val="00C3064E"/>
    <w:rsid w:val="00C33EA0"/>
    <w:rsid w:val="00C402A1"/>
    <w:rsid w:val="00C4097A"/>
    <w:rsid w:val="00C415BB"/>
    <w:rsid w:val="00C466A6"/>
    <w:rsid w:val="00C479AE"/>
    <w:rsid w:val="00C55A79"/>
    <w:rsid w:val="00C55A85"/>
    <w:rsid w:val="00C61842"/>
    <w:rsid w:val="00C6236C"/>
    <w:rsid w:val="00C66A34"/>
    <w:rsid w:val="00C67672"/>
    <w:rsid w:val="00C7386C"/>
    <w:rsid w:val="00C775EC"/>
    <w:rsid w:val="00C8648C"/>
    <w:rsid w:val="00C96AA8"/>
    <w:rsid w:val="00C97AD1"/>
    <w:rsid w:val="00CA0975"/>
    <w:rsid w:val="00CA0DD5"/>
    <w:rsid w:val="00CA2A54"/>
    <w:rsid w:val="00CA3796"/>
    <w:rsid w:val="00CA44AB"/>
    <w:rsid w:val="00CA60B4"/>
    <w:rsid w:val="00CA71A2"/>
    <w:rsid w:val="00CA76F3"/>
    <w:rsid w:val="00CB35C0"/>
    <w:rsid w:val="00CB736B"/>
    <w:rsid w:val="00CC0406"/>
    <w:rsid w:val="00CC4441"/>
    <w:rsid w:val="00CD168F"/>
    <w:rsid w:val="00CD3214"/>
    <w:rsid w:val="00CE7003"/>
    <w:rsid w:val="00CF03F1"/>
    <w:rsid w:val="00CF0B7E"/>
    <w:rsid w:val="00CF0CD1"/>
    <w:rsid w:val="00CF2140"/>
    <w:rsid w:val="00CF2F71"/>
    <w:rsid w:val="00CF3F38"/>
    <w:rsid w:val="00CF60CD"/>
    <w:rsid w:val="00CF631D"/>
    <w:rsid w:val="00D01D96"/>
    <w:rsid w:val="00D05AFA"/>
    <w:rsid w:val="00D12A08"/>
    <w:rsid w:val="00D15CEC"/>
    <w:rsid w:val="00D166BA"/>
    <w:rsid w:val="00D245B9"/>
    <w:rsid w:val="00D24C4E"/>
    <w:rsid w:val="00D25A16"/>
    <w:rsid w:val="00D27B80"/>
    <w:rsid w:val="00D3142C"/>
    <w:rsid w:val="00D318C2"/>
    <w:rsid w:val="00D325F6"/>
    <w:rsid w:val="00D3276F"/>
    <w:rsid w:val="00D33970"/>
    <w:rsid w:val="00D346EC"/>
    <w:rsid w:val="00D36D07"/>
    <w:rsid w:val="00D37233"/>
    <w:rsid w:val="00D41E73"/>
    <w:rsid w:val="00D42FEF"/>
    <w:rsid w:val="00D50B9D"/>
    <w:rsid w:val="00D54377"/>
    <w:rsid w:val="00D60207"/>
    <w:rsid w:val="00D6537D"/>
    <w:rsid w:val="00D66FC8"/>
    <w:rsid w:val="00D674A6"/>
    <w:rsid w:val="00D76168"/>
    <w:rsid w:val="00D77227"/>
    <w:rsid w:val="00D7733B"/>
    <w:rsid w:val="00D8119A"/>
    <w:rsid w:val="00D8159A"/>
    <w:rsid w:val="00D81AAD"/>
    <w:rsid w:val="00D8463E"/>
    <w:rsid w:val="00D8589B"/>
    <w:rsid w:val="00D86935"/>
    <w:rsid w:val="00D93671"/>
    <w:rsid w:val="00D94EBC"/>
    <w:rsid w:val="00D95633"/>
    <w:rsid w:val="00DA0BCD"/>
    <w:rsid w:val="00DA5736"/>
    <w:rsid w:val="00DB11D0"/>
    <w:rsid w:val="00DB3126"/>
    <w:rsid w:val="00DB3C43"/>
    <w:rsid w:val="00DB4C44"/>
    <w:rsid w:val="00DB7CC9"/>
    <w:rsid w:val="00DC62DA"/>
    <w:rsid w:val="00DD0836"/>
    <w:rsid w:val="00DD3119"/>
    <w:rsid w:val="00DD4EFB"/>
    <w:rsid w:val="00DD52D1"/>
    <w:rsid w:val="00DE3191"/>
    <w:rsid w:val="00DE384C"/>
    <w:rsid w:val="00DE58A7"/>
    <w:rsid w:val="00DE71A1"/>
    <w:rsid w:val="00DF30C4"/>
    <w:rsid w:val="00DF6EC8"/>
    <w:rsid w:val="00DF7CB2"/>
    <w:rsid w:val="00E00576"/>
    <w:rsid w:val="00E04443"/>
    <w:rsid w:val="00E046BA"/>
    <w:rsid w:val="00E05083"/>
    <w:rsid w:val="00E06732"/>
    <w:rsid w:val="00E106CE"/>
    <w:rsid w:val="00E10C86"/>
    <w:rsid w:val="00E11613"/>
    <w:rsid w:val="00E131F6"/>
    <w:rsid w:val="00E13533"/>
    <w:rsid w:val="00E20183"/>
    <w:rsid w:val="00E20284"/>
    <w:rsid w:val="00E31150"/>
    <w:rsid w:val="00E318C6"/>
    <w:rsid w:val="00E31E98"/>
    <w:rsid w:val="00E3513D"/>
    <w:rsid w:val="00E401E7"/>
    <w:rsid w:val="00E414BF"/>
    <w:rsid w:val="00E41F3B"/>
    <w:rsid w:val="00E52CE2"/>
    <w:rsid w:val="00E54C2D"/>
    <w:rsid w:val="00E54E99"/>
    <w:rsid w:val="00E56E90"/>
    <w:rsid w:val="00E57300"/>
    <w:rsid w:val="00E62B3F"/>
    <w:rsid w:val="00E66FCD"/>
    <w:rsid w:val="00E72D38"/>
    <w:rsid w:val="00E74C4A"/>
    <w:rsid w:val="00E75368"/>
    <w:rsid w:val="00E7780A"/>
    <w:rsid w:val="00E77C03"/>
    <w:rsid w:val="00E83B73"/>
    <w:rsid w:val="00E83EBC"/>
    <w:rsid w:val="00E84D5A"/>
    <w:rsid w:val="00E876EA"/>
    <w:rsid w:val="00E87C2C"/>
    <w:rsid w:val="00E92905"/>
    <w:rsid w:val="00E94A37"/>
    <w:rsid w:val="00EA3F1F"/>
    <w:rsid w:val="00EB2B40"/>
    <w:rsid w:val="00EB41B1"/>
    <w:rsid w:val="00EB6067"/>
    <w:rsid w:val="00EC2A57"/>
    <w:rsid w:val="00EC36AF"/>
    <w:rsid w:val="00ED2DAC"/>
    <w:rsid w:val="00ED4A08"/>
    <w:rsid w:val="00ED4C8C"/>
    <w:rsid w:val="00ED6389"/>
    <w:rsid w:val="00EE0598"/>
    <w:rsid w:val="00EE191E"/>
    <w:rsid w:val="00EE2040"/>
    <w:rsid w:val="00EF0016"/>
    <w:rsid w:val="00EF1B8B"/>
    <w:rsid w:val="00EF24AA"/>
    <w:rsid w:val="00EF4BF7"/>
    <w:rsid w:val="00EF72F8"/>
    <w:rsid w:val="00F0358E"/>
    <w:rsid w:val="00F038D2"/>
    <w:rsid w:val="00F065CE"/>
    <w:rsid w:val="00F13173"/>
    <w:rsid w:val="00F13C8F"/>
    <w:rsid w:val="00F14120"/>
    <w:rsid w:val="00F14988"/>
    <w:rsid w:val="00F156DB"/>
    <w:rsid w:val="00F210C5"/>
    <w:rsid w:val="00F223BA"/>
    <w:rsid w:val="00F22CDF"/>
    <w:rsid w:val="00F242A2"/>
    <w:rsid w:val="00F27102"/>
    <w:rsid w:val="00F314EE"/>
    <w:rsid w:val="00F352BD"/>
    <w:rsid w:val="00F371BE"/>
    <w:rsid w:val="00F41107"/>
    <w:rsid w:val="00F42430"/>
    <w:rsid w:val="00F42B83"/>
    <w:rsid w:val="00F44B22"/>
    <w:rsid w:val="00F46203"/>
    <w:rsid w:val="00F465B7"/>
    <w:rsid w:val="00F47E6F"/>
    <w:rsid w:val="00F506D4"/>
    <w:rsid w:val="00F5070A"/>
    <w:rsid w:val="00F50E39"/>
    <w:rsid w:val="00F558C6"/>
    <w:rsid w:val="00F56E6E"/>
    <w:rsid w:val="00F57E04"/>
    <w:rsid w:val="00F61A42"/>
    <w:rsid w:val="00F624A3"/>
    <w:rsid w:val="00F62524"/>
    <w:rsid w:val="00F808D0"/>
    <w:rsid w:val="00F913E3"/>
    <w:rsid w:val="00FA16A8"/>
    <w:rsid w:val="00FA6945"/>
    <w:rsid w:val="00FB075E"/>
    <w:rsid w:val="00FB3DAC"/>
    <w:rsid w:val="00FB48EE"/>
    <w:rsid w:val="00FC1DED"/>
    <w:rsid w:val="00FC305C"/>
    <w:rsid w:val="00FC55F3"/>
    <w:rsid w:val="00FC6530"/>
    <w:rsid w:val="00FD01EE"/>
    <w:rsid w:val="00FD2C5A"/>
    <w:rsid w:val="00FD632E"/>
    <w:rsid w:val="00FD7E7A"/>
    <w:rsid w:val="00FD7FE8"/>
    <w:rsid w:val="00FE2649"/>
    <w:rsid w:val="00FE43AE"/>
    <w:rsid w:val="00FF026C"/>
    <w:rsid w:val="00FF129A"/>
    <w:rsid w:val="00FF44AB"/>
    <w:rsid w:val="00FF6260"/>
    <w:rsid w:val="00FF7B9E"/>
    <w:rsid w:val="043920D3"/>
    <w:rsid w:val="0501567A"/>
    <w:rsid w:val="08390CA9"/>
    <w:rsid w:val="0C7C7955"/>
    <w:rsid w:val="136E31A1"/>
    <w:rsid w:val="147F0F00"/>
    <w:rsid w:val="15AF388A"/>
    <w:rsid w:val="15C26EE1"/>
    <w:rsid w:val="18383A5C"/>
    <w:rsid w:val="18794F0D"/>
    <w:rsid w:val="18D73526"/>
    <w:rsid w:val="1D286649"/>
    <w:rsid w:val="1D3413D0"/>
    <w:rsid w:val="1D432AF0"/>
    <w:rsid w:val="1D4E22B6"/>
    <w:rsid w:val="1D5E4247"/>
    <w:rsid w:val="20125442"/>
    <w:rsid w:val="213E05FA"/>
    <w:rsid w:val="22062117"/>
    <w:rsid w:val="22893C39"/>
    <w:rsid w:val="23067EE5"/>
    <w:rsid w:val="2516571A"/>
    <w:rsid w:val="258C6865"/>
    <w:rsid w:val="27F149F4"/>
    <w:rsid w:val="28D10FEA"/>
    <w:rsid w:val="2C507F51"/>
    <w:rsid w:val="317F35EC"/>
    <w:rsid w:val="34113347"/>
    <w:rsid w:val="35E63A53"/>
    <w:rsid w:val="373B49C5"/>
    <w:rsid w:val="3803791B"/>
    <w:rsid w:val="38FC3975"/>
    <w:rsid w:val="3DF44353"/>
    <w:rsid w:val="3EDA2572"/>
    <w:rsid w:val="41514741"/>
    <w:rsid w:val="42345B85"/>
    <w:rsid w:val="4377250C"/>
    <w:rsid w:val="43E24CF1"/>
    <w:rsid w:val="43E83CFF"/>
    <w:rsid w:val="45E6568A"/>
    <w:rsid w:val="470F2FA2"/>
    <w:rsid w:val="493A07FA"/>
    <w:rsid w:val="4D070FA2"/>
    <w:rsid w:val="4D964B3A"/>
    <w:rsid w:val="4F7F5CB6"/>
    <w:rsid w:val="534418FF"/>
    <w:rsid w:val="537F6874"/>
    <w:rsid w:val="559002CA"/>
    <w:rsid w:val="568149E0"/>
    <w:rsid w:val="57112E63"/>
    <w:rsid w:val="590512A0"/>
    <w:rsid w:val="596B6743"/>
    <w:rsid w:val="5A3C5034"/>
    <w:rsid w:val="5C1D51D7"/>
    <w:rsid w:val="60E91115"/>
    <w:rsid w:val="6641354F"/>
    <w:rsid w:val="675900F3"/>
    <w:rsid w:val="68D11763"/>
    <w:rsid w:val="6ED45F71"/>
    <w:rsid w:val="74EF23AB"/>
    <w:rsid w:val="77B846B1"/>
    <w:rsid w:val="793D7090"/>
    <w:rsid w:val="794231B3"/>
    <w:rsid w:val="7A39547E"/>
    <w:rsid w:val="7B1A0C5B"/>
    <w:rsid w:val="7B1A5DD7"/>
    <w:rsid w:val="7CE94A7C"/>
    <w:rsid w:val="7E205431"/>
    <w:rsid w:val="7EC42CDC"/>
    <w:rsid w:val="7FAA23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2"/>
    <w:basedOn w:val="1"/>
    <w:next w:val="1"/>
    <w:link w:val="29"/>
    <w:qFormat/>
    <w:uiPriority w:val="0"/>
    <w:pPr>
      <w:keepNext/>
      <w:keepLines/>
      <w:spacing w:before="260" w:after="260" w:line="412" w:lineRule="auto"/>
      <w:outlineLvl w:val="1"/>
    </w:pPr>
    <w:rPr>
      <w:rFonts w:ascii="Arial" w:hAnsi="Arial" w:eastAsia="黑体" w:cs="Arial"/>
      <w:b/>
      <w:bCs/>
      <w:sz w:val="32"/>
      <w:szCs w:val="32"/>
    </w:rPr>
  </w:style>
  <w:style w:type="character" w:default="1" w:styleId="18">
    <w:name w:val="Default Paragraph Font"/>
    <w:unhideWhenUsed/>
    <w:uiPriority w:val="1"/>
  </w:style>
  <w:style w:type="table" w:default="1" w:styleId="17">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Body Text First Indent 2"/>
    <w:next w:val="3"/>
    <w:qFormat/>
    <w:uiPriority w:val="0"/>
    <w:pPr>
      <w:widowControl w:val="0"/>
      <w:ind w:left="420" w:firstLine="420" w:firstLineChars="200"/>
      <w:jc w:val="both"/>
    </w:pPr>
    <w:rPr>
      <w:rFonts w:ascii="Times New Roman" w:hAnsi="Times New Roman" w:eastAsia="宋体" w:cs="Times New Roman"/>
      <w:kern w:val="2"/>
      <w:sz w:val="32"/>
      <w:szCs w:val="20"/>
      <w:lang w:val="en-US" w:eastAsia="zh-CN" w:bidi="ar-SA"/>
    </w:rPr>
  </w:style>
  <w:style w:type="paragraph" w:styleId="3">
    <w:name w:val="List"/>
    <w:qFormat/>
    <w:uiPriority w:val="0"/>
    <w:pPr>
      <w:widowControl w:val="0"/>
      <w:ind w:left="420" w:hanging="420"/>
      <w:jc w:val="both"/>
    </w:pPr>
    <w:rPr>
      <w:rFonts w:ascii="Arial" w:hAnsi="Arial" w:eastAsia="楷体_GB2312" w:cs="Times New Roman"/>
      <w:kern w:val="2"/>
      <w:sz w:val="28"/>
      <w:szCs w:val="24"/>
      <w:lang w:val="en-US" w:eastAsia="zh-CN" w:bidi="ar-SA"/>
    </w:rPr>
  </w:style>
  <w:style w:type="paragraph" w:styleId="5">
    <w:name w:val="annotation text"/>
    <w:basedOn w:val="1"/>
    <w:link w:val="36"/>
    <w:qFormat/>
    <w:uiPriority w:val="0"/>
    <w:pPr>
      <w:jc w:val="left"/>
    </w:pPr>
    <w:rPr>
      <w:szCs w:val="24"/>
    </w:rPr>
  </w:style>
  <w:style w:type="paragraph" w:styleId="6">
    <w:name w:val="Body Text"/>
    <w:basedOn w:val="1"/>
    <w:link w:val="35"/>
    <w:qFormat/>
    <w:uiPriority w:val="0"/>
    <w:pPr>
      <w:jc w:val="left"/>
    </w:pPr>
    <w:rPr>
      <w:rFonts w:ascii="Arial" w:hAnsi="Arial" w:eastAsia="黑体" w:cs="Arial"/>
      <w:b/>
      <w:bCs/>
      <w:sz w:val="32"/>
      <w:szCs w:val="32"/>
    </w:rPr>
  </w:style>
  <w:style w:type="paragraph" w:styleId="7">
    <w:name w:val="Body Text Indent"/>
    <w:basedOn w:val="1"/>
    <w:next w:val="8"/>
    <w:link w:val="32"/>
    <w:qFormat/>
    <w:uiPriority w:val="0"/>
    <w:pPr>
      <w:ind w:firstLine="630"/>
    </w:pPr>
    <w:rPr>
      <w:sz w:val="32"/>
      <w:szCs w:val="20"/>
    </w:rPr>
  </w:style>
  <w:style w:type="paragraph" w:styleId="8">
    <w:name w:val="envelope return"/>
    <w:qFormat/>
    <w:uiPriority w:val="0"/>
    <w:pPr>
      <w:widowControl w:val="0"/>
      <w:snapToGrid w:val="0"/>
      <w:jc w:val="both"/>
    </w:pPr>
    <w:rPr>
      <w:rFonts w:ascii="Arial" w:hAnsi="Arial" w:eastAsia="宋体" w:cs="Times New Roman"/>
      <w:kern w:val="2"/>
      <w:sz w:val="21"/>
      <w:szCs w:val="24"/>
      <w:lang w:val="en-US" w:eastAsia="zh-CN" w:bidi="ar-SA"/>
    </w:rPr>
  </w:style>
  <w:style w:type="paragraph" w:styleId="9">
    <w:name w:val="Plain Text"/>
    <w:basedOn w:val="1"/>
    <w:link w:val="34"/>
    <w:qFormat/>
    <w:uiPriority w:val="0"/>
    <w:rPr>
      <w:rFonts w:ascii="宋体" w:hAnsi="Courier New"/>
    </w:rPr>
  </w:style>
  <w:style w:type="paragraph" w:styleId="10">
    <w:name w:val="Date"/>
    <w:basedOn w:val="1"/>
    <w:next w:val="1"/>
    <w:link w:val="33"/>
    <w:qFormat/>
    <w:uiPriority w:val="0"/>
    <w:rPr>
      <w:rFonts w:ascii="仿宋_GB2312" w:eastAsia="仿宋_GB2312" w:cs="仿宋_GB2312"/>
      <w:sz w:val="30"/>
      <w:szCs w:val="30"/>
    </w:rPr>
  </w:style>
  <w:style w:type="paragraph" w:styleId="11">
    <w:name w:val="footer"/>
    <w:basedOn w:val="1"/>
    <w:link w:val="28"/>
    <w:qFormat/>
    <w:uiPriority w:val="0"/>
    <w:pPr>
      <w:tabs>
        <w:tab w:val="center" w:pos="4153"/>
        <w:tab w:val="right" w:pos="8306"/>
      </w:tabs>
      <w:snapToGrid w:val="0"/>
      <w:jc w:val="left"/>
    </w:pPr>
    <w:rPr>
      <w:sz w:val="18"/>
      <w:szCs w:val="18"/>
    </w:rPr>
  </w:style>
  <w:style w:type="paragraph" w:styleId="12">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Body Text 2"/>
    <w:basedOn w:val="1"/>
    <w:link w:val="37"/>
    <w:qFormat/>
    <w:uiPriority w:val="0"/>
    <w:pPr>
      <w:spacing w:after="120" w:line="480" w:lineRule="auto"/>
    </w:pPr>
  </w:style>
  <w:style w:type="paragraph" w:styleId="16">
    <w:name w:val="Normal (Web)"/>
    <w:basedOn w:val="1"/>
    <w:qFormat/>
    <w:uiPriority w:val="0"/>
    <w:rPr>
      <w:rFonts w:ascii="Calibri" w:hAnsi="Calibri" w:cs="Calibri"/>
      <w:sz w:val="24"/>
      <w:szCs w:val="24"/>
    </w:rPr>
  </w:style>
  <w:style w:type="character" w:styleId="19">
    <w:name w:val="Strong"/>
    <w:qFormat/>
    <w:uiPriority w:val="0"/>
    <w:rPr>
      <w:rFonts w:ascii="Times New Roman" w:hAnsi="Times New Roman" w:eastAsia="宋体" w:cs="Times New Roman"/>
      <w:b/>
      <w:bCs/>
    </w:rPr>
  </w:style>
  <w:style w:type="paragraph" w:customStyle="1" w:styleId="20">
    <w:name w:val="样式"/>
    <w:link w:val="30"/>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21">
    <w:name w:val="001大标题"/>
    <w:basedOn w:val="1"/>
    <w:qFormat/>
    <w:uiPriority w:val="0"/>
    <w:pPr>
      <w:tabs>
        <w:tab w:val="left" w:pos="1080"/>
      </w:tabs>
      <w:jc w:val="center"/>
    </w:pPr>
    <w:rPr>
      <w:rFonts w:ascii="宋体" w:hAnsi="宋体" w:cs="宋体"/>
      <w:b/>
      <w:bCs/>
      <w:sz w:val="30"/>
      <w:szCs w:val="30"/>
    </w:rPr>
  </w:style>
  <w:style w:type="paragraph" w:customStyle="1" w:styleId="22">
    <w:name w:val="002标题"/>
    <w:basedOn w:val="1"/>
    <w:qFormat/>
    <w:uiPriority w:val="0"/>
    <w:pPr>
      <w:jc w:val="center"/>
    </w:pPr>
    <w:rPr>
      <w:sz w:val="30"/>
      <w:szCs w:val="30"/>
    </w:rPr>
  </w:style>
  <w:style w:type="paragraph" w:customStyle="1" w:styleId="23">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
    <w:name w:val="List Paragraph"/>
    <w:basedOn w:val="1"/>
    <w:qFormat/>
    <w:uiPriority w:val="34"/>
    <w:pPr>
      <w:ind w:firstLine="420" w:firstLineChars="200"/>
    </w:pPr>
  </w:style>
  <w:style w:type="paragraph" w:customStyle="1" w:styleId="25">
    <w:name w:val="段"/>
    <w:link w:val="38"/>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6">
    <w:name w:val="二级无"/>
    <w:basedOn w:val="1"/>
    <w:qFormat/>
    <w:uiPriority w:val="0"/>
    <w:pPr>
      <w:widowControl/>
      <w:tabs>
        <w:tab w:val="left" w:pos="360"/>
      </w:tabs>
      <w:jc w:val="left"/>
      <w:outlineLvl w:val="3"/>
    </w:pPr>
    <w:rPr>
      <w:rFonts w:ascii="宋体"/>
      <w:kern w:val="0"/>
    </w:rPr>
  </w:style>
  <w:style w:type="character" w:customStyle="1" w:styleId="27">
    <w:name w:val="页眉 Char"/>
    <w:basedOn w:val="18"/>
    <w:link w:val="12"/>
    <w:qFormat/>
    <w:uiPriority w:val="0"/>
    <w:rPr>
      <w:kern w:val="2"/>
      <w:sz w:val="18"/>
      <w:szCs w:val="18"/>
    </w:rPr>
  </w:style>
  <w:style w:type="character" w:customStyle="1" w:styleId="28">
    <w:name w:val="页脚 Char"/>
    <w:basedOn w:val="18"/>
    <w:link w:val="11"/>
    <w:qFormat/>
    <w:uiPriority w:val="0"/>
    <w:rPr>
      <w:kern w:val="2"/>
      <w:sz w:val="18"/>
      <w:szCs w:val="18"/>
    </w:rPr>
  </w:style>
  <w:style w:type="character" w:customStyle="1" w:styleId="29">
    <w:name w:val="标题 2 Char"/>
    <w:basedOn w:val="18"/>
    <w:link w:val="4"/>
    <w:qFormat/>
    <w:uiPriority w:val="0"/>
    <w:rPr>
      <w:rFonts w:ascii="Arial" w:hAnsi="Arial" w:eastAsia="黑体" w:cs="Arial"/>
      <w:b/>
      <w:bCs/>
      <w:kern w:val="2"/>
      <w:sz w:val="32"/>
      <w:szCs w:val="32"/>
    </w:rPr>
  </w:style>
  <w:style w:type="character" w:customStyle="1" w:styleId="30">
    <w:name w:val="样式 Char Char"/>
    <w:link w:val="20"/>
    <w:qFormat/>
    <w:uiPriority w:val="0"/>
    <w:rPr>
      <w:rFonts w:ascii="宋体" w:hAnsi="宋体"/>
      <w:sz w:val="24"/>
    </w:rPr>
  </w:style>
  <w:style w:type="character" w:customStyle="1" w:styleId="31">
    <w:name w:val="纯文本 Char"/>
    <w:basedOn w:val="18"/>
    <w:link w:val="9"/>
    <w:qFormat/>
    <w:uiPriority w:val="0"/>
    <w:rPr>
      <w:rFonts w:ascii="宋体" w:hAnsi="Courier New"/>
      <w:kern w:val="2"/>
      <w:sz w:val="21"/>
      <w:szCs w:val="21"/>
    </w:rPr>
  </w:style>
  <w:style w:type="character" w:customStyle="1" w:styleId="32">
    <w:name w:val="正文文本缩进 Char"/>
    <w:basedOn w:val="18"/>
    <w:link w:val="7"/>
    <w:qFormat/>
    <w:uiPriority w:val="0"/>
    <w:rPr>
      <w:kern w:val="2"/>
      <w:sz w:val="32"/>
    </w:rPr>
  </w:style>
  <w:style w:type="character" w:customStyle="1" w:styleId="33">
    <w:name w:val="日期 Char"/>
    <w:basedOn w:val="18"/>
    <w:link w:val="10"/>
    <w:qFormat/>
    <w:uiPriority w:val="0"/>
    <w:rPr>
      <w:rFonts w:ascii="仿宋_GB2312" w:eastAsia="仿宋_GB2312" w:cs="仿宋_GB2312"/>
      <w:kern w:val="2"/>
      <w:sz w:val="30"/>
      <w:szCs w:val="30"/>
    </w:rPr>
  </w:style>
  <w:style w:type="character" w:customStyle="1" w:styleId="34">
    <w:name w:val="纯文本 Char1"/>
    <w:basedOn w:val="18"/>
    <w:link w:val="9"/>
    <w:qFormat/>
    <w:uiPriority w:val="0"/>
    <w:rPr>
      <w:rFonts w:ascii="宋体" w:hAnsi="Courier New" w:cs="Courier New"/>
      <w:kern w:val="2"/>
      <w:sz w:val="21"/>
      <w:szCs w:val="21"/>
    </w:rPr>
  </w:style>
  <w:style w:type="character" w:customStyle="1" w:styleId="35">
    <w:name w:val="正文文本 Char"/>
    <w:basedOn w:val="18"/>
    <w:link w:val="6"/>
    <w:qFormat/>
    <w:uiPriority w:val="0"/>
    <w:rPr>
      <w:rFonts w:ascii="Arial" w:hAnsi="Arial" w:eastAsia="黑体" w:cs="Arial"/>
      <w:b/>
      <w:bCs/>
      <w:kern w:val="2"/>
      <w:sz w:val="32"/>
      <w:szCs w:val="32"/>
    </w:rPr>
  </w:style>
  <w:style w:type="character" w:customStyle="1" w:styleId="36">
    <w:name w:val="批注文字 Char"/>
    <w:basedOn w:val="18"/>
    <w:link w:val="5"/>
    <w:qFormat/>
    <w:uiPriority w:val="0"/>
    <w:rPr>
      <w:kern w:val="2"/>
      <w:sz w:val="21"/>
      <w:szCs w:val="24"/>
    </w:rPr>
  </w:style>
  <w:style w:type="character" w:customStyle="1" w:styleId="37">
    <w:name w:val="正文文本 2 Char"/>
    <w:basedOn w:val="18"/>
    <w:link w:val="15"/>
    <w:qFormat/>
    <w:uiPriority w:val="0"/>
    <w:rPr>
      <w:kern w:val="2"/>
      <w:sz w:val="21"/>
      <w:szCs w:val="21"/>
    </w:rPr>
  </w:style>
  <w:style w:type="character" w:customStyle="1" w:styleId="38">
    <w:name w:val="段 Char"/>
    <w:link w:val="25"/>
    <w:qFormat/>
    <w:uiPriority w:val="0"/>
    <w:rPr>
      <w:rFonts w:ascii="宋体"/>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10614</Words>
  <Characters>10955</Characters>
  <Lines>112</Lines>
  <Paragraphs>31</Paragraphs>
  <TotalTime>4</TotalTime>
  <ScaleCrop>false</ScaleCrop>
  <LinksUpToDate>false</LinksUpToDate>
  <CharactersWithSpaces>11269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2019-05-22T02:24:00Z</dcterms:created>
  <dc:creator>NTKO</dc:creator>
  <cp:lastModifiedBy>Administrator</cp:lastModifiedBy>
  <cp:lastPrinted>2019-05-24T01:41:00Z</cp:lastPrinted>
  <dcterms:modified xsi:type="dcterms:W3CDTF">2022-06-15T01:10:52Z</dcterms:modified>
  <dc:title>铜陵学院毕业生就业第三方评价项目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274A2FE00269434A805D91E5BEB5C53C</vt:lpwstr>
  </property>
</Properties>
</file>