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0"/>
          <w:szCs w:val="30"/>
          <w:lang w:eastAsia="zh-CN"/>
        </w:rPr>
      </w:pPr>
      <w:r>
        <w:rPr>
          <w:rFonts w:hint="eastAsia" w:ascii="宋体" w:hAnsi="宋体"/>
          <w:b/>
          <w:sz w:val="30"/>
          <w:szCs w:val="30"/>
        </w:rPr>
        <w:t>铜陵学院新生入学资格复查人像比对服务</w:t>
      </w:r>
      <w:r>
        <w:rPr>
          <w:rFonts w:hint="eastAsia" w:ascii="宋体" w:hAnsi="宋体"/>
          <w:b/>
          <w:sz w:val="30"/>
          <w:szCs w:val="30"/>
          <w:lang w:eastAsia="zh-CN"/>
        </w:rPr>
        <w:t>市场</w:t>
      </w: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  <w:lang w:eastAsia="zh-CN"/>
        </w:rPr>
        <w:t>比价</w:t>
      </w:r>
      <w:r>
        <w:rPr>
          <w:rFonts w:hint="eastAsia" w:ascii="宋体" w:hAnsi="宋体"/>
          <w:b/>
          <w:sz w:val="30"/>
          <w:szCs w:val="30"/>
        </w:rPr>
        <w:t>文件</w:t>
      </w: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项目编号：</w:t>
      </w:r>
      <w:r>
        <w:rPr>
          <w:rFonts w:ascii="宋体" w:hAnsi="宋体"/>
          <w:sz w:val="24"/>
          <w:szCs w:val="24"/>
        </w:rPr>
        <w:t>tlxyzb[</w:t>
      </w:r>
      <w:r>
        <w:rPr>
          <w:rFonts w:hint="eastAsia"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]</w:t>
      </w:r>
      <w:r>
        <w:rPr>
          <w:rFonts w:hint="eastAsia" w:ascii="宋体" w:hAnsi="宋体"/>
          <w:sz w:val="24"/>
          <w:szCs w:val="24"/>
          <w:lang w:val="en-US" w:eastAsia="zh-CN"/>
        </w:rPr>
        <w:t>27</w:t>
      </w:r>
      <w:r>
        <w:rPr>
          <w:rFonts w:hint="eastAsia" w:ascii="宋体" w:hAnsi="宋体"/>
          <w:sz w:val="24"/>
          <w:szCs w:val="24"/>
        </w:rPr>
        <w:t>号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为严格做好新生入学资格复查严格新生资格复查工作，经研究决定，现将《铜陵学院新生入学资格复查人像比对服务》项目</w:t>
      </w:r>
      <w:r>
        <w:rPr>
          <w:rFonts w:hint="eastAsia" w:ascii="宋体" w:hAnsi="宋体" w:cs="宋体"/>
          <w:kern w:val="0"/>
          <w:sz w:val="24"/>
          <w:szCs w:val="24"/>
        </w:rPr>
        <w:t>对外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通过市场比价进行采购</w:t>
      </w:r>
      <w:r>
        <w:rPr>
          <w:rFonts w:hint="eastAsia" w:ascii="宋体" w:hAnsi="宋体" w:cs="宋体"/>
          <w:kern w:val="0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</w:rPr>
        <w:t>欢迎具有相关资质的印刷企业参与响应</w:t>
      </w:r>
      <w:r>
        <w:rPr>
          <w:rFonts w:hint="eastAsia" w:ascii="宋体" w:hAnsi="宋体" w:cs="宋体"/>
          <w:kern w:val="0"/>
          <w:sz w:val="24"/>
          <w:szCs w:val="24"/>
        </w:rPr>
        <w:t>。有关具体事项公告如下：</w:t>
      </w:r>
    </w:p>
    <w:p>
      <w:pPr>
        <w:adjustRightInd w:val="0"/>
        <w:snapToGrid w:val="0"/>
        <w:spacing w:line="420" w:lineRule="exact"/>
        <w:ind w:firstLine="482" w:firstLineChars="200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一、项目概述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.项目名称：铜陵学院新生入学资格复查人像比对服务。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eastAsia="zh-CN"/>
        </w:rPr>
        <w:t>预算金额：</w:t>
      </w:r>
      <w:r>
        <w:rPr>
          <w:rFonts w:hint="eastAsia" w:ascii="宋体" w:hAnsi="宋体"/>
          <w:sz w:val="24"/>
          <w:szCs w:val="24"/>
          <w:lang w:val="en-US" w:eastAsia="zh-CN"/>
        </w:rPr>
        <w:t>4.5万元（4500人*10</w:t>
      </w:r>
      <w:r>
        <w:rPr>
          <w:rFonts w:hint="eastAsia" w:ascii="宋体" w:hAnsi="宋体"/>
          <w:sz w:val="24"/>
          <w:szCs w:val="24"/>
        </w:rPr>
        <w:t>元/人</w:t>
      </w:r>
      <w:r>
        <w:rPr>
          <w:rFonts w:hint="eastAsia" w:ascii="宋体" w:hAnsi="宋体"/>
          <w:sz w:val="24"/>
          <w:szCs w:val="24"/>
          <w:lang w:eastAsia="zh-CN"/>
        </w:rPr>
        <w:t>）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</w:t>
      </w:r>
      <w:r>
        <w:rPr>
          <w:rFonts w:hint="eastAsia" w:ascii="宋体" w:hAnsi="宋体"/>
          <w:sz w:val="24"/>
          <w:szCs w:val="24"/>
        </w:rPr>
        <w:t>最高限价：</w:t>
      </w:r>
      <w:r>
        <w:rPr>
          <w:rFonts w:hint="eastAsia" w:ascii="宋体" w:hAnsi="宋体"/>
          <w:sz w:val="24"/>
          <w:szCs w:val="24"/>
          <w:lang w:val="en-US" w:eastAsia="zh-CN"/>
        </w:rPr>
        <w:t>4.5万元（4500人*10</w:t>
      </w:r>
      <w:r>
        <w:rPr>
          <w:rFonts w:hint="eastAsia" w:ascii="宋体" w:hAnsi="宋体"/>
          <w:sz w:val="24"/>
          <w:szCs w:val="24"/>
        </w:rPr>
        <w:t>元/人</w:t>
      </w:r>
      <w:r>
        <w:rPr>
          <w:rFonts w:hint="eastAsia" w:ascii="宋体" w:hAnsi="宋体"/>
          <w:sz w:val="24"/>
          <w:szCs w:val="24"/>
          <w:lang w:eastAsia="zh-CN"/>
        </w:rPr>
        <w:t>）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.服务地点：铜陵学院新老校区。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.服务期限：</w:t>
      </w:r>
      <w:r>
        <w:rPr>
          <w:rFonts w:ascii="宋体" w:hAnsi="宋体"/>
          <w:sz w:val="24"/>
          <w:szCs w:val="24"/>
        </w:rPr>
        <w:t>合同签订后1年。服务期满后，双方</w:t>
      </w:r>
      <w:r>
        <w:rPr>
          <w:rFonts w:hint="eastAsia" w:ascii="宋体" w:hAnsi="宋体"/>
          <w:sz w:val="24"/>
          <w:szCs w:val="24"/>
          <w:lang w:eastAsia="zh-CN"/>
        </w:rPr>
        <w:t>合作满意</w:t>
      </w:r>
      <w:r>
        <w:rPr>
          <w:rFonts w:ascii="宋体" w:hAnsi="宋体"/>
          <w:sz w:val="24"/>
          <w:szCs w:val="24"/>
        </w:rPr>
        <w:t>，在</w:t>
      </w:r>
      <w:r>
        <w:rPr>
          <w:rFonts w:hint="eastAsia" w:ascii="宋体" w:hAnsi="宋体"/>
          <w:sz w:val="24"/>
          <w:szCs w:val="24"/>
          <w:lang w:eastAsia="zh-CN"/>
        </w:rPr>
        <w:t>服务内容、质量和价格不变</w:t>
      </w:r>
      <w:r>
        <w:rPr>
          <w:rFonts w:ascii="宋体" w:hAnsi="宋体"/>
          <w:sz w:val="24"/>
          <w:szCs w:val="24"/>
        </w:rPr>
        <w:t>的前提下，可以续签下一年合同，最多续签2年，合同一年一签。</w:t>
      </w:r>
    </w:p>
    <w:p>
      <w:pPr>
        <w:adjustRightInd w:val="0"/>
        <w:snapToGrid w:val="0"/>
        <w:spacing w:line="420" w:lineRule="exact"/>
        <w:ind w:firstLine="482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  <w:szCs w:val="24"/>
        </w:rPr>
        <w:t>二、服务要求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现场采集新生照片，要求单反相机连接电脑拍摄。并将照片与高考（专升本、对口高考等）报名照片、居民身份证照片运用“人脸识别”、“人证识别”、“人像比对”等信息技术手段进行逐一严格比对，并根据要求提供比对结果，且按“一生一档”要求提供比对报告，报告格式可参照附表。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2.现场人脸采集照片输出格式为蓝底，电子图像须符合《高等教育学历证书电子注册图像采集规范及信息标准》（教毕指〔2017〕99号）文件标准。采集的电子图像用电子图像光盘或其他加密方式交付我校；</w:t>
      </w:r>
      <w:r>
        <w:rPr>
          <w:rFonts w:hint="eastAsia" w:ascii="宋体" w:hAnsi="宋体"/>
          <w:sz w:val="24"/>
          <w:lang w:eastAsia="zh-CN"/>
        </w:rPr>
        <w:t>提供的</w:t>
      </w:r>
      <w:r>
        <w:rPr>
          <w:rFonts w:hint="eastAsia" w:ascii="宋体" w:hAnsi="宋体"/>
          <w:sz w:val="24"/>
        </w:rPr>
        <w:t>纸质照片（6张一寸证件照）必须含有学院、班级、学号、姓名等信息；按学院、专业、班级分装寄送；采集单位现场集中采集，对于部分零散采集应配有安全、可靠、符合标准的线上采集和人像比对方式，且能提供院校后台查询下载平台</w:t>
      </w:r>
      <w:r>
        <w:rPr>
          <w:rFonts w:hint="eastAsia" w:ascii="宋体" w:hAnsi="宋体"/>
          <w:sz w:val="24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3.需要与我校已有的迎新系统实现数据实时对接（迎新系统接口免费开放），双方需要进行端口对接，端口对接由本项目中标方完成，相关费用亦由中标方承担。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所有对比数据所用的设备及系统，供应商均需在本地化部署、运行。应根据新生数量提供相应数量的终端，一般按照每台1000人配置，满足现场人流需要，至少要迟滞不能超过十分钟。每处实施场地应配备至少1台备机以防突发状况发生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供应商对在工作过程中接触到的甲方的任何资料、文件、数据（无论是书面的还是电子的），以及对为甲方服务形成的任何交付物，负有为校方保密的责任。未经校方书面同意，供应商不得以任何方式向任何第三方提供或透露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6.校方向供应商提供的任何资料、文件和信息，在供应商服务结束后，供应商均应及时归还校方，电子文档的应从供应商的电脑、服务器、U盘等存储设备上永久删除。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7.供应商人员违反上述保密规定，供应商应承担相应法律责任。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8.以上(5)、(6)、(7)款在合同有效期结束后继续生效。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9.供应商须签订保密协议。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10.在进行新生人脸需支持检出微笑、大笑、瞪眼、闭眼、张嘴、歪嘴、吐舌头等表情的人脸，支持检出面部过曝、面部欠曝、阴阳脸、逆光等不同光照条件下人脸，支持检出齐刘海遮挡眉毛、头发遮挡眼睛、戴普通眼镜、戴墨镜、戴彩色眼镜、戴棒球帽、戴雷锋帽、戴普通帽子、戴头戴式耳机、胡须、披肩长发、长刘海等遮挡方式的人脸（以公安部检测报告为准）。</w:t>
      </w:r>
    </w:p>
    <w:p>
      <w:pPr>
        <w:pStyle w:val="11"/>
        <w:widowControl/>
        <w:spacing w:line="420" w:lineRule="exact"/>
        <w:ind w:firstLine="472" w:firstLineChars="196"/>
        <w:rPr>
          <w:rFonts w:ascii="宋体" w:hAnsi="宋体" w:cs="宋体"/>
          <w:sz w:val="24"/>
          <w:szCs w:val="24"/>
        </w:rPr>
      </w:pPr>
      <w:r>
        <w:rPr>
          <w:rStyle w:val="9"/>
          <w:rFonts w:hint="eastAsia" w:ascii="宋体" w:hAnsi="宋体" w:cs="宋体"/>
          <w:kern w:val="0"/>
          <w:sz w:val="24"/>
          <w:szCs w:val="24"/>
        </w:rPr>
        <w:t>三、投标资格条件</w:t>
      </w:r>
    </w:p>
    <w:p>
      <w:pPr>
        <w:widowControl/>
        <w:shd w:val="clear" w:color="auto" w:fill="FFFFFF"/>
        <w:spacing w:line="420" w:lineRule="exact"/>
        <w:ind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shd w:val="clear" w:color="auto" w:fill="FFFFFF"/>
        </w:rPr>
        <w:t>1.</w:t>
      </w:r>
      <w:r>
        <w:rPr>
          <w:rFonts w:hint="eastAsia" w:ascii="宋体" w:hAnsi="宋体" w:cs="宋体"/>
          <w:kern w:val="0"/>
          <w:sz w:val="24"/>
          <w:szCs w:val="24"/>
          <w:shd w:val="clear" w:color="auto" w:fill="FFFFFF"/>
        </w:rPr>
        <w:t>具备《中华人民共和国政府采购法》第二十二条规定的条件；</w:t>
      </w:r>
    </w:p>
    <w:p>
      <w:pPr>
        <w:widowControl/>
        <w:shd w:val="clear" w:color="auto" w:fill="FFFFFF"/>
        <w:spacing w:line="420" w:lineRule="exact"/>
        <w:ind w:firstLine="480"/>
        <w:jc w:val="left"/>
        <w:rPr>
          <w:rFonts w:ascii="宋体" w:hAnsi="宋体" w:cs="宋体"/>
          <w:kern w:val="0"/>
          <w:sz w:val="24"/>
          <w:szCs w:val="24"/>
          <w:shd w:val="clear" w:color="auto" w:fill="FFFFFF"/>
        </w:rPr>
      </w:pPr>
      <w:r>
        <w:rPr>
          <w:rFonts w:ascii="宋体" w:hAnsi="宋体" w:cs="宋体"/>
          <w:kern w:val="0"/>
          <w:sz w:val="24"/>
          <w:szCs w:val="24"/>
          <w:shd w:val="clear" w:color="auto" w:fill="FFFFFF"/>
        </w:rPr>
        <w:t>2</w:t>
      </w:r>
      <w:r>
        <w:rPr>
          <w:rFonts w:hint="eastAsia" w:ascii="宋体" w:hAnsi="宋体" w:cs="宋体"/>
          <w:kern w:val="0"/>
          <w:sz w:val="24"/>
          <w:szCs w:val="24"/>
          <w:shd w:val="clear" w:color="auto" w:fill="FFFFFF"/>
        </w:rPr>
        <w:t>.投标单位及其法人近三年内无违纪违法行为，自觉遵守高校廉洁从业（政）规定；</w:t>
      </w:r>
    </w:p>
    <w:p>
      <w:pPr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.投标单位应承担投标及履约中应承担的全部责任与义务，不允许投标单位中标后分包或转包。</w:t>
      </w:r>
    </w:p>
    <w:p>
      <w:pPr>
        <w:spacing w:line="420" w:lineRule="exact"/>
        <w:ind w:firstLine="482" w:firstLineChars="20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四、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服务质量及验收标准</w:t>
      </w:r>
    </w:p>
    <w:p>
      <w:pPr>
        <w:pStyle w:val="12"/>
        <w:spacing w:line="420" w:lineRule="exact"/>
        <w:ind w:firstLine="480"/>
        <w:rPr>
          <w:rFonts w:asci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质量标准须满足</w:t>
      </w:r>
      <w:r>
        <w:rPr>
          <w:rFonts w:hint="eastAsia" w:ascii="宋体" w:hAnsi="宋体"/>
          <w:sz w:val="24"/>
        </w:rPr>
        <w:t>教育部相关规定，</w:t>
      </w:r>
      <w:r>
        <w:rPr>
          <w:rFonts w:hint="eastAsia" w:ascii="宋体" w:hAnsi="宋体" w:cs="Arial"/>
          <w:kern w:val="0"/>
          <w:sz w:val="24"/>
        </w:rPr>
        <w:t>以及甲方</w:t>
      </w:r>
      <w:r>
        <w:rPr>
          <w:rFonts w:hint="eastAsia" w:ascii="宋体" w:hAnsi="宋体" w:cs="Arial"/>
          <w:kern w:val="0"/>
          <w:sz w:val="24"/>
          <w:lang w:eastAsia="zh-CN"/>
        </w:rPr>
        <w:t>采购</w:t>
      </w:r>
      <w:r>
        <w:rPr>
          <w:rFonts w:hint="eastAsia" w:ascii="宋体" w:hAnsi="宋体" w:cs="Arial"/>
          <w:kern w:val="0"/>
          <w:sz w:val="24"/>
        </w:rPr>
        <w:t>文件的</w:t>
      </w:r>
      <w:r>
        <w:rPr>
          <w:rFonts w:hint="eastAsia" w:ascii="宋体" w:hAnsi="宋体" w:cs="Arial"/>
          <w:kern w:val="0"/>
          <w:sz w:val="24"/>
          <w:lang w:eastAsia="zh-CN"/>
        </w:rPr>
        <w:t>服务</w:t>
      </w:r>
      <w:r>
        <w:rPr>
          <w:rFonts w:hint="eastAsia" w:ascii="宋体" w:hAnsi="宋体" w:cs="Arial"/>
          <w:kern w:val="0"/>
          <w:sz w:val="24"/>
        </w:rPr>
        <w:t>质量标准和技术指标有关要求与供应商投标承诺。</w:t>
      </w:r>
    </w:p>
    <w:p>
      <w:pPr>
        <w:widowControl/>
        <w:spacing w:line="420" w:lineRule="exact"/>
        <w:ind w:firstLine="482" w:firstLineChars="2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五、招标</w:t>
      </w:r>
      <w:r>
        <w:rPr>
          <w:rFonts w:hint="eastAsia" w:ascii="宋体" w:hAnsi="宋体" w:cs="宋体"/>
          <w:b/>
          <w:kern w:val="0"/>
          <w:sz w:val="24"/>
          <w:szCs w:val="24"/>
          <w:lang w:eastAsia="zh-CN"/>
        </w:rPr>
        <w:t>采购</w:t>
      </w:r>
      <w:r>
        <w:rPr>
          <w:rFonts w:hint="eastAsia" w:ascii="宋体" w:hAnsi="宋体" w:cs="宋体"/>
          <w:b/>
          <w:kern w:val="0"/>
          <w:sz w:val="24"/>
          <w:szCs w:val="24"/>
        </w:rPr>
        <w:t>文件的获取</w:t>
      </w:r>
    </w:p>
    <w:p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请有意参与投标的单位自行在铜陵学院国资处网站（</w:t>
      </w:r>
      <w:r>
        <w:rPr>
          <w:rFonts w:ascii="宋体" w:hAnsi="宋体" w:cs="宋体"/>
          <w:kern w:val="0"/>
          <w:sz w:val="24"/>
          <w:szCs w:val="24"/>
        </w:rPr>
        <w:t>http://gzc.tlu.edu.cn/</w:t>
      </w:r>
      <w:r>
        <w:rPr>
          <w:rFonts w:hint="eastAsia" w:ascii="宋体" w:hAnsi="宋体" w:cs="宋体"/>
          <w:kern w:val="0"/>
          <w:sz w:val="24"/>
          <w:szCs w:val="24"/>
        </w:rPr>
        <w:t>）下载。</w:t>
      </w:r>
    </w:p>
    <w:p>
      <w:pPr>
        <w:widowControl/>
        <w:spacing w:line="420" w:lineRule="exact"/>
        <w:ind w:firstLine="6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六、投标相关事项：</w:t>
      </w:r>
    </w:p>
    <w:p>
      <w:pPr>
        <w:widowControl/>
        <w:spacing w:line="420" w:lineRule="exact"/>
        <w:ind w:firstLine="352" w:firstLineChars="147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</w:rPr>
        <w:t>（一）投标函编制：</w:t>
      </w:r>
    </w:p>
    <w:p>
      <w:pPr>
        <w:widowControl/>
        <w:spacing w:line="420" w:lineRule="exact"/>
        <w:ind w:firstLine="6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投标人需提交一式两份（一份正本、一份副本）报价函，分别注明“正本”和“副本”（如报价不一致，以正本为准），且须密封并于密封处及封面加盖单位公章。报价函内需附以下资料并加盖单位公章：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1.投标承诺（针对本</w:t>
      </w:r>
      <w:r>
        <w:rPr>
          <w:rFonts w:hint="eastAsia" w:ascii="宋体" w:hAnsi="宋体" w:cs="宋体"/>
          <w:kern w:val="0"/>
          <w:sz w:val="24"/>
          <w:lang w:eastAsia="zh-CN"/>
        </w:rPr>
        <w:t>市场比价文件</w:t>
      </w:r>
      <w:r>
        <w:rPr>
          <w:rFonts w:hint="eastAsia" w:ascii="宋体" w:hAnsi="宋体" w:cs="宋体"/>
          <w:kern w:val="0"/>
          <w:sz w:val="24"/>
        </w:rPr>
        <w:t>提出的服务质量、服务期等要求的响应）；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2.法人授权书原件；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3.营业执照复印件；</w:t>
      </w:r>
    </w:p>
    <w:p>
      <w:pPr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</w:rPr>
        <w:t>4.</w:t>
      </w:r>
      <w:r>
        <w:rPr>
          <w:rFonts w:hint="eastAsia" w:ascii="宋体" w:hAnsi="宋体"/>
          <w:sz w:val="24"/>
          <w:szCs w:val="24"/>
        </w:rPr>
        <w:t>铜陵学院新生入学资格复查人像比对服务投标报价表；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5.投标单位认为需要提供其它资料。</w:t>
      </w:r>
    </w:p>
    <w:p>
      <w:pPr>
        <w:widowControl/>
        <w:spacing w:line="420" w:lineRule="exact"/>
        <w:ind w:firstLine="360" w:firstLineChars="15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（二）标书投送：</w:t>
      </w:r>
    </w:p>
    <w:p>
      <w:pPr>
        <w:widowControl/>
        <w:spacing w:line="420" w:lineRule="exact"/>
        <w:ind w:firstLine="360" w:firstLineChars="15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凡符合投标资格、有意向的投标单位，请于202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cs="宋体"/>
          <w:kern w:val="0"/>
          <w:sz w:val="24"/>
          <w:szCs w:val="24"/>
        </w:rPr>
        <w:t>日上午11：00前，将投标文件送达铜陵学院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新校区信息综合楼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511室</w:t>
      </w:r>
      <w:r>
        <w:rPr>
          <w:rFonts w:hint="eastAsia" w:ascii="宋体" w:hAnsi="宋体" w:cs="宋体"/>
          <w:kern w:val="0"/>
          <w:sz w:val="24"/>
          <w:szCs w:val="24"/>
        </w:rPr>
        <w:t>，联系人：胡老师（13955931061）。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>（因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校园管理</w:t>
      </w:r>
      <w:r>
        <w:rPr>
          <w:rFonts w:hint="eastAsia" w:ascii="宋体" w:hAnsi="宋体" w:cs="宋体"/>
          <w:kern w:val="0"/>
          <w:sz w:val="24"/>
          <w:szCs w:val="24"/>
        </w:rPr>
        <w:t>要求，请投标人在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cs="宋体"/>
          <w:kern w:val="0"/>
          <w:sz w:val="24"/>
          <w:szCs w:val="24"/>
        </w:rPr>
        <w:t>日上午投递响应文件，其它时段不接收）。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进校前请按要求在微信小程序里办理入校申请，接访部门选填国有资产管理处）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（三）其它事项：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招标方将综合投标人实力、报价、服务承诺等因素，按照合理低价原则，确定中标单位。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中标结果将在铜陵学院国资处网站予以公布。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中标单位应及时与招标方联系，以满足我校学生处的需要为前提，进一步洽谈履约及相关事宜。如拟中标单位对中标结果不能及时作出响应，或响应程度可能影响到招标方的需要，招标方有权对该单位作出不予中标处理，从而选择其它的候选单位作为中标单位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或重新招标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七、付款方式</w:t>
      </w:r>
      <w:r>
        <w:rPr>
          <w:rFonts w:hint="eastAsia" w:ascii="宋体" w:hAnsi="宋体" w:cs="宋体"/>
          <w:kern w:val="0"/>
          <w:sz w:val="24"/>
          <w:szCs w:val="24"/>
        </w:rPr>
        <w:t>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本项目</w:t>
      </w:r>
      <w:r>
        <w:rPr>
          <w:rFonts w:hint="eastAsia" w:ascii="宋体" w:hAnsi="宋体" w:cs="宋体"/>
          <w:kern w:val="0"/>
          <w:sz w:val="24"/>
          <w:szCs w:val="24"/>
        </w:rPr>
        <w:t>不支付预付款，服务完成并经校方人员验收合格后，中标单位提供的完整、有效的正规全额发票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，在</w:t>
      </w:r>
      <w:r>
        <w:rPr>
          <w:rFonts w:hint="eastAsia" w:ascii="宋体" w:hAnsi="宋体" w:cs="宋体"/>
          <w:kern w:val="0"/>
          <w:sz w:val="24"/>
          <w:szCs w:val="24"/>
        </w:rPr>
        <w:t>一个月内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据实结算服务费用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widowControl/>
        <w:spacing w:line="420" w:lineRule="exact"/>
        <w:ind w:firstLine="472" w:firstLineChars="196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八、业务（项目）咨询</w:t>
      </w:r>
    </w:p>
    <w:p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.如有技术业务咨询，涉及新生入学资格复查人像比对服务其他未知</w:t>
      </w:r>
      <w:r>
        <w:rPr>
          <w:rFonts w:hint="eastAsia" w:ascii="宋体" w:hAnsi="宋体"/>
          <w:sz w:val="24"/>
          <w:szCs w:val="24"/>
        </w:rPr>
        <w:t>事宜，</w:t>
      </w:r>
      <w:r>
        <w:rPr>
          <w:rFonts w:hint="eastAsia" w:ascii="宋体" w:hAnsi="宋体" w:cs="宋体"/>
          <w:kern w:val="0"/>
          <w:sz w:val="24"/>
          <w:szCs w:val="24"/>
        </w:rPr>
        <w:t>请联系铜陵学院学生处吴老师（13955915092）。</w:t>
      </w:r>
    </w:p>
    <w:p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.涉及本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市场比价文件</w:t>
      </w:r>
      <w:r>
        <w:rPr>
          <w:rFonts w:hint="eastAsia" w:ascii="宋体" w:hAnsi="宋体" w:cs="宋体"/>
          <w:kern w:val="0"/>
          <w:sz w:val="24"/>
          <w:szCs w:val="24"/>
        </w:rPr>
        <w:t>中的商务部分，请与国资处招标采购管理科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程</w:t>
      </w:r>
      <w:r>
        <w:rPr>
          <w:rFonts w:hint="eastAsia" w:ascii="宋体" w:hAnsi="宋体" w:cs="宋体"/>
          <w:kern w:val="0"/>
          <w:sz w:val="24"/>
          <w:szCs w:val="24"/>
        </w:rPr>
        <w:t>老师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 w:cs="宋体"/>
          <w:kern w:val="0"/>
          <w:sz w:val="24"/>
          <w:szCs w:val="24"/>
        </w:rPr>
        <w:t>联系</w:t>
      </w:r>
      <w:r>
        <w:rPr>
          <w:rFonts w:hint="eastAsia" w:ascii="宋体" w:hAnsi="宋体"/>
          <w:sz w:val="24"/>
          <w:szCs w:val="24"/>
        </w:rPr>
        <w:t>电话：</w:t>
      </w:r>
      <w:r>
        <w:rPr>
          <w:rFonts w:ascii="宋体" w:hAnsi="宋体"/>
          <w:sz w:val="24"/>
          <w:szCs w:val="24"/>
        </w:rPr>
        <w:t>0562-588</w:t>
      </w:r>
      <w:r>
        <w:rPr>
          <w:rFonts w:hint="eastAsia" w:ascii="宋体" w:hAnsi="宋体"/>
          <w:sz w:val="24"/>
          <w:szCs w:val="24"/>
          <w:lang w:val="en-US" w:eastAsia="zh-CN"/>
        </w:rPr>
        <w:t>1077</w:t>
      </w:r>
      <w:r>
        <w:rPr>
          <w:rFonts w:hint="eastAsia" w:ascii="宋体" w:hAnsi="宋体"/>
          <w:sz w:val="24"/>
          <w:szCs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widowControl/>
        <w:spacing w:line="420" w:lineRule="exact"/>
        <w:ind w:firstLine="482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cs="宋体"/>
          <w:b/>
          <w:bCs/>
          <w:kern w:val="0"/>
          <w:sz w:val="24"/>
          <w:szCs w:val="24"/>
        </w:rPr>
        <w:t> </w:t>
      </w:r>
      <w:r>
        <w:rPr>
          <w:rFonts w:hint="eastAsia" w:ascii="宋体" w:cs="宋体"/>
          <w:b/>
          <w:bCs/>
          <w:kern w:val="0"/>
          <w:sz w:val="24"/>
          <w:szCs w:val="24"/>
        </w:rPr>
        <w:t>九、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监督电话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质疑受理电话：0562-5881058；  投诉受理电话：0562-5881977。   </w:t>
      </w:r>
    </w:p>
    <w:p>
      <w:pPr>
        <w:widowControl/>
        <w:shd w:val="clear" w:color="auto" w:fill="FFFFFF"/>
        <w:spacing w:line="440" w:lineRule="exact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单位或个人对公示内容有异议的，请于公示期内以实名书面（包括联系人、地址、联系电话、加盖公章）形式将意见反馈给以上任何联系人。</w:t>
      </w:r>
    </w:p>
    <w:p>
      <w:pPr>
        <w:widowControl/>
        <w:spacing w:line="480" w:lineRule="exact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480" w:lineRule="exact"/>
        <w:ind w:left="2155" w:leftChars="969" w:hanging="120" w:hangingChars="50"/>
        <w:rPr>
          <w:rFonts w:ascii="Times New Roman" w:hAnsi="Times New Roman" w:cs="宋体"/>
          <w:kern w:val="0"/>
          <w:sz w:val="24"/>
          <w:szCs w:val="24"/>
        </w:rPr>
      </w:pPr>
    </w:p>
    <w:p>
      <w:pPr>
        <w:widowControl/>
        <w:spacing w:line="480" w:lineRule="exact"/>
        <w:ind w:left="2155" w:leftChars="1026" w:firstLine="4800" w:firstLineChars="2000"/>
        <w:rPr>
          <w:rFonts w:ascii="宋体" w:cs="宋体"/>
          <w:kern w:val="0"/>
          <w:sz w:val="24"/>
          <w:szCs w:val="24"/>
        </w:rPr>
      </w:pPr>
      <w:r>
        <w:rPr>
          <w:rFonts w:hint="eastAsia" w:ascii="Times New Roman" w:hAnsi="Times New Roman" w:cs="宋体"/>
          <w:kern w:val="0"/>
          <w:sz w:val="24"/>
          <w:szCs w:val="24"/>
        </w:rPr>
        <w:t>铜陵学院</w:t>
      </w:r>
    </w:p>
    <w:p>
      <w:pPr>
        <w:widowControl/>
        <w:spacing w:line="480" w:lineRule="exact"/>
        <w:ind w:firstLine="6120" w:firstLineChars="2550"/>
        <w:rPr>
          <w:sz w:val="24"/>
          <w:szCs w:val="24"/>
        </w:rPr>
      </w:pPr>
      <w:r>
        <w:rPr>
          <w:rFonts w:hint="eastAsia"/>
          <w:sz w:val="24"/>
          <w:szCs w:val="24"/>
        </w:rPr>
        <w:t>二〇二</w:t>
      </w:r>
      <w:r>
        <w:rPr>
          <w:rFonts w:hint="eastAsia"/>
          <w:sz w:val="24"/>
          <w:szCs w:val="24"/>
          <w:lang w:eastAsia="zh-CN"/>
        </w:rPr>
        <w:t>四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eastAsia="zh-CN"/>
        </w:rPr>
        <w:t>五</w:t>
      </w:r>
      <w:r>
        <w:rPr>
          <w:rFonts w:hint="eastAsia"/>
          <w:sz w:val="24"/>
          <w:szCs w:val="24"/>
        </w:rPr>
        <w:t>月十</w:t>
      </w:r>
      <w:r>
        <w:rPr>
          <w:rFonts w:hint="eastAsia"/>
          <w:sz w:val="24"/>
          <w:szCs w:val="24"/>
          <w:lang w:eastAsia="zh-CN"/>
        </w:rPr>
        <w:t>四</w:t>
      </w:r>
      <w:r>
        <w:rPr>
          <w:rFonts w:hint="eastAsia"/>
          <w:sz w:val="24"/>
          <w:szCs w:val="24"/>
        </w:rPr>
        <w:t>日</w:t>
      </w:r>
    </w:p>
    <w:p>
      <w:pPr>
        <w:spacing w:line="360" w:lineRule="auto"/>
        <w:rPr>
          <w:rFonts w:ascii="宋体" w:hAnsi="宋体" w:cs="宋体"/>
          <w:b/>
          <w:sz w:val="30"/>
        </w:rPr>
      </w:pPr>
      <w:r>
        <w:rPr>
          <w:rFonts w:hint="eastAsia" w:ascii="宋体" w:hAnsi="宋体" w:cs="宋体"/>
          <w:b/>
          <w:sz w:val="30"/>
        </w:rPr>
        <w:t xml:space="preserve">                </w:t>
      </w:r>
    </w:p>
    <w:p>
      <w:pPr>
        <w:spacing w:line="360" w:lineRule="auto"/>
        <w:rPr>
          <w:rFonts w:ascii="宋体" w:hAnsi="宋体" w:cs="宋体"/>
          <w:b/>
          <w:sz w:val="30"/>
        </w:rPr>
      </w:pPr>
    </w:p>
    <w:p>
      <w:pPr>
        <w:pStyle w:val="2"/>
        <w:ind w:left="0" w:leftChars="0" w:firstLine="0" w:firstLineChars="0"/>
        <w:rPr>
          <w:rFonts w:ascii="宋体" w:hAnsi="宋体" w:cs="宋体"/>
          <w:b/>
          <w:sz w:val="30"/>
        </w:rPr>
      </w:pPr>
    </w:p>
    <w:p>
      <w:pPr>
        <w:pStyle w:val="2"/>
        <w:ind w:left="0" w:leftChars="0" w:firstLine="0" w:firstLineChars="0"/>
        <w:rPr>
          <w:rFonts w:ascii="宋体" w:hAnsi="宋体" w:cs="宋体"/>
          <w:b/>
          <w:sz w:val="30"/>
        </w:rPr>
      </w:pPr>
    </w:p>
    <w:p>
      <w:pPr>
        <w:spacing w:line="360" w:lineRule="auto"/>
        <w:jc w:val="center"/>
        <w:rPr>
          <w:rFonts w:ascii="宋体" w:hAnsi="宋体" w:cs="宋体"/>
          <w:sz w:val="30"/>
        </w:rPr>
      </w:pPr>
      <w:r>
        <w:rPr>
          <w:rFonts w:hint="eastAsia" w:ascii="宋体" w:hAnsi="宋体" w:cs="宋体"/>
          <w:b/>
          <w:sz w:val="30"/>
        </w:rPr>
        <w:t>法定代表人授权书（格式）</w:t>
      </w:r>
    </w:p>
    <w:p>
      <w:pPr>
        <w:spacing w:line="480" w:lineRule="auto"/>
        <w:ind w:firstLine="482" w:firstLineChars="200"/>
        <w:rPr>
          <w:rFonts w:ascii="宋体" w:hAnsi="宋体" w:cs="宋体"/>
          <w:b/>
          <w:sz w:val="24"/>
        </w:rPr>
      </w:pPr>
    </w:p>
    <w:p>
      <w:pPr>
        <w:spacing w:line="480" w:lineRule="auto"/>
        <w:ind w:firstLine="482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致：铜陵学院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本授权书声明：</w:t>
      </w:r>
      <w:r>
        <w:rPr>
          <w:rFonts w:hint="eastAsia" w:ascii="宋体" w:hAnsi="宋体" w:cs="宋体"/>
          <w:sz w:val="24"/>
          <w:u w:val="single"/>
        </w:rPr>
        <w:t xml:space="preserve">  （供应商名称）  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u w:val="single"/>
        </w:rPr>
        <w:t xml:space="preserve">  （法人代表姓名） </w:t>
      </w:r>
      <w:r>
        <w:rPr>
          <w:rFonts w:hint="eastAsia" w:ascii="宋体" w:hAnsi="宋体" w:cs="宋体"/>
          <w:sz w:val="24"/>
        </w:rPr>
        <w:t>授权（被授权人的姓名）为我方就编号：</w:t>
      </w:r>
      <w:r>
        <w:rPr>
          <w:rFonts w:hint="eastAsia" w:ascii="宋体" w:hAnsi="宋体" w:cs="宋体"/>
          <w:sz w:val="24"/>
          <w:u w:val="single"/>
        </w:rPr>
        <w:t>tlxyzb[202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4</w:t>
      </w:r>
      <w:r>
        <w:rPr>
          <w:rFonts w:hint="eastAsia" w:ascii="宋体" w:hAnsi="宋体" w:cs="宋体"/>
          <w:sz w:val="24"/>
          <w:u w:val="single"/>
        </w:rPr>
        <w:t>]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27</w:t>
      </w:r>
      <w:r>
        <w:rPr>
          <w:rFonts w:hint="eastAsia" w:ascii="宋体" w:hAnsi="宋体" w:cs="宋体"/>
          <w:sz w:val="24"/>
          <w:u w:val="single"/>
        </w:rPr>
        <w:t xml:space="preserve">号 </w:t>
      </w:r>
      <w:r>
        <w:rPr>
          <w:rFonts w:hint="eastAsia" w:ascii="宋体" w:hAnsi="宋体" w:cs="宋体"/>
          <w:sz w:val="24"/>
        </w:rPr>
        <w:t>的“</w:t>
      </w:r>
      <w:r>
        <w:rPr>
          <w:rFonts w:hint="eastAsia" w:ascii="宋体" w:hAnsi="宋体" w:cs="宋体"/>
          <w:sz w:val="24"/>
          <w:u w:val="single"/>
        </w:rPr>
        <w:t>铜陵学院新生入学资格复查人像比对服务</w:t>
      </w:r>
      <w:r>
        <w:rPr>
          <w:rFonts w:hint="eastAsia" w:ascii="宋体" w:hAnsi="宋体" w:cs="宋体"/>
          <w:sz w:val="24"/>
          <w:u w:val="single"/>
          <w:lang w:eastAsia="zh-CN"/>
        </w:rPr>
        <w:t>项目</w:t>
      </w:r>
      <w:r>
        <w:rPr>
          <w:rFonts w:hint="eastAsia" w:ascii="宋体" w:hAnsi="宋体" w:cs="宋体"/>
          <w:sz w:val="24"/>
        </w:rPr>
        <w:t>”活动的合法代理人，以我方名义全权处理与该项目响应、签订合同以及合同执行有关的一切事务。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特此声明。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</w:p>
    <w:p>
      <w:pPr>
        <w:spacing w:line="48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法定代表人签字或盖章：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职务：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代理人（被授权人）签字或盖章：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职务：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供应商名称：（公章）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 xml:space="preserve">                                       日期：</w:t>
      </w:r>
    </w:p>
    <w:p>
      <w:pPr>
        <w:widowControl/>
        <w:spacing w:line="480" w:lineRule="exact"/>
        <w:rPr>
          <w:sz w:val="24"/>
          <w:szCs w:val="24"/>
        </w:rPr>
      </w:pPr>
    </w:p>
    <w:p>
      <w:pPr>
        <w:widowControl/>
        <w:spacing w:line="480" w:lineRule="exact"/>
        <w:ind w:firstLine="6120" w:firstLineChars="2550"/>
        <w:rPr>
          <w:sz w:val="24"/>
          <w:szCs w:val="24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pacing w:line="360" w:lineRule="auto"/>
        <w:jc w:val="center"/>
        <w:rPr>
          <w:rFonts w:hint="eastAsia" w:ascii="宋体" w:hAnsi="宋体"/>
          <w:b/>
          <w:sz w:val="30"/>
          <w:szCs w:val="30"/>
          <w:lang w:eastAsia="zh-CN"/>
        </w:rPr>
      </w:pPr>
      <w:r>
        <w:rPr>
          <w:rFonts w:hint="eastAsia" w:ascii="宋体" w:hAnsi="宋体"/>
          <w:b/>
          <w:sz w:val="30"/>
          <w:szCs w:val="30"/>
        </w:rPr>
        <w:t>铜陵学院新生入学资格复查人像比对服务</w:t>
      </w:r>
      <w:r>
        <w:rPr>
          <w:rFonts w:hint="eastAsia" w:ascii="宋体" w:hAnsi="宋体"/>
          <w:b/>
          <w:sz w:val="30"/>
          <w:szCs w:val="30"/>
          <w:lang w:eastAsia="zh-CN"/>
        </w:rPr>
        <w:t>项目</w:t>
      </w:r>
    </w:p>
    <w:p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投标报价表</w:t>
      </w:r>
    </w:p>
    <w:p>
      <w:pPr>
        <w:spacing w:line="360" w:lineRule="auto"/>
        <w:jc w:val="center"/>
      </w:pPr>
      <w:r>
        <w:rPr>
          <w:rFonts w:hint="eastAsia" w:ascii="宋体" w:hAnsi="宋体"/>
          <w:sz w:val="24"/>
          <w:szCs w:val="24"/>
        </w:rPr>
        <w:t>项目编号：</w:t>
      </w:r>
      <w:r>
        <w:rPr>
          <w:rFonts w:ascii="宋体" w:hAnsi="宋体"/>
          <w:sz w:val="24"/>
          <w:szCs w:val="24"/>
        </w:rPr>
        <w:t>tlxyzb[</w:t>
      </w:r>
      <w:r>
        <w:rPr>
          <w:rFonts w:hint="eastAsia"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]</w:t>
      </w:r>
      <w:r>
        <w:rPr>
          <w:rFonts w:hint="eastAsia" w:ascii="宋体" w:hAnsi="宋体"/>
          <w:sz w:val="24"/>
          <w:szCs w:val="24"/>
          <w:lang w:val="en-US" w:eastAsia="zh-CN"/>
        </w:rPr>
        <w:t>27</w:t>
      </w:r>
      <w:r>
        <w:rPr>
          <w:rFonts w:hint="eastAsia" w:ascii="宋体" w:hAnsi="宋体"/>
          <w:sz w:val="24"/>
          <w:szCs w:val="24"/>
        </w:rPr>
        <w:t>号</w:t>
      </w:r>
    </w:p>
    <w:p/>
    <w:tbl>
      <w:tblPr>
        <w:tblStyle w:val="6"/>
        <w:tblW w:w="941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2397"/>
        <w:gridCol w:w="1513"/>
        <w:gridCol w:w="1700"/>
        <w:gridCol w:w="1650"/>
        <w:gridCol w:w="14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产品名</w:t>
            </w: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称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计划人数（人）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单价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（元/人）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金额（元）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铜陵学院新生入学资格复查人像比对服务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ind w:firstLine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4500人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ind w:firstLine="720" w:firstLineChars="300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计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ind w:firstLine="0"/>
              <w:rPr>
                <w:rFonts w:hint="eastAsia"/>
              </w:rPr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241" w:firstLineChars="100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人民币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大写：</w:t>
            </w:r>
          </w:p>
        </w:tc>
      </w:tr>
    </w:tbl>
    <w:p>
      <w:pPr>
        <w:spacing w:line="420" w:lineRule="exact"/>
        <w:rPr>
          <w:rFonts w:ascii="宋体" w:hAnsi="宋体" w:cs="宋体"/>
          <w:kern w:val="0"/>
          <w:sz w:val="24"/>
          <w:szCs w:val="24"/>
        </w:rPr>
      </w:pPr>
    </w:p>
    <w:p>
      <w:pPr>
        <w:spacing w:line="42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备注：1.</w:t>
      </w:r>
      <w:r>
        <w:rPr>
          <w:rFonts w:ascii="宋体" w:hAnsi="宋体"/>
          <w:kern w:val="0"/>
          <w:sz w:val="24"/>
          <w:szCs w:val="24"/>
        </w:rPr>
        <w:t xml:space="preserve"> </w:t>
      </w:r>
      <w:r>
        <w:rPr>
          <w:rFonts w:hint="eastAsia" w:ascii="宋体" w:hAnsi="宋体"/>
          <w:sz w:val="24"/>
        </w:rPr>
        <w:t>供应商针对本项目所有内容一次性报价，报价包含完成本项目所发生的一切费用</w:t>
      </w:r>
      <w:r>
        <w:rPr>
          <w:rFonts w:hint="eastAsia" w:ascii="宋体" w:hAnsi="宋体" w:cs="宋体"/>
          <w:kern w:val="0"/>
          <w:sz w:val="24"/>
          <w:szCs w:val="24"/>
        </w:rPr>
        <w:t>包括设备使用费、端口对接费、服务费、利税和应承担的风险等一切费用）</w:t>
      </w:r>
      <w:r>
        <w:rPr>
          <w:rFonts w:hint="eastAsia" w:ascii="宋体" w:hAnsi="宋体"/>
          <w:sz w:val="24"/>
        </w:rPr>
        <w:t>，实际服务收费以</w:t>
      </w:r>
      <w:r>
        <w:rPr>
          <w:rFonts w:hint="eastAsia" w:ascii="宋体" w:hAnsi="宋体"/>
          <w:b/>
          <w:sz w:val="24"/>
        </w:rPr>
        <w:t>学生核验服务单价乘以核验学生总数</w:t>
      </w:r>
      <w:r>
        <w:rPr>
          <w:rFonts w:hint="eastAsia" w:ascii="宋体" w:hAnsi="宋体"/>
          <w:sz w:val="24"/>
        </w:rPr>
        <w:t>确定，采购人后期不再增加任何费用，供应商需考虑各种风险，综合报价。</w:t>
      </w:r>
    </w:p>
    <w:p>
      <w:pPr>
        <w:pStyle w:val="3"/>
        <w:spacing w:line="420" w:lineRule="exact"/>
        <w:ind w:firstLine="445" w:firstLineChars="192"/>
        <w:rPr>
          <w:rFonts w:eastAsia="宋体"/>
          <w:spacing w:val="-4"/>
          <w:sz w:val="24"/>
          <w:szCs w:val="24"/>
        </w:rPr>
      </w:pPr>
    </w:p>
    <w:p>
      <w:pPr>
        <w:pStyle w:val="3"/>
        <w:spacing w:line="420" w:lineRule="exact"/>
        <w:ind w:left="0" w:leftChars="0" w:firstLine="0" w:firstLineChars="0"/>
        <w:rPr>
          <w:rFonts w:eastAsia="宋体"/>
          <w:spacing w:val="-4"/>
          <w:sz w:val="24"/>
          <w:szCs w:val="24"/>
        </w:rPr>
      </w:pPr>
    </w:p>
    <w:p>
      <w:pPr>
        <w:pStyle w:val="3"/>
        <w:spacing w:line="420" w:lineRule="exact"/>
        <w:ind w:firstLine="460" w:firstLineChars="192"/>
        <w:rPr>
          <w:rFonts w:eastAsia="宋体"/>
          <w:kern w:val="0"/>
          <w:sz w:val="24"/>
          <w:szCs w:val="24"/>
        </w:rPr>
      </w:pPr>
    </w:p>
    <w:p>
      <w:pPr>
        <w:pStyle w:val="3"/>
        <w:spacing w:line="42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rPr>
          <w:sz w:val="24"/>
          <w:szCs w:val="24"/>
        </w:rPr>
      </w:pPr>
    </w:p>
    <w:p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法定代表人</w:t>
      </w:r>
      <w:r>
        <w:rPr>
          <w:rFonts w:hint="eastAsia"/>
          <w:kern w:val="0"/>
          <w:sz w:val="24"/>
          <w:szCs w:val="24"/>
        </w:rPr>
        <w:t>签字或盖章：</w:t>
      </w:r>
      <w:r>
        <w:rPr>
          <w:kern w:val="0"/>
          <w:sz w:val="24"/>
          <w:szCs w:val="24"/>
          <w:u w:val="single"/>
        </w:rPr>
        <w:t>           </w:t>
      </w:r>
      <w:r>
        <w:rPr>
          <w:rFonts w:hint="eastAsia"/>
          <w:kern w:val="0"/>
          <w:sz w:val="24"/>
          <w:szCs w:val="24"/>
          <w:u w:val="single"/>
        </w:rPr>
        <w:t xml:space="preserve">               </w:t>
      </w:r>
      <w:r>
        <w:rPr>
          <w:kern w:val="0"/>
          <w:sz w:val="24"/>
          <w:szCs w:val="24"/>
          <w:u w:val="single"/>
        </w:rPr>
        <w:t xml:space="preserve"> 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br w:type="textWrapping"/>
      </w:r>
    </w:p>
    <w:p>
      <w:r>
        <w:rPr>
          <w:rFonts w:hint="eastAsia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 w:hAnsi="宋体"/>
          <w:kern w:val="0"/>
          <w:sz w:val="24"/>
          <w:szCs w:val="24"/>
          <w:u w:val="single"/>
        </w:rPr>
        <w:t>   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/>
          <w:kern w:val="0"/>
          <w:sz w:val="24"/>
          <w:szCs w:val="24"/>
          <w:u w:val="single"/>
        </w:rPr>
        <w:t>   </w:t>
      </w:r>
    </w:p>
    <w:p>
      <w:pPr>
        <w:pStyle w:val="2"/>
        <w:ind w:firstLine="0"/>
      </w:pPr>
    </w:p>
    <w:p>
      <w:pPr>
        <w:pStyle w:val="2"/>
        <w:ind w:firstLine="0"/>
      </w:pPr>
    </w:p>
    <w:p>
      <w:pPr>
        <w:pStyle w:val="2"/>
        <w:ind w:firstLine="0"/>
      </w:pPr>
    </w:p>
    <w:p>
      <w:pPr>
        <w:pStyle w:val="2"/>
        <w:ind w:firstLine="0"/>
      </w:pPr>
    </w:p>
    <w:p>
      <w:pPr>
        <w:pStyle w:val="2"/>
        <w:ind w:firstLine="0"/>
      </w:pPr>
    </w:p>
    <w:p>
      <w:pPr>
        <w:pStyle w:val="2"/>
        <w:ind w:firstLine="0"/>
      </w:pPr>
    </w:p>
    <w:p>
      <w:pPr>
        <w:pStyle w:val="2"/>
        <w:ind w:firstLine="0"/>
      </w:pPr>
    </w:p>
    <w:p>
      <w:pPr>
        <w:pStyle w:val="2"/>
        <w:ind w:firstLine="0"/>
      </w:pPr>
    </w:p>
    <w:p>
      <w:pPr>
        <w:pStyle w:val="25"/>
        <w:spacing w:line="360" w:lineRule="auto"/>
        <w:ind w:firstLine="0" w:firstLineChars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附表：</w:t>
      </w:r>
    </w:p>
    <w:p>
      <w:pPr>
        <w:rPr>
          <w:rFonts w:ascii="仿宋" w:hAnsi="仿宋" w:eastAsia="仿宋" w:cs="仿宋"/>
        </w:rPr>
      </w:pPr>
    </w:p>
    <w:p>
      <w:pPr>
        <w:spacing w:line="720" w:lineRule="auto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XXXXX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学院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新生入学资格审查</w:t>
      </w:r>
    </w:p>
    <w:p>
      <w:pPr>
        <w:spacing w:line="720" w:lineRule="auto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人脸比对报告</w:t>
      </w:r>
    </w:p>
    <w:p>
      <w:pPr>
        <w:jc w:val="center"/>
        <w:rPr>
          <w:rFonts w:ascii="仿宋" w:hAnsi="仿宋" w:eastAsia="仿宋" w:cs="仿宋"/>
        </w:rPr>
      </w:pPr>
    </w:p>
    <w:p>
      <w:pPr>
        <w:spacing w:line="360" w:lineRule="auto"/>
        <w:ind w:left="-1260" w:leftChars="-600" w:right="-1153" w:rightChars="-549"/>
        <w:jc w:val="center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报告编号：</w:t>
      </w:r>
      <w:r>
        <w:rPr>
          <w:rFonts w:hint="eastAsia" w:ascii="仿宋" w:hAnsi="仿宋" w:eastAsia="仿宋" w:cs="仿宋"/>
          <w:sz w:val="24"/>
        </w:rPr>
        <w:t>XXXXXXXXXXXXXXXXXX</w:t>
      </w:r>
      <w:r>
        <w:rPr>
          <w:rFonts w:hint="eastAsia" w:ascii="仿宋" w:hAnsi="仿宋" w:eastAsia="仿宋" w:cs="仿宋"/>
          <w:b/>
          <w:bCs/>
          <w:sz w:val="24"/>
        </w:rPr>
        <w:tab/>
      </w:r>
      <w:r>
        <w:rPr>
          <w:rFonts w:hint="eastAsia" w:ascii="仿宋" w:hAnsi="仿宋" w:eastAsia="仿宋" w:cs="仿宋"/>
          <w:b/>
          <w:bCs/>
          <w:sz w:val="24"/>
        </w:rPr>
        <w:tab/>
      </w:r>
      <w:r>
        <w:rPr>
          <w:rFonts w:hint="eastAsia" w:ascii="仿宋" w:hAnsi="仿宋" w:eastAsia="仿宋" w:cs="仿宋"/>
          <w:b/>
          <w:bCs/>
          <w:sz w:val="24"/>
        </w:rPr>
        <w:tab/>
      </w:r>
      <w:r>
        <w:rPr>
          <w:rFonts w:hint="eastAsia" w:ascii="仿宋" w:hAnsi="仿宋" w:eastAsia="仿宋" w:cs="仿宋"/>
          <w:b/>
          <w:bCs/>
          <w:sz w:val="24"/>
        </w:rPr>
        <w:tab/>
      </w:r>
      <w:r>
        <w:rPr>
          <w:rFonts w:hint="eastAsia" w:ascii="仿宋" w:hAnsi="仿宋" w:eastAsia="仿宋" w:cs="仿宋"/>
          <w:b/>
          <w:bCs/>
          <w:sz w:val="24"/>
        </w:rPr>
        <w:t xml:space="preserve">            报告时间：202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24"/>
        </w:rPr>
        <w:t>-XX-XX XX:XX:XX</w:t>
      </w:r>
    </w:p>
    <w:tbl>
      <w:tblPr>
        <w:tblStyle w:val="7"/>
        <w:tblW w:w="107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2733"/>
        <w:gridCol w:w="1290"/>
        <w:gridCol w:w="1950"/>
        <w:gridCol w:w="1425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5" w:type="dxa"/>
            <w:gridSpan w:val="6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学生基本信息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学号</w:t>
            </w:r>
          </w:p>
        </w:tc>
        <w:tc>
          <w:tcPr>
            <w:tcW w:w="2733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123456</w:t>
            </w:r>
          </w:p>
        </w:tc>
        <w:tc>
          <w:tcPr>
            <w:tcW w:w="1290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考生号</w:t>
            </w:r>
          </w:p>
        </w:tc>
        <w:tc>
          <w:tcPr>
            <w:tcW w:w="1950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1234567</w:t>
            </w:r>
          </w:p>
        </w:tc>
        <w:tc>
          <w:tcPr>
            <w:tcW w:w="1425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2115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2733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XXXXXXXXXXXXXXXXXX</w:t>
            </w:r>
          </w:p>
        </w:tc>
        <w:tc>
          <w:tcPr>
            <w:tcW w:w="1290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1950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男</w:t>
            </w:r>
          </w:p>
        </w:tc>
        <w:tc>
          <w:tcPr>
            <w:tcW w:w="3540" w:type="dxa"/>
            <w:gridSpan w:val="2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学院</w:t>
            </w:r>
          </w:p>
        </w:tc>
        <w:tc>
          <w:tcPr>
            <w:tcW w:w="2733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XXXX学院</w:t>
            </w:r>
          </w:p>
        </w:tc>
        <w:tc>
          <w:tcPr>
            <w:tcW w:w="1290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</w:t>
            </w:r>
          </w:p>
        </w:tc>
        <w:tc>
          <w:tcPr>
            <w:tcW w:w="1950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XXXXX专业</w:t>
            </w:r>
          </w:p>
        </w:tc>
        <w:tc>
          <w:tcPr>
            <w:tcW w:w="1425" w:type="dxa"/>
          </w:tcPr>
          <w:p>
            <w:pPr>
              <w:spacing w:line="360" w:lineRule="auto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班级</w:t>
            </w:r>
          </w:p>
        </w:tc>
        <w:tc>
          <w:tcPr>
            <w:tcW w:w="2115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XXXX班</w:t>
            </w:r>
          </w:p>
        </w:tc>
      </w:tr>
    </w:tbl>
    <w:p>
      <w:pPr>
        <w:rPr>
          <w:rFonts w:ascii="仿宋" w:hAnsi="仿宋" w:eastAsia="仿宋" w:cs="仿宋"/>
        </w:rPr>
      </w:pPr>
    </w:p>
    <w:tbl>
      <w:tblPr>
        <w:tblStyle w:val="7"/>
        <w:tblW w:w="107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2127"/>
        <w:gridCol w:w="2167"/>
        <w:gridCol w:w="1980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5" w:type="dxa"/>
            <w:gridSpan w:val="5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人脸比对信息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比对项目</w:t>
            </w:r>
          </w:p>
        </w:tc>
        <w:tc>
          <w:tcPr>
            <w:tcW w:w="2127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比对结果</w:t>
            </w:r>
          </w:p>
        </w:tc>
        <w:tc>
          <w:tcPr>
            <w:tcW w:w="2167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身份证照片</w:t>
            </w:r>
          </w:p>
        </w:tc>
        <w:tc>
          <w:tcPr>
            <w:tcW w:w="1980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高考报名照片</w:t>
            </w:r>
          </w:p>
        </w:tc>
        <w:tc>
          <w:tcPr>
            <w:tcW w:w="2070" w:type="dxa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现场采集照片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2441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现场照片比对身份证照片</w:t>
            </w:r>
          </w:p>
        </w:tc>
        <w:tc>
          <w:tcPr>
            <w:tcW w:w="2127" w:type="dxa"/>
            <w:vAlign w:val="center"/>
          </w:tcPr>
          <w:p>
            <w:pPr>
              <w:spacing w:line="324" w:lineRule="auto"/>
            </w:pPr>
          </w:p>
        </w:tc>
        <w:tc>
          <w:tcPr>
            <w:tcW w:w="216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cs="仿宋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07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1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现场照片比对高考报名照片</w:t>
            </w:r>
          </w:p>
        </w:tc>
        <w:tc>
          <w:tcPr>
            <w:tcW w:w="2127" w:type="dxa"/>
          </w:tcPr>
          <w:p/>
        </w:tc>
        <w:tc>
          <w:tcPr>
            <w:tcW w:w="2167" w:type="dxa"/>
            <w:vMerge w:val="continue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70" w:type="dxa"/>
            <w:vMerge w:val="continue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441" w:type="dxa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最终比对结果</w:t>
            </w:r>
          </w:p>
        </w:tc>
        <w:tc>
          <w:tcPr>
            <w:tcW w:w="8344" w:type="dxa"/>
            <w:gridSpan w:val="4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机验通过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10785" w:type="dxa"/>
            <w:gridSpan w:val="5"/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比对结果说明：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pStyle w:val="25"/>
        <w:spacing w:line="360" w:lineRule="auto"/>
        <w:ind w:firstLine="0" w:firstLineChars="0"/>
        <w:rPr>
          <w:rFonts w:hint="eastAsia" w:ascii="宋体" w:hAnsi="宋体"/>
          <w:sz w:val="24"/>
        </w:rPr>
        <w:sectPr>
          <w:headerReference r:id="rId3" w:type="default"/>
          <w:footerReference r:id="rId4" w:type="default"/>
          <w:pgSz w:w="11906" w:h="16838"/>
          <w:pgMar w:top="1361" w:right="1361" w:bottom="1361" w:left="1361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ascii="宋体" w:hAnsi="宋体"/>
          <w:sz w:val="24"/>
        </w:rPr>
        <w:t>注</w:t>
      </w:r>
      <w:r>
        <w:rPr>
          <w:rFonts w:hint="eastAsia" w:ascii="宋体" w:hAnsi="宋体"/>
          <w:sz w:val="24"/>
        </w:rPr>
        <w:t>：报告样式可根据实际情况做微调</w:t>
      </w:r>
    </w:p>
    <w:p>
      <w:pPr>
        <w:spacing w:line="240" w:lineRule="auto"/>
      </w:pPr>
    </w:p>
    <w:sectPr>
      <w:pgSz w:w="11906" w:h="16838"/>
      <w:pgMar w:top="1361" w:right="1361" w:bottom="1361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Times New Roman" w:hAnsi="Times New Roman"/>
      </w:rPr>
      <w:pict>
        <v:shape id="文本框 2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  <w:r>
      <w:rPr>
        <w:rFonts w:ascii="Times New Roman" w:hAnsi="Times New Roman"/>
      </w:rPr>
      <w:pict>
        <v:shape id="文本框 3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7A7762"/>
    <w:multiLevelType w:val="multilevel"/>
    <w:tmpl w:val="2C7A7762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 w:eastAsia="黑体"/>
        <w:b/>
        <w:sz w:val="28"/>
      </w:rPr>
    </w:lvl>
    <w:lvl w:ilvl="1" w:tentative="0">
      <w:start w:val="1"/>
      <w:numFmt w:val="decimal"/>
      <w:pStyle w:val="16"/>
      <w:suff w:val="space"/>
      <w:lvlText w:val="%1.%2"/>
      <w:lvlJc w:val="left"/>
      <w:pPr>
        <w:ind w:left="0" w:firstLine="0"/>
      </w:pPr>
      <w:rPr>
        <w:rFonts w:hint="eastAsia" w:eastAsia="黑体"/>
        <w:sz w:val="28"/>
      </w:rPr>
    </w:lvl>
    <w:lvl w:ilvl="2" w:tentative="0">
      <w:start w:val="1"/>
      <w:numFmt w:val="decimal"/>
      <w:pStyle w:val="18"/>
      <w:lvlText w:val="%1.%2.%3"/>
      <w:lvlJc w:val="left"/>
      <w:pPr>
        <w:ind w:left="710" w:firstLine="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8"/>
        <w:u w:val="none"/>
        <w:vertAlign w:val="baseline"/>
      </w:rPr>
    </w:lvl>
    <w:lvl w:ilvl="3" w:tentative="0">
      <w:start w:val="1"/>
      <w:numFmt w:val="decimal"/>
      <w:pStyle w:val="19"/>
      <w:suff w:val="space"/>
      <w:lvlText w:val="%1.%2.%3.%4"/>
      <w:lvlJc w:val="left"/>
      <w:pPr>
        <w:ind w:left="0" w:firstLine="0"/>
      </w:pPr>
      <w:rPr>
        <w:rFonts w:hint="eastAsia" w:eastAsia="黑体"/>
        <w:sz w:val="21"/>
      </w:rPr>
    </w:lvl>
    <w:lvl w:ilvl="4" w:tentative="0">
      <w:start w:val="1"/>
      <w:numFmt w:val="decimal"/>
      <w:pStyle w:val="20"/>
      <w:lvlText w:val="%1.%2.%3.%4.%5"/>
      <w:lvlJc w:val="left"/>
      <w:pPr>
        <w:ind w:left="0" w:firstLine="0"/>
      </w:pPr>
      <w:rPr>
        <w:rFonts w:hint="eastAsia" w:eastAsia="黑体"/>
        <w:sz w:val="28"/>
      </w:rPr>
    </w:lvl>
    <w:lvl w:ilvl="5" w:tentative="0">
      <w:start w:val="1"/>
      <w:numFmt w:val="decimal"/>
      <w:pStyle w:val="21"/>
      <w:lvlText w:val="%1.%2.%3.%4.%5.%6"/>
      <w:lvlJc w:val="left"/>
      <w:pPr>
        <w:ind w:left="0" w:firstLine="0"/>
      </w:pPr>
      <w:rPr>
        <w:rFonts w:hint="eastAsia" w:eastAsia="黑体"/>
        <w:sz w:val="28"/>
      </w:rPr>
    </w:lvl>
    <w:lvl w:ilvl="6" w:tentative="0">
      <w:start w:val="1"/>
      <w:numFmt w:val="decimal"/>
      <w:pStyle w:val="22"/>
      <w:lvlText w:val="%1.%2.%3.%4.%5.%6.%7"/>
      <w:lvlJc w:val="left"/>
      <w:pPr>
        <w:ind w:left="0" w:firstLine="0"/>
      </w:pPr>
      <w:rPr>
        <w:rFonts w:hint="eastAsia" w:eastAsia="黑体"/>
        <w:sz w:val="28"/>
      </w:rPr>
    </w:lvl>
    <w:lvl w:ilvl="7" w:tentative="0">
      <w:start w:val="1"/>
      <w:numFmt w:val="decimal"/>
      <w:pStyle w:val="23"/>
      <w:lvlText w:val="%1.%2.%3.%4.%5.%6.%7.%8"/>
      <w:lvlJc w:val="left"/>
      <w:pPr>
        <w:ind w:left="0" w:firstLine="0"/>
      </w:pPr>
      <w:rPr>
        <w:rFonts w:hint="eastAsia" w:eastAsia="黑体"/>
        <w:sz w:val="28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zViYTA1YWNmYmEwMTFhY2VkZjFmMzY2OWMzYzU2Y2UifQ=="/>
  </w:docVars>
  <w:rsids>
    <w:rsidRoot w:val="00DC4751"/>
    <w:rsid w:val="00111042"/>
    <w:rsid w:val="001157FB"/>
    <w:rsid w:val="001A0DF3"/>
    <w:rsid w:val="002540E7"/>
    <w:rsid w:val="002D0036"/>
    <w:rsid w:val="002E0C4B"/>
    <w:rsid w:val="002F7E70"/>
    <w:rsid w:val="003241BC"/>
    <w:rsid w:val="003A30F9"/>
    <w:rsid w:val="003C0B3B"/>
    <w:rsid w:val="00400E06"/>
    <w:rsid w:val="0046485D"/>
    <w:rsid w:val="00482C75"/>
    <w:rsid w:val="004E5019"/>
    <w:rsid w:val="006267D3"/>
    <w:rsid w:val="006C0EC8"/>
    <w:rsid w:val="007A32CD"/>
    <w:rsid w:val="00821E30"/>
    <w:rsid w:val="00822E73"/>
    <w:rsid w:val="0082692D"/>
    <w:rsid w:val="00880EEB"/>
    <w:rsid w:val="008D3FEB"/>
    <w:rsid w:val="0091515F"/>
    <w:rsid w:val="009328F2"/>
    <w:rsid w:val="009D2EBA"/>
    <w:rsid w:val="009F1E93"/>
    <w:rsid w:val="009F5633"/>
    <w:rsid w:val="00AE31DC"/>
    <w:rsid w:val="00B25720"/>
    <w:rsid w:val="00B277A9"/>
    <w:rsid w:val="00BF3BF5"/>
    <w:rsid w:val="00C43545"/>
    <w:rsid w:val="00CE4E7A"/>
    <w:rsid w:val="00CF1605"/>
    <w:rsid w:val="00D165DA"/>
    <w:rsid w:val="00D63C78"/>
    <w:rsid w:val="00D9438A"/>
    <w:rsid w:val="00DC0462"/>
    <w:rsid w:val="00DC4751"/>
    <w:rsid w:val="00E27C86"/>
    <w:rsid w:val="00E40434"/>
    <w:rsid w:val="00EE3F63"/>
    <w:rsid w:val="00EF03A3"/>
    <w:rsid w:val="00F026E8"/>
    <w:rsid w:val="00F7173F"/>
    <w:rsid w:val="024A793F"/>
    <w:rsid w:val="09FC27C5"/>
    <w:rsid w:val="0A2F1F54"/>
    <w:rsid w:val="13F25F1E"/>
    <w:rsid w:val="2700658E"/>
    <w:rsid w:val="2B1976F9"/>
    <w:rsid w:val="2FA051DD"/>
    <w:rsid w:val="30040028"/>
    <w:rsid w:val="31AD5583"/>
    <w:rsid w:val="367C3E43"/>
    <w:rsid w:val="37C706D1"/>
    <w:rsid w:val="4A6F3D58"/>
    <w:rsid w:val="5626063E"/>
    <w:rsid w:val="5E291FE2"/>
    <w:rsid w:val="5E853FB6"/>
    <w:rsid w:val="613A1A3F"/>
    <w:rsid w:val="67882BF4"/>
    <w:rsid w:val="69CD6C79"/>
    <w:rsid w:val="743167BE"/>
    <w:rsid w:val="79DF3B52"/>
    <w:rsid w:val="7C3A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autoRedefine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3">
    <w:name w:val="Body Text Indent"/>
    <w:basedOn w:val="1"/>
    <w:link w:val="15"/>
    <w:autoRedefine/>
    <w:qFormat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4">
    <w:name w:val="footer"/>
    <w:basedOn w:val="1"/>
    <w:link w:val="14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22"/>
    <w:rPr>
      <w:rFonts w:cs="Times New Roman"/>
      <w:b/>
      <w:bCs/>
    </w:rPr>
  </w:style>
  <w:style w:type="character" w:styleId="10">
    <w:name w:val="page number"/>
    <w:basedOn w:val="8"/>
    <w:autoRedefine/>
    <w:qFormat/>
    <w:uiPriority w:val="0"/>
  </w:style>
  <w:style w:type="paragraph" w:customStyle="1" w:styleId="11">
    <w:name w:val="列出段落1"/>
    <w:basedOn w:val="1"/>
    <w:autoRedefine/>
    <w:qFormat/>
    <w:uiPriority w:val="0"/>
    <w:pPr>
      <w:ind w:firstLine="420" w:firstLineChars="200"/>
    </w:pPr>
    <w:rPr>
      <w:rFonts w:ascii="Times New Roman" w:hAnsi="Times New Roman"/>
      <w:szCs w:val="21"/>
    </w:rPr>
  </w:style>
  <w:style w:type="paragraph" w:customStyle="1" w:styleId="12">
    <w:name w:val="列出段落2"/>
    <w:basedOn w:val="1"/>
    <w:autoRedefine/>
    <w:qFormat/>
    <w:uiPriority w:val="0"/>
    <w:pPr>
      <w:ind w:firstLine="420" w:firstLineChars="200"/>
    </w:pPr>
  </w:style>
  <w:style w:type="character" w:customStyle="1" w:styleId="13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autoRedefine/>
    <w:qFormat/>
    <w:uiPriority w:val="0"/>
    <w:rPr>
      <w:sz w:val="18"/>
      <w:szCs w:val="18"/>
    </w:rPr>
  </w:style>
  <w:style w:type="character" w:customStyle="1" w:styleId="15">
    <w:name w:val="正文文本缩进 Char"/>
    <w:basedOn w:val="8"/>
    <w:link w:val="3"/>
    <w:autoRedefine/>
    <w:qFormat/>
    <w:uiPriority w:val="0"/>
    <w:rPr>
      <w:rFonts w:ascii="宋体" w:hAnsi="宋体" w:eastAsia="华文中宋" w:cs="宋体"/>
      <w:sz w:val="28"/>
      <w:szCs w:val="28"/>
    </w:rPr>
  </w:style>
  <w:style w:type="paragraph" w:customStyle="1" w:styleId="16">
    <w:name w:val="wxp标题2"/>
    <w:basedOn w:val="1"/>
    <w:link w:val="17"/>
    <w:autoRedefine/>
    <w:qFormat/>
    <w:uiPriority w:val="0"/>
    <w:pPr>
      <w:widowControl/>
      <w:numPr>
        <w:ilvl w:val="1"/>
        <w:numId w:val="1"/>
      </w:numPr>
      <w:spacing w:line="360" w:lineRule="auto"/>
      <w:jc w:val="left"/>
      <w:outlineLvl w:val="1"/>
    </w:pPr>
    <w:rPr>
      <w:rFonts w:ascii="宋体" w:hAnsi="宋体" w:cstheme="minorBidi"/>
      <w:b/>
      <w:sz w:val="28"/>
    </w:rPr>
  </w:style>
  <w:style w:type="character" w:customStyle="1" w:styleId="17">
    <w:name w:val="wxp标题2 字符"/>
    <w:basedOn w:val="8"/>
    <w:link w:val="16"/>
    <w:autoRedefine/>
    <w:qFormat/>
    <w:uiPriority w:val="0"/>
    <w:rPr>
      <w:rFonts w:ascii="宋体" w:hAnsi="宋体" w:cstheme="minorBidi"/>
      <w:b/>
      <w:kern w:val="2"/>
      <w:sz w:val="28"/>
      <w:szCs w:val="22"/>
    </w:rPr>
  </w:style>
  <w:style w:type="paragraph" w:customStyle="1" w:styleId="18">
    <w:name w:val="wxp标题3"/>
    <w:basedOn w:val="16"/>
    <w:autoRedefine/>
    <w:qFormat/>
    <w:uiPriority w:val="0"/>
    <w:pPr>
      <w:numPr>
        <w:ilvl w:val="2"/>
      </w:numPr>
      <w:adjustRightInd w:val="0"/>
      <w:ind w:left="0"/>
      <w:outlineLvl w:val="2"/>
    </w:pPr>
    <w:rPr>
      <w:szCs w:val="28"/>
    </w:rPr>
  </w:style>
  <w:style w:type="paragraph" w:customStyle="1" w:styleId="19">
    <w:name w:val="wxp标题4"/>
    <w:basedOn w:val="1"/>
    <w:autoRedefine/>
    <w:qFormat/>
    <w:uiPriority w:val="0"/>
    <w:pPr>
      <w:widowControl/>
      <w:numPr>
        <w:ilvl w:val="3"/>
        <w:numId w:val="1"/>
      </w:numPr>
      <w:spacing w:line="360" w:lineRule="auto"/>
      <w:jc w:val="left"/>
      <w:outlineLvl w:val="3"/>
    </w:pPr>
    <w:rPr>
      <w:rFonts w:ascii="宋体" w:hAnsi="宋体" w:cstheme="minorBidi"/>
      <w:b/>
      <w:sz w:val="24"/>
      <w:szCs w:val="28"/>
    </w:rPr>
  </w:style>
  <w:style w:type="paragraph" w:customStyle="1" w:styleId="20">
    <w:name w:val="wxp标题5"/>
    <w:basedOn w:val="1"/>
    <w:autoRedefine/>
    <w:qFormat/>
    <w:uiPriority w:val="0"/>
    <w:pPr>
      <w:widowControl/>
      <w:numPr>
        <w:ilvl w:val="4"/>
        <w:numId w:val="1"/>
      </w:numPr>
      <w:spacing w:line="360" w:lineRule="auto"/>
      <w:jc w:val="left"/>
      <w:outlineLvl w:val="4"/>
    </w:pPr>
    <w:rPr>
      <w:rFonts w:ascii="宋体" w:hAnsi="宋体" w:cstheme="minorBidi"/>
      <w:b/>
    </w:rPr>
  </w:style>
  <w:style w:type="paragraph" w:customStyle="1" w:styleId="21">
    <w:name w:val="wxp标题6"/>
    <w:basedOn w:val="20"/>
    <w:autoRedefine/>
    <w:qFormat/>
    <w:uiPriority w:val="0"/>
    <w:pPr>
      <w:numPr>
        <w:ilvl w:val="5"/>
      </w:numPr>
      <w:outlineLvl w:val="5"/>
    </w:pPr>
  </w:style>
  <w:style w:type="paragraph" w:customStyle="1" w:styleId="22">
    <w:name w:val="wxp标题7"/>
    <w:basedOn w:val="21"/>
    <w:autoRedefine/>
    <w:qFormat/>
    <w:uiPriority w:val="0"/>
    <w:pPr>
      <w:numPr>
        <w:ilvl w:val="6"/>
      </w:numPr>
      <w:outlineLvl w:val="6"/>
    </w:pPr>
  </w:style>
  <w:style w:type="paragraph" w:customStyle="1" w:styleId="23">
    <w:name w:val="wxp标题8"/>
    <w:basedOn w:val="22"/>
    <w:autoRedefine/>
    <w:qFormat/>
    <w:uiPriority w:val="0"/>
    <w:pPr>
      <w:numPr>
        <w:ilvl w:val="7"/>
      </w:numPr>
      <w:outlineLvl w:val="7"/>
    </w:pPr>
  </w:style>
  <w:style w:type="character" w:customStyle="1" w:styleId="24">
    <w:name w:val="16"/>
    <w:basedOn w:val="8"/>
    <w:autoRedefine/>
    <w:qFormat/>
    <w:uiPriority w:val="0"/>
  </w:style>
  <w:style w:type="paragraph" w:styleId="25">
    <w:name w:val="List Paragraph"/>
    <w:basedOn w:val="1"/>
    <w:autoRedefine/>
    <w:unhideWhenUsed/>
    <w:qFormat/>
    <w:uiPriority w:val="99"/>
    <w:pPr>
      <w:spacing w:line="324" w:lineRule="auto"/>
      <w:ind w:firstLine="42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505</Words>
  <Characters>2883</Characters>
  <Lines>24</Lines>
  <Paragraphs>6</Paragraphs>
  <TotalTime>5</TotalTime>
  <ScaleCrop>false</ScaleCrop>
  <LinksUpToDate>false</LinksUpToDate>
  <CharactersWithSpaces>3382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2017-07-13T00:37:00Z</dcterms:created>
  <dc:creator>acer</dc:creator>
  <cp:lastModifiedBy>WPS_1683679694</cp:lastModifiedBy>
  <cp:lastPrinted>2024-05-14T00:34:00Z</cp:lastPrinted>
  <dcterms:modified xsi:type="dcterms:W3CDTF">2024-05-14T07:04:06Z</dcterms:modified>
  <dc:title>铜陵学院《学生管理手册》和《助学贷款办理指南》材料印制项目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908DB02B1BAD49B19E4C6E6135CBBA09_12</vt:lpwstr>
  </property>
</Properties>
</file>