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ind w:firstLine="450"/>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铜陵学院202</w:t>
      </w:r>
      <w:r>
        <w:rPr>
          <w:rFonts w:hint="eastAsia" w:ascii="仿宋" w:hAnsi="仿宋" w:eastAsia="仿宋" w:cs="仿宋"/>
          <w:b/>
          <w:bCs/>
          <w:color w:val="auto"/>
          <w:sz w:val="30"/>
          <w:szCs w:val="30"/>
          <w:lang w:val="en-US" w:eastAsia="zh-CN"/>
        </w:rPr>
        <w:t>2-2023</w:t>
      </w:r>
      <w:r>
        <w:rPr>
          <w:rFonts w:hint="eastAsia" w:ascii="仿宋" w:hAnsi="仿宋" w:eastAsia="仿宋" w:cs="仿宋"/>
          <w:b/>
          <w:bCs/>
          <w:color w:val="auto"/>
          <w:sz w:val="30"/>
          <w:szCs w:val="30"/>
          <w:lang w:eastAsia="zh-CN"/>
        </w:rPr>
        <w:t>年度</w:t>
      </w:r>
      <w:r>
        <w:rPr>
          <w:rFonts w:hint="eastAsia" w:ascii="仿宋" w:hAnsi="仿宋" w:eastAsia="仿宋" w:cs="仿宋"/>
          <w:b/>
          <w:bCs/>
          <w:color w:val="auto"/>
          <w:sz w:val="30"/>
          <w:szCs w:val="30"/>
        </w:rPr>
        <w:t>燃气体泄漏</w:t>
      </w:r>
      <w:r>
        <w:rPr>
          <w:rFonts w:hint="eastAsia" w:ascii="仿宋" w:hAnsi="仿宋" w:eastAsia="仿宋" w:cs="仿宋"/>
          <w:b/>
          <w:bCs/>
          <w:color w:val="auto"/>
          <w:sz w:val="30"/>
          <w:szCs w:val="30"/>
          <w:lang w:eastAsia="zh-CN"/>
        </w:rPr>
        <w:t>报警探测</w:t>
      </w:r>
      <w:r>
        <w:rPr>
          <w:rFonts w:hint="eastAsia" w:ascii="仿宋" w:hAnsi="仿宋" w:eastAsia="仿宋" w:cs="仿宋"/>
          <w:b/>
          <w:bCs/>
          <w:color w:val="auto"/>
          <w:sz w:val="30"/>
          <w:szCs w:val="30"/>
        </w:rPr>
        <w:t>器</w:t>
      </w:r>
      <w:r>
        <w:rPr>
          <w:rFonts w:hint="eastAsia" w:ascii="仿宋" w:hAnsi="仿宋" w:eastAsia="仿宋" w:cs="仿宋"/>
          <w:b/>
          <w:bCs/>
          <w:color w:val="auto"/>
          <w:sz w:val="30"/>
          <w:szCs w:val="30"/>
          <w:lang w:eastAsia="zh-CN"/>
        </w:rPr>
        <w:t>维护保养与委托检定服务市场比价采购</w:t>
      </w:r>
      <w:r>
        <w:rPr>
          <w:rFonts w:hint="eastAsia" w:ascii="仿宋" w:hAnsi="仿宋" w:eastAsia="仿宋" w:cs="仿宋"/>
          <w:b/>
          <w:bCs/>
          <w:color w:val="auto"/>
          <w:sz w:val="30"/>
          <w:szCs w:val="30"/>
        </w:rPr>
        <w:t>公告</w:t>
      </w:r>
    </w:p>
    <w:p>
      <w:pPr>
        <w:pStyle w:val="2"/>
        <w:spacing w:line="400" w:lineRule="exact"/>
        <w:ind w:firstLine="360"/>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项目编号：tlxyzb[202</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73</w:t>
      </w:r>
      <w:r>
        <w:rPr>
          <w:rFonts w:hint="eastAsia" w:ascii="仿宋" w:hAnsi="仿宋" w:eastAsia="仿宋" w:cs="仿宋"/>
          <w:color w:val="auto"/>
          <w:sz w:val="24"/>
          <w:szCs w:val="24"/>
        </w:rPr>
        <w:t>号</w:t>
      </w:r>
    </w:p>
    <w:p>
      <w:pPr>
        <w:pStyle w:val="2"/>
        <w:spacing w:line="400" w:lineRule="exact"/>
        <w:ind w:firstLine="600" w:firstLineChars="250"/>
        <w:rPr>
          <w:rFonts w:hint="eastAsia" w:ascii="仿宋" w:hAnsi="仿宋" w:eastAsia="仿宋" w:cs="仿宋"/>
          <w:color w:val="auto"/>
          <w:sz w:val="24"/>
          <w:szCs w:val="24"/>
        </w:rPr>
      </w:pPr>
      <w:r>
        <w:rPr>
          <w:rFonts w:hint="eastAsia" w:ascii="仿宋" w:hAnsi="仿宋" w:eastAsia="仿宋" w:cs="仿宋"/>
          <w:color w:val="auto"/>
          <w:sz w:val="24"/>
          <w:szCs w:val="24"/>
        </w:rPr>
        <w:t>铜陵学院为确保在用燃气设备设施安全运行，拟对本校翠湖校区东、西食堂内燃气泄漏报警系统进行维护保养与检定。经研究，现将该项目采用</w:t>
      </w:r>
      <w:r>
        <w:rPr>
          <w:rFonts w:hint="eastAsia" w:ascii="仿宋" w:hAnsi="仿宋" w:eastAsia="仿宋" w:cs="仿宋"/>
          <w:color w:val="auto"/>
          <w:sz w:val="24"/>
          <w:szCs w:val="24"/>
          <w:lang w:eastAsia="zh-CN"/>
        </w:rPr>
        <w:t>市场比价</w:t>
      </w:r>
      <w:r>
        <w:rPr>
          <w:rFonts w:hint="eastAsia" w:ascii="仿宋" w:hAnsi="仿宋" w:eastAsia="仿宋" w:cs="仿宋"/>
          <w:color w:val="auto"/>
          <w:sz w:val="24"/>
          <w:szCs w:val="24"/>
        </w:rPr>
        <w:t>方式进行采购，欢迎具有经营经销资格和供应能力的供应商参与投标。有关具体事项公告如下：</w:t>
      </w:r>
    </w:p>
    <w:p>
      <w:pPr>
        <w:pStyle w:val="2"/>
        <w:spacing w:line="400" w:lineRule="exact"/>
        <w:ind w:firstLine="361"/>
        <w:rPr>
          <w:rFonts w:hint="eastAsia" w:ascii="仿宋" w:hAnsi="仿宋" w:eastAsia="仿宋" w:cs="仿宋"/>
          <w:b/>
          <w:bCs/>
          <w:color w:val="auto"/>
          <w:sz w:val="24"/>
          <w:szCs w:val="24"/>
        </w:rPr>
      </w:pPr>
      <w:r>
        <w:rPr>
          <w:rFonts w:hint="eastAsia" w:ascii="仿宋" w:hAnsi="仿宋" w:eastAsia="仿宋" w:cs="仿宋"/>
          <w:b/>
          <w:bCs/>
          <w:color w:val="auto"/>
          <w:sz w:val="24"/>
          <w:szCs w:val="24"/>
        </w:rPr>
        <w:t>一、项目概况：</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（一）项目名称：铜陵学院2022-2023年度燃气体泄漏报警探测器维护保养与委托</w:t>
      </w:r>
      <w:r>
        <w:rPr>
          <w:rFonts w:hint="eastAsia" w:ascii="仿宋" w:hAnsi="仿宋" w:eastAsia="仿宋" w:cs="仿宋"/>
          <w:color w:val="auto"/>
          <w:sz w:val="24"/>
          <w:szCs w:val="24"/>
          <w:lang w:eastAsia="zh-CN"/>
        </w:rPr>
        <w:t>检定</w:t>
      </w:r>
      <w:r>
        <w:rPr>
          <w:rFonts w:hint="eastAsia" w:ascii="仿宋" w:hAnsi="仿宋" w:eastAsia="仿宋" w:cs="仿宋"/>
          <w:color w:val="auto"/>
          <w:sz w:val="24"/>
          <w:szCs w:val="24"/>
        </w:rPr>
        <w:t>。</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（二）项目内容：</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 xml:space="preserve"> 1. 采购内容：铜陵学院翠湖校区现有总线制可燃气体报警控制器7台，点型可燃气体探测器70台需进行维护保养与检定</w:t>
      </w:r>
      <w:r>
        <w:rPr>
          <w:rFonts w:hint="eastAsia" w:ascii="仿宋" w:hAnsi="仿宋" w:eastAsia="仿宋" w:cs="仿宋"/>
          <w:color w:val="auto"/>
          <w:sz w:val="24"/>
          <w:szCs w:val="24"/>
          <w:lang w:eastAsia="zh-CN"/>
        </w:rPr>
        <w:t>。</w:t>
      </w:r>
    </w:p>
    <w:p>
      <w:pPr>
        <w:spacing w:line="410" w:lineRule="exact"/>
        <w:ind w:firstLine="480" w:firstLineChars="200"/>
        <w:jc w:val="left"/>
        <w:rPr>
          <w:rFonts w:hint="eastAsia" w:ascii="仿宋" w:hAnsi="仿宋" w:eastAsia="仿宋" w:cs="仿宋"/>
          <w:b w:val="0"/>
          <w:bCs w:val="0"/>
          <w:kern w:val="0"/>
          <w:sz w:val="24"/>
          <w:szCs w:val="24"/>
          <w:lang w:eastAsia="zh-CN"/>
        </w:rPr>
      </w:pPr>
      <w:r>
        <w:rPr>
          <w:rFonts w:hint="eastAsia" w:ascii="仿宋" w:hAnsi="仿宋" w:eastAsia="仿宋" w:cs="仿宋"/>
          <w:color w:val="auto"/>
          <w:sz w:val="24"/>
          <w:szCs w:val="24"/>
          <w:lang w:val="en-US" w:eastAsia="zh-CN"/>
        </w:rPr>
        <w:t>2.</w:t>
      </w:r>
      <w:r>
        <w:rPr>
          <w:rFonts w:hint="eastAsia" w:ascii="仿宋" w:hAnsi="仿宋" w:eastAsia="仿宋" w:cs="仿宋"/>
          <w:b w:val="0"/>
          <w:bCs w:val="0"/>
          <w:kern w:val="0"/>
          <w:sz w:val="24"/>
          <w:szCs w:val="24"/>
        </w:rPr>
        <w:t>服务要求</w:t>
      </w:r>
      <w:r>
        <w:rPr>
          <w:rFonts w:hint="eastAsia" w:ascii="仿宋" w:hAnsi="仿宋" w:eastAsia="仿宋" w:cs="仿宋"/>
          <w:b w:val="0"/>
          <w:bCs w:val="0"/>
          <w:kern w:val="0"/>
          <w:sz w:val="24"/>
          <w:szCs w:val="24"/>
          <w:lang w:eastAsia="zh-CN"/>
        </w:rPr>
        <w:t>：</w:t>
      </w:r>
    </w:p>
    <w:p>
      <w:pPr>
        <w:spacing w:line="360" w:lineRule="auto"/>
        <w:ind w:firstLine="480" w:firstLineChars="200"/>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lang w:eastAsia="zh-CN"/>
        </w:rPr>
        <w:t>（</w:t>
      </w:r>
      <w:r>
        <w:rPr>
          <w:rFonts w:hint="eastAsia" w:ascii="仿宋" w:hAnsi="仿宋" w:eastAsia="仿宋" w:cs="仿宋"/>
          <w:sz w:val="24"/>
          <w:szCs w:val="24"/>
          <w:shd w:val="clear" w:color="auto" w:fill="FFFFFF"/>
          <w:lang w:val="en-US" w:eastAsia="zh-CN"/>
        </w:rPr>
        <w:t>1</w:t>
      </w:r>
      <w:r>
        <w:rPr>
          <w:rFonts w:hint="eastAsia" w:ascii="仿宋" w:hAnsi="仿宋" w:eastAsia="仿宋" w:cs="仿宋"/>
          <w:sz w:val="24"/>
          <w:szCs w:val="24"/>
          <w:shd w:val="clear" w:color="auto" w:fill="FFFFFF"/>
          <w:lang w:eastAsia="zh-CN"/>
        </w:rPr>
        <w:t>）</w:t>
      </w:r>
      <w:r>
        <w:rPr>
          <w:rFonts w:hint="eastAsia" w:ascii="仿宋" w:hAnsi="仿宋" w:eastAsia="仿宋" w:cs="仿宋"/>
          <w:sz w:val="24"/>
          <w:szCs w:val="24"/>
          <w:shd w:val="clear" w:color="auto" w:fill="FFFFFF"/>
        </w:rPr>
        <w:t>维保内容和周期</w:t>
      </w:r>
    </w:p>
    <w:tbl>
      <w:tblPr>
        <w:tblStyle w:val="8"/>
        <w:tblW w:w="878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969"/>
        <w:gridCol w:w="969"/>
        <w:gridCol w:w="960"/>
        <w:gridCol w:w="1020"/>
        <w:gridCol w:w="1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vAlign w:val="center"/>
          </w:tcPr>
          <w:p>
            <w:pPr>
              <w:spacing w:line="360" w:lineRule="auto"/>
              <w:jc w:val="center"/>
              <w:rPr>
                <w:rFonts w:hint="eastAsia" w:ascii="仿宋" w:hAnsi="仿宋" w:eastAsia="仿宋" w:cs="仿宋"/>
              </w:rPr>
            </w:pPr>
            <w:r>
              <w:rPr>
                <w:rFonts w:hint="eastAsia" w:ascii="仿宋" w:hAnsi="仿宋" w:eastAsia="仿宋" w:cs="仿宋"/>
              </w:rPr>
              <w:t>序号</w:t>
            </w:r>
          </w:p>
        </w:tc>
        <w:tc>
          <w:tcPr>
            <w:tcW w:w="3969" w:type="dxa"/>
            <w:vMerge w:val="restart"/>
            <w:vAlign w:val="center"/>
          </w:tcPr>
          <w:p>
            <w:pPr>
              <w:spacing w:line="360" w:lineRule="auto"/>
              <w:jc w:val="center"/>
              <w:rPr>
                <w:rFonts w:hint="eastAsia" w:ascii="仿宋" w:hAnsi="仿宋" w:eastAsia="仿宋" w:cs="仿宋"/>
              </w:rPr>
            </w:pPr>
            <w:r>
              <w:rPr>
                <w:rFonts w:hint="eastAsia" w:ascii="仿宋" w:hAnsi="仿宋" w:eastAsia="仿宋" w:cs="仿宋"/>
              </w:rPr>
              <w:t>维保内容</w:t>
            </w:r>
          </w:p>
        </w:tc>
        <w:tc>
          <w:tcPr>
            <w:tcW w:w="2949" w:type="dxa"/>
            <w:gridSpan w:val="3"/>
            <w:vAlign w:val="center"/>
          </w:tcPr>
          <w:p>
            <w:pPr>
              <w:spacing w:line="360" w:lineRule="auto"/>
              <w:jc w:val="center"/>
              <w:rPr>
                <w:rFonts w:hint="eastAsia" w:ascii="仿宋" w:hAnsi="仿宋" w:eastAsia="仿宋" w:cs="仿宋"/>
              </w:rPr>
            </w:pPr>
            <w:r>
              <w:rPr>
                <w:rFonts w:hint="eastAsia" w:ascii="仿宋" w:hAnsi="仿宋" w:eastAsia="仿宋" w:cs="仿宋"/>
              </w:rPr>
              <w:t>维保周期</w:t>
            </w:r>
          </w:p>
        </w:tc>
        <w:tc>
          <w:tcPr>
            <w:tcW w:w="1162" w:type="dxa"/>
            <w:vMerge w:val="restart"/>
            <w:vAlign w:val="center"/>
          </w:tcPr>
          <w:p>
            <w:pPr>
              <w:spacing w:line="360" w:lineRule="auto"/>
              <w:jc w:val="center"/>
              <w:rPr>
                <w:rFonts w:hint="eastAsia" w:ascii="仿宋" w:hAnsi="仿宋" w:eastAsia="仿宋" w:cs="仿宋"/>
              </w:rPr>
            </w:pPr>
            <w:r>
              <w:rPr>
                <w:rFonts w:hint="eastAsia" w:ascii="仿宋" w:hAnsi="仿宋" w:eastAsia="仿宋" w:cs="仿宋"/>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spacing w:line="360" w:lineRule="auto"/>
              <w:jc w:val="center"/>
              <w:rPr>
                <w:rFonts w:hint="eastAsia" w:ascii="仿宋" w:hAnsi="仿宋" w:eastAsia="仿宋" w:cs="仿宋"/>
              </w:rPr>
            </w:pPr>
          </w:p>
        </w:tc>
        <w:tc>
          <w:tcPr>
            <w:tcW w:w="3969" w:type="dxa"/>
            <w:vMerge w:val="continue"/>
            <w:vAlign w:val="center"/>
          </w:tcPr>
          <w:p>
            <w:pPr>
              <w:spacing w:line="360" w:lineRule="auto"/>
              <w:jc w:val="center"/>
              <w:rPr>
                <w:rFonts w:hint="eastAsia" w:ascii="仿宋" w:hAnsi="仿宋" w:eastAsia="仿宋" w:cs="仿宋"/>
              </w:rPr>
            </w:pP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每月</w:t>
            </w:r>
          </w:p>
        </w:tc>
        <w:tc>
          <w:tcPr>
            <w:tcW w:w="960" w:type="dxa"/>
            <w:vAlign w:val="center"/>
          </w:tcPr>
          <w:p>
            <w:pPr>
              <w:spacing w:line="360" w:lineRule="auto"/>
              <w:jc w:val="center"/>
              <w:rPr>
                <w:rFonts w:hint="eastAsia" w:ascii="仿宋" w:hAnsi="仿宋" w:eastAsia="仿宋" w:cs="仿宋"/>
              </w:rPr>
            </w:pPr>
            <w:r>
              <w:rPr>
                <w:rFonts w:hint="eastAsia" w:ascii="仿宋" w:hAnsi="仿宋" w:eastAsia="仿宋" w:cs="仿宋"/>
              </w:rPr>
              <w:t>每季度</w:t>
            </w:r>
          </w:p>
        </w:tc>
        <w:tc>
          <w:tcPr>
            <w:tcW w:w="1020" w:type="dxa"/>
            <w:vAlign w:val="center"/>
          </w:tcPr>
          <w:p>
            <w:pPr>
              <w:spacing w:line="360" w:lineRule="auto"/>
              <w:jc w:val="center"/>
              <w:rPr>
                <w:rFonts w:hint="eastAsia" w:ascii="仿宋" w:hAnsi="仿宋" w:eastAsia="仿宋" w:cs="仿宋"/>
              </w:rPr>
            </w:pPr>
            <w:r>
              <w:rPr>
                <w:rFonts w:hint="eastAsia" w:ascii="仿宋" w:hAnsi="仿宋" w:eastAsia="仿宋" w:cs="仿宋"/>
              </w:rPr>
              <w:t>半年</w:t>
            </w:r>
          </w:p>
        </w:tc>
        <w:tc>
          <w:tcPr>
            <w:tcW w:w="1162" w:type="dxa"/>
            <w:vMerge w:val="continue"/>
            <w:vAlign w:val="center"/>
          </w:tcPr>
          <w:p>
            <w:pPr>
              <w:spacing w:line="360" w:lineRule="auto"/>
              <w:jc w:val="center"/>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探测器器外观</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2</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控制器运行状态</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3</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控制器隔离功能</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4</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控制器自检功能</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5</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控制器消音和复位功能</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6</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控制器故障报警功能</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7</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主、备用电源自动转换功能</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8</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事故排风机功能</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9</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报警控制器打印机功能</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10</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探测器清洁</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11</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报警控制器、电源模块、联动控制箱清洁</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12</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探测器漂移调整</w:t>
            </w:r>
          </w:p>
        </w:tc>
        <w:tc>
          <w:tcPr>
            <w:tcW w:w="969" w:type="dxa"/>
            <w:vAlign w:val="center"/>
          </w:tcPr>
          <w:p>
            <w:pPr>
              <w:spacing w:line="360" w:lineRule="auto"/>
              <w:jc w:val="center"/>
              <w:rPr>
                <w:rFonts w:hint="eastAsia" w:ascii="仿宋" w:hAnsi="仿宋" w:eastAsia="仿宋" w:cs="仿宋"/>
              </w:rPr>
            </w:pP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rPr>
                <w:rFonts w:hint="eastAsia" w:ascii="仿宋" w:hAnsi="仿宋" w:eastAsia="仿宋" w:cs="仿宋"/>
              </w:rPr>
            </w:pPr>
            <w:r>
              <w:rPr>
                <w:rFonts w:hint="eastAsia" w:ascii="仿宋" w:hAnsi="仿宋" w:eastAsia="仿宋" w:cs="仿宋"/>
              </w:rPr>
              <w:t>根据实际检查情况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13</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控制器接线、保护接地端子检查</w:t>
            </w:r>
          </w:p>
        </w:tc>
        <w:tc>
          <w:tcPr>
            <w:tcW w:w="969"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14</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探测器报警功能</w:t>
            </w:r>
          </w:p>
        </w:tc>
        <w:tc>
          <w:tcPr>
            <w:tcW w:w="969" w:type="dxa"/>
            <w:vAlign w:val="center"/>
          </w:tcPr>
          <w:p>
            <w:pPr>
              <w:spacing w:line="360" w:lineRule="auto"/>
              <w:jc w:val="center"/>
              <w:rPr>
                <w:rFonts w:hint="eastAsia" w:ascii="仿宋" w:hAnsi="仿宋" w:eastAsia="仿宋" w:cs="仿宋"/>
              </w:rPr>
            </w:pPr>
          </w:p>
        </w:tc>
        <w:tc>
          <w:tcPr>
            <w:tcW w:w="960"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15</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控制器报警功能</w:t>
            </w:r>
          </w:p>
        </w:tc>
        <w:tc>
          <w:tcPr>
            <w:tcW w:w="969" w:type="dxa"/>
            <w:vAlign w:val="center"/>
          </w:tcPr>
          <w:p>
            <w:pPr>
              <w:spacing w:line="360" w:lineRule="auto"/>
              <w:jc w:val="center"/>
              <w:rPr>
                <w:rFonts w:hint="eastAsia" w:ascii="仿宋" w:hAnsi="仿宋" w:eastAsia="仿宋" w:cs="仿宋"/>
              </w:rPr>
            </w:pPr>
          </w:p>
        </w:tc>
        <w:tc>
          <w:tcPr>
            <w:tcW w:w="960"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16</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电磁阀控制功能</w:t>
            </w:r>
          </w:p>
        </w:tc>
        <w:tc>
          <w:tcPr>
            <w:tcW w:w="969" w:type="dxa"/>
            <w:vAlign w:val="center"/>
          </w:tcPr>
          <w:p>
            <w:pPr>
              <w:spacing w:line="360" w:lineRule="auto"/>
              <w:jc w:val="center"/>
              <w:rPr>
                <w:rFonts w:hint="eastAsia" w:ascii="仿宋" w:hAnsi="仿宋" w:eastAsia="仿宋" w:cs="仿宋"/>
              </w:rPr>
            </w:pPr>
          </w:p>
        </w:tc>
        <w:tc>
          <w:tcPr>
            <w:tcW w:w="960"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17</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控制器可燃气报警浓度显示功能</w:t>
            </w:r>
          </w:p>
        </w:tc>
        <w:tc>
          <w:tcPr>
            <w:tcW w:w="969" w:type="dxa"/>
            <w:vAlign w:val="center"/>
          </w:tcPr>
          <w:p>
            <w:pPr>
              <w:spacing w:line="360" w:lineRule="auto"/>
              <w:jc w:val="center"/>
              <w:rPr>
                <w:rFonts w:hint="eastAsia" w:ascii="仿宋" w:hAnsi="仿宋" w:eastAsia="仿宋" w:cs="仿宋"/>
              </w:rPr>
            </w:pPr>
          </w:p>
        </w:tc>
        <w:tc>
          <w:tcPr>
            <w:tcW w:w="960"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18</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控制器备用电源放电试验</w:t>
            </w:r>
          </w:p>
        </w:tc>
        <w:tc>
          <w:tcPr>
            <w:tcW w:w="969" w:type="dxa"/>
            <w:vAlign w:val="center"/>
          </w:tcPr>
          <w:p>
            <w:pPr>
              <w:spacing w:line="360" w:lineRule="auto"/>
              <w:jc w:val="center"/>
              <w:rPr>
                <w:rFonts w:hint="eastAsia" w:ascii="仿宋" w:hAnsi="仿宋" w:eastAsia="仿宋" w:cs="仿宋"/>
              </w:rPr>
            </w:pPr>
          </w:p>
        </w:tc>
        <w:tc>
          <w:tcPr>
            <w:tcW w:w="960"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1020" w:type="dxa"/>
            <w:vAlign w:val="center"/>
          </w:tcPr>
          <w:p>
            <w:pPr>
              <w:spacing w:line="360" w:lineRule="auto"/>
              <w:jc w:val="center"/>
              <w:rPr>
                <w:rFonts w:hint="eastAsia" w:ascii="仿宋" w:hAnsi="仿宋" w:eastAsia="仿宋" w:cs="仿宋"/>
              </w:rPr>
            </w:pP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19</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报警联动试验</w:t>
            </w:r>
          </w:p>
        </w:tc>
        <w:tc>
          <w:tcPr>
            <w:tcW w:w="969" w:type="dxa"/>
            <w:vAlign w:val="center"/>
          </w:tcPr>
          <w:p>
            <w:pPr>
              <w:spacing w:line="360" w:lineRule="auto"/>
              <w:jc w:val="center"/>
              <w:rPr>
                <w:rFonts w:hint="eastAsia" w:ascii="仿宋" w:hAnsi="仿宋" w:eastAsia="仿宋" w:cs="仿宋"/>
              </w:rPr>
            </w:pP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1162" w:type="dxa"/>
          </w:tcPr>
          <w:p>
            <w:pPr>
              <w:spacing w:line="360" w:lineRule="auto"/>
              <w:rPr>
                <w:rFonts w:hint="eastAsia"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仿宋" w:hAnsi="仿宋" w:eastAsia="仿宋" w:cs="仿宋"/>
              </w:rPr>
            </w:pPr>
            <w:r>
              <w:rPr>
                <w:rFonts w:hint="eastAsia" w:ascii="仿宋" w:hAnsi="仿宋" w:eastAsia="仿宋" w:cs="仿宋"/>
              </w:rPr>
              <w:t>20</w:t>
            </w:r>
          </w:p>
        </w:tc>
        <w:tc>
          <w:tcPr>
            <w:tcW w:w="3969" w:type="dxa"/>
            <w:vAlign w:val="center"/>
          </w:tcPr>
          <w:p>
            <w:pPr>
              <w:spacing w:line="360" w:lineRule="auto"/>
              <w:rPr>
                <w:rFonts w:hint="eastAsia" w:ascii="仿宋" w:hAnsi="仿宋" w:eastAsia="仿宋" w:cs="仿宋"/>
              </w:rPr>
            </w:pPr>
            <w:r>
              <w:rPr>
                <w:rFonts w:hint="eastAsia" w:ascii="仿宋" w:hAnsi="仿宋" w:eastAsia="仿宋" w:cs="仿宋"/>
              </w:rPr>
              <w:t>控制器最大负载功能</w:t>
            </w:r>
          </w:p>
        </w:tc>
        <w:tc>
          <w:tcPr>
            <w:tcW w:w="969" w:type="dxa"/>
            <w:vAlign w:val="center"/>
          </w:tcPr>
          <w:p>
            <w:pPr>
              <w:spacing w:line="360" w:lineRule="auto"/>
              <w:jc w:val="center"/>
              <w:rPr>
                <w:rFonts w:hint="eastAsia" w:ascii="仿宋" w:hAnsi="仿宋" w:eastAsia="仿宋" w:cs="仿宋"/>
              </w:rPr>
            </w:pPr>
          </w:p>
        </w:tc>
        <w:tc>
          <w:tcPr>
            <w:tcW w:w="960" w:type="dxa"/>
            <w:vAlign w:val="center"/>
          </w:tcPr>
          <w:p>
            <w:pPr>
              <w:spacing w:line="360" w:lineRule="auto"/>
              <w:jc w:val="center"/>
              <w:rPr>
                <w:rFonts w:hint="eastAsia" w:ascii="仿宋" w:hAnsi="仿宋" w:eastAsia="仿宋" w:cs="仿宋"/>
              </w:rPr>
            </w:pPr>
          </w:p>
        </w:tc>
        <w:tc>
          <w:tcPr>
            <w:tcW w:w="1020" w:type="dxa"/>
            <w:vAlign w:val="center"/>
          </w:tcPr>
          <w:p>
            <w:pPr>
              <w:spacing w:line="360" w:lineRule="auto"/>
              <w:jc w:val="center"/>
              <w:rPr>
                <w:rFonts w:hint="eastAsia" w:ascii="仿宋" w:hAnsi="仿宋" w:eastAsia="仿宋" w:cs="仿宋"/>
              </w:rPr>
            </w:pPr>
            <w:r>
              <w:rPr>
                <w:rFonts w:hint="eastAsia" w:ascii="仿宋" w:hAnsi="仿宋" w:eastAsia="仿宋" w:cs="仿宋"/>
              </w:rPr>
              <w:t>★</w:t>
            </w:r>
          </w:p>
        </w:tc>
        <w:tc>
          <w:tcPr>
            <w:tcW w:w="1162" w:type="dxa"/>
          </w:tcPr>
          <w:p>
            <w:pPr>
              <w:spacing w:line="360" w:lineRule="auto"/>
              <w:rPr>
                <w:rFonts w:hint="eastAsia" w:ascii="仿宋" w:hAnsi="仿宋" w:eastAsia="仿宋" w:cs="仿宋"/>
              </w:rPr>
            </w:pPr>
          </w:p>
        </w:tc>
      </w:tr>
    </w:tbl>
    <w:p>
      <w:pPr>
        <w:spacing w:line="360" w:lineRule="auto"/>
        <w:ind w:firstLine="352" w:firstLineChars="147"/>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rPr>
        <w:t>备注：打“★”号为月度、季度、年度维保项目。探测器报警功能测试，必须使用标准样气。</w:t>
      </w:r>
    </w:p>
    <w:p>
      <w:pPr>
        <w:spacing w:line="360" w:lineRule="auto"/>
        <w:ind w:firstLine="352" w:firstLineChars="147"/>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lang w:eastAsia="zh-CN"/>
        </w:rPr>
        <w:t>（</w:t>
      </w:r>
      <w:r>
        <w:rPr>
          <w:rFonts w:hint="eastAsia" w:ascii="仿宋" w:hAnsi="仿宋" w:eastAsia="仿宋" w:cs="仿宋"/>
          <w:sz w:val="24"/>
          <w:szCs w:val="24"/>
          <w:shd w:val="clear" w:color="auto" w:fill="FFFFFF"/>
          <w:lang w:val="en-US" w:eastAsia="zh-CN"/>
        </w:rPr>
        <w:t>2</w:t>
      </w:r>
      <w:r>
        <w:rPr>
          <w:rFonts w:hint="eastAsia" w:ascii="仿宋" w:hAnsi="仿宋" w:eastAsia="仿宋" w:cs="仿宋"/>
          <w:sz w:val="24"/>
          <w:szCs w:val="24"/>
          <w:shd w:val="clear" w:color="auto" w:fill="FFFFFF"/>
          <w:lang w:eastAsia="zh-CN"/>
        </w:rPr>
        <w:t>）</w:t>
      </w:r>
      <w:r>
        <w:rPr>
          <w:rFonts w:hint="eastAsia" w:ascii="仿宋" w:hAnsi="仿宋" w:eastAsia="仿宋" w:cs="仿宋"/>
          <w:sz w:val="24"/>
          <w:szCs w:val="24"/>
          <w:shd w:val="clear" w:color="auto" w:fill="FFFFFF"/>
        </w:rPr>
        <w:t>维保期间需确保系统运行完好。</w:t>
      </w:r>
    </w:p>
    <w:p>
      <w:pPr>
        <w:spacing w:line="360" w:lineRule="auto"/>
        <w:ind w:firstLine="480" w:firstLineChars="200"/>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rPr>
        <w:t>3</w:t>
      </w:r>
      <w:r>
        <w:rPr>
          <w:rFonts w:hint="eastAsia" w:ascii="仿宋" w:hAnsi="仿宋" w:eastAsia="仿宋" w:cs="仿宋"/>
          <w:sz w:val="24"/>
          <w:szCs w:val="24"/>
          <w:shd w:val="clear" w:color="auto" w:fill="FFFFFF"/>
          <w:lang w:val="en-US" w:eastAsia="zh-CN"/>
        </w:rPr>
        <w:t>.</w:t>
      </w:r>
      <w:r>
        <w:rPr>
          <w:rFonts w:hint="eastAsia" w:ascii="仿宋" w:hAnsi="仿宋" w:eastAsia="仿宋" w:cs="仿宋"/>
          <w:sz w:val="24"/>
          <w:szCs w:val="24"/>
          <w:shd w:val="clear" w:color="auto" w:fill="FFFFFF"/>
        </w:rPr>
        <w:t>免费提供系统操作培训，并积极配合开展消防演练、系统检测工作。</w:t>
      </w:r>
    </w:p>
    <w:p>
      <w:pPr>
        <w:spacing w:line="360" w:lineRule="auto"/>
        <w:ind w:firstLine="480" w:firstLineChars="200"/>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rPr>
        <w:t>4</w:t>
      </w:r>
      <w:r>
        <w:rPr>
          <w:rFonts w:hint="eastAsia" w:ascii="仿宋" w:hAnsi="仿宋" w:eastAsia="仿宋" w:cs="仿宋"/>
          <w:sz w:val="24"/>
          <w:szCs w:val="24"/>
          <w:shd w:val="clear" w:color="auto" w:fill="FFFFFF"/>
          <w:lang w:val="en-US" w:eastAsia="zh-CN"/>
        </w:rPr>
        <w:t>.</w:t>
      </w:r>
      <w:r>
        <w:rPr>
          <w:rFonts w:hint="eastAsia" w:ascii="仿宋" w:hAnsi="仿宋" w:eastAsia="仿宋" w:cs="仿宋"/>
          <w:sz w:val="24"/>
          <w:szCs w:val="24"/>
          <w:shd w:val="clear" w:color="auto" w:fill="FFFFFF"/>
        </w:rPr>
        <w:t>在维保项目实施过程中涉及到系统软件由中标人自行联系相关专业厂家获取技术软件、费用由中标人自行承担。</w:t>
      </w:r>
    </w:p>
    <w:p>
      <w:pPr>
        <w:spacing w:line="360" w:lineRule="auto"/>
        <w:ind w:firstLine="480" w:firstLineChars="200"/>
        <w:rPr>
          <w:rFonts w:hint="eastAsia" w:ascii="仿宋" w:hAnsi="仿宋" w:eastAsia="仿宋" w:cs="仿宋"/>
          <w:sz w:val="24"/>
          <w:szCs w:val="24"/>
          <w:shd w:val="clear" w:color="auto" w:fill="FFFFFF"/>
        </w:rPr>
      </w:pPr>
      <w:r>
        <w:rPr>
          <w:rFonts w:hint="eastAsia" w:ascii="仿宋" w:hAnsi="仿宋" w:eastAsia="仿宋" w:cs="仿宋"/>
          <w:sz w:val="24"/>
          <w:szCs w:val="24"/>
          <w:shd w:val="clear" w:color="auto" w:fill="FFFFFF"/>
        </w:rPr>
        <w:t>5</w:t>
      </w:r>
      <w:r>
        <w:rPr>
          <w:rFonts w:hint="eastAsia" w:ascii="仿宋" w:hAnsi="仿宋" w:eastAsia="仿宋" w:cs="仿宋"/>
          <w:sz w:val="24"/>
          <w:szCs w:val="24"/>
          <w:shd w:val="clear" w:color="auto" w:fill="FFFFFF"/>
          <w:lang w:val="en-US" w:eastAsia="zh-CN"/>
        </w:rPr>
        <w:t>.</w:t>
      </w:r>
      <w:r>
        <w:rPr>
          <w:rFonts w:hint="eastAsia" w:ascii="仿宋" w:hAnsi="仿宋" w:eastAsia="仿宋" w:cs="仿宋"/>
          <w:sz w:val="24"/>
          <w:szCs w:val="24"/>
          <w:shd w:val="clear" w:color="auto" w:fill="FFFFFF"/>
        </w:rPr>
        <w:t>配合校方接受行业以及安监等上级主管部门安全检查（70台点型可燃气体探测器须取得铜陵市计量测试研究所出具的检定证书）。</w:t>
      </w:r>
    </w:p>
    <w:p>
      <w:pPr>
        <w:pStyle w:val="2"/>
        <w:spacing w:line="400" w:lineRule="exact"/>
        <w:ind w:firstLine="361"/>
        <w:rPr>
          <w:rFonts w:hint="eastAsia" w:ascii="仿宋" w:hAnsi="仿宋" w:eastAsia="仿宋" w:cs="仿宋"/>
          <w:b/>
          <w:bCs/>
          <w:color w:val="auto"/>
          <w:sz w:val="24"/>
          <w:szCs w:val="24"/>
        </w:rPr>
      </w:pPr>
      <w:r>
        <w:rPr>
          <w:rFonts w:hint="eastAsia" w:ascii="仿宋" w:hAnsi="仿宋" w:eastAsia="仿宋" w:cs="仿宋"/>
          <w:b/>
          <w:bCs/>
          <w:color w:val="auto"/>
          <w:sz w:val="24"/>
          <w:szCs w:val="24"/>
        </w:rPr>
        <w:t>二、项目控制价：</w:t>
      </w:r>
      <w:r>
        <w:rPr>
          <w:rFonts w:hint="eastAsia" w:ascii="仿宋" w:hAnsi="仿宋" w:eastAsia="仿宋" w:cs="仿宋"/>
          <w:b/>
          <w:bCs/>
          <w:color w:val="auto"/>
          <w:sz w:val="24"/>
          <w:szCs w:val="24"/>
          <w:lang w:val="en-US" w:eastAsia="zh-CN"/>
        </w:rPr>
        <w:t>8.5</w:t>
      </w:r>
      <w:r>
        <w:rPr>
          <w:rFonts w:hint="eastAsia" w:ascii="仿宋" w:hAnsi="仿宋" w:eastAsia="仿宋" w:cs="仿宋"/>
          <w:b/>
          <w:bCs/>
          <w:color w:val="auto"/>
          <w:sz w:val="24"/>
          <w:szCs w:val="24"/>
        </w:rPr>
        <w:t>万元</w:t>
      </w:r>
    </w:p>
    <w:p>
      <w:pPr>
        <w:pStyle w:val="2"/>
        <w:spacing w:line="400" w:lineRule="exact"/>
        <w:ind w:firstLine="361"/>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三、采购方式：</w:t>
      </w:r>
      <w:r>
        <w:rPr>
          <w:rFonts w:hint="eastAsia" w:ascii="仿宋" w:hAnsi="仿宋" w:eastAsia="仿宋" w:cs="仿宋"/>
          <w:b/>
          <w:bCs/>
          <w:color w:val="auto"/>
          <w:sz w:val="24"/>
          <w:szCs w:val="24"/>
          <w:lang w:eastAsia="zh-CN"/>
        </w:rPr>
        <w:t>市场比价</w:t>
      </w:r>
    </w:p>
    <w:p>
      <w:pPr>
        <w:pStyle w:val="2"/>
        <w:spacing w:line="400" w:lineRule="exact"/>
        <w:ind w:firstLine="361"/>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四、投标人资质： </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符合《中华人民共和国政府采购法》第二十二条规定；</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具备独立法人资格，持有有效的营业执照（营业执照须包含检测、校准等经营范围）；</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具备运营维护所需的计量仪器仪表、检测仪和相应的实验条件；</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外地企业须承诺中标后合同签订前在我市设立固定办公、维修场所，配备固定专业维护人员；</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现场作业人员进入现场操作前必须经过专业的安环培训及相关学习；工作人员需取证上岗；检测人员需要有安徽省计量协会颁发的《安徽省计量检定校准培训合格证》；维护保养人员需要有应急管理局颁发的《防爆电气作业证》；</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单位及其法人近三年内无违纪违法行为，自觉遵守高校廉洁从业（政）规定。</w:t>
      </w:r>
    </w:p>
    <w:p>
      <w:pPr>
        <w:pStyle w:val="2"/>
        <w:spacing w:line="400" w:lineRule="exact"/>
        <w:ind w:firstLine="361"/>
        <w:rPr>
          <w:rFonts w:hint="eastAsia" w:ascii="仿宋" w:hAnsi="仿宋" w:eastAsia="仿宋" w:cs="仿宋"/>
          <w:b/>
          <w:bCs/>
          <w:color w:val="auto"/>
          <w:sz w:val="24"/>
          <w:szCs w:val="24"/>
        </w:rPr>
      </w:pPr>
      <w:r>
        <w:rPr>
          <w:rFonts w:hint="eastAsia" w:ascii="仿宋" w:hAnsi="仿宋" w:eastAsia="仿宋" w:cs="仿宋"/>
          <w:b/>
          <w:bCs/>
          <w:color w:val="auto"/>
          <w:sz w:val="24"/>
          <w:szCs w:val="24"/>
        </w:rPr>
        <w:t>五、投标须知：</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（一）投标函编制：</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投标人需提交报价函为正本1份、副本1份，分别注明“正本”和“副本”（如报价不一致，以正本为准），且须密封并于密封处及封面加盖单位公章。报价函内需附以下资料并加盖单位公章：</w:t>
      </w:r>
    </w:p>
    <w:p>
      <w:pPr>
        <w:pStyle w:val="2"/>
        <w:spacing w:line="400" w:lineRule="exact"/>
        <w:ind w:firstLine="36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营业执照。</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2.法定代表人（个体工商户为注册登记人）授权书；投标保证书。</w:t>
      </w:r>
    </w:p>
    <w:p>
      <w:pPr>
        <w:pStyle w:val="2"/>
        <w:spacing w:line="400" w:lineRule="exact"/>
        <w:ind w:firstLine="36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3.项目负责人具有《国家一级注册计量师》证；检测人员《安徽省计量检定校准培训合格证》</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《防爆电气作业证》</w:t>
      </w:r>
      <w:r>
        <w:rPr>
          <w:rFonts w:hint="eastAsia" w:ascii="仿宋" w:hAnsi="仿宋" w:eastAsia="仿宋" w:cs="仿宋"/>
          <w:color w:val="auto"/>
          <w:sz w:val="24"/>
          <w:szCs w:val="24"/>
          <w:lang w:eastAsia="zh-CN"/>
        </w:rPr>
        <w:t>资格证书。</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4.投标报价表（各投标单位结合市场行情和各种风险及自身实力按本询价函要求规范填写投标报价表并进行报价）。</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5.投标单位关于</w:t>
      </w:r>
      <w:r>
        <w:rPr>
          <w:rFonts w:hint="eastAsia" w:ascii="仿宋" w:hAnsi="仿宋" w:eastAsia="仿宋" w:cs="仿宋"/>
          <w:color w:val="auto"/>
          <w:sz w:val="24"/>
          <w:szCs w:val="24"/>
          <w:lang w:eastAsia="zh-CN"/>
        </w:rPr>
        <w:t>检定</w:t>
      </w:r>
      <w:r>
        <w:rPr>
          <w:rFonts w:hint="eastAsia" w:ascii="仿宋" w:hAnsi="仿宋" w:eastAsia="仿宋" w:cs="仿宋"/>
          <w:color w:val="auto"/>
          <w:sz w:val="24"/>
          <w:szCs w:val="24"/>
        </w:rPr>
        <w:t>及</w:t>
      </w:r>
      <w:r>
        <w:rPr>
          <w:rFonts w:hint="eastAsia" w:ascii="仿宋" w:hAnsi="仿宋" w:eastAsia="仿宋" w:cs="仿宋"/>
          <w:color w:val="auto"/>
          <w:sz w:val="24"/>
          <w:szCs w:val="24"/>
          <w:lang w:eastAsia="zh-CN"/>
        </w:rPr>
        <w:t>保养</w:t>
      </w:r>
      <w:r>
        <w:rPr>
          <w:rFonts w:hint="eastAsia" w:ascii="仿宋" w:hAnsi="仿宋" w:eastAsia="仿宋" w:cs="仿宋"/>
          <w:color w:val="auto"/>
          <w:sz w:val="24"/>
          <w:szCs w:val="24"/>
        </w:rPr>
        <w:t>期、售后服务（包括无偿提供技术服务）的承诺和对产品质量的保证措施，以及优惠条件的承诺。</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（二）报价须知</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1.投标人在投标之前，对本询价项目的一切情况，应详细研究和全面了解。投标后，投标人将被认为已充分了解并已接受本询价项目的相关条款，认同采购人的解释。</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2.投标报价为所投项目的最终报价（包括产品价款、辅材及配件、运输费及其保险费、安装费、搬运力资费、垃圾清运费、利税和应承担的风险等一切费用）。</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3.产品质量必须符合国家相关最新标准的要求，《投标报价表》中每项内容均需如实填写，否则，视为无效标。</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4.中标后中标单位需提供制造商授权。</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（三）投标事项：</w:t>
      </w:r>
    </w:p>
    <w:p>
      <w:pPr>
        <w:pStyle w:val="2"/>
        <w:spacing w:line="400" w:lineRule="exact"/>
        <w:ind w:firstLine="360"/>
        <w:rPr>
          <w:rFonts w:hint="eastAsia" w:ascii="仿宋" w:hAnsi="仿宋" w:eastAsia="仿宋" w:cs="仿宋"/>
          <w:color w:val="auto"/>
          <w:sz w:val="24"/>
          <w:szCs w:val="24"/>
          <w:shd w:val="clear" w:color="auto" w:fill="FFFFFF"/>
        </w:rPr>
      </w:pPr>
      <w:r>
        <w:rPr>
          <w:rFonts w:hint="eastAsia" w:ascii="仿宋" w:hAnsi="仿宋" w:eastAsia="仿宋" w:cs="仿宋"/>
          <w:color w:val="auto"/>
          <w:sz w:val="24"/>
          <w:szCs w:val="24"/>
        </w:rPr>
        <w:t>1.凡符合投标资格、有意向的投标单位，均为被询价对象。请有意参与投标报价的单位于202</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日上午11：00前，凭投标保证金（银行转账方式支付）缴纳凭证复印件将投标函送达</w:t>
      </w:r>
      <w:r>
        <w:rPr>
          <w:rFonts w:hint="eastAsia" w:ascii="仿宋" w:hAnsi="仿宋" w:eastAsia="仿宋" w:cs="仿宋"/>
          <w:b/>
          <w:bCs/>
          <w:color w:val="auto"/>
          <w:sz w:val="24"/>
          <w:szCs w:val="24"/>
        </w:rPr>
        <w:t>铜陵学院南大门值班室</w:t>
      </w:r>
      <w:r>
        <w:rPr>
          <w:rFonts w:hint="eastAsia" w:ascii="仿宋" w:hAnsi="仿宋" w:eastAsia="仿宋" w:cs="仿宋"/>
          <w:color w:val="auto"/>
          <w:sz w:val="24"/>
          <w:szCs w:val="24"/>
        </w:rPr>
        <w:t>，联系人：胡老师</w:t>
      </w:r>
      <w:r>
        <w:rPr>
          <w:rFonts w:hint="eastAsia" w:ascii="仿宋" w:hAnsi="仿宋" w:eastAsia="仿宋" w:cs="仿宋"/>
          <w:color w:val="auto"/>
          <w:sz w:val="24"/>
          <w:szCs w:val="24"/>
          <w:shd w:val="clear" w:color="auto" w:fill="FFFFFF"/>
        </w:rPr>
        <w:t>（13955931061）。</w:t>
      </w:r>
    </w:p>
    <w:p>
      <w:pPr>
        <w:pStyle w:val="2"/>
        <w:spacing w:line="400" w:lineRule="exact"/>
        <w:ind w:left="0" w:leftChars="0" w:firstLine="0" w:firstLineChars="0"/>
        <w:rPr>
          <w:rFonts w:hint="eastAsia" w:ascii="仿宋" w:hAnsi="仿宋" w:eastAsia="仿宋" w:cs="仿宋"/>
          <w:b/>
          <w:color w:val="auto"/>
          <w:sz w:val="24"/>
          <w:szCs w:val="24"/>
        </w:rPr>
      </w:pPr>
      <w:r>
        <w:rPr>
          <w:rFonts w:hint="eastAsia" w:ascii="仿宋" w:hAnsi="仿宋" w:eastAsia="仿宋" w:cs="仿宋"/>
          <w:b/>
          <w:bCs/>
          <w:color w:val="auto"/>
          <w:sz w:val="24"/>
          <w:szCs w:val="24"/>
          <w:highlight w:val="yellow"/>
        </w:rPr>
        <w:t>（因新冠肺炎疫情防控要求，请投标人在</w:t>
      </w:r>
      <w:r>
        <w:rPr>
          <w:rFonts w:hint="eastAsia" w:ascii="仿宋" w:hAnsi="仿宋" w:eastAsia="仿宋" w:cs="仿宋"/>
          <w:b/>
          <w:bCs/>
          <w:color w:val="auto"/>
          <w:sz w:val="24"/>
          <w:szCs w:val="24"/>
          <w:highlight w:val="yellow"/>
          <w:lang w:val="en-US" w:eastAsia="zh-CN"/>
        </w:rPr>
        <w:t>8</w:t>
      </w:r>
      <w:r>
        <w:rPr>
          <w:rFonts w:hint="eastAsia" w:ascii="仿宋" w:hAnsi="仿宋" w:eastAsia="仿宋" w:cs="仿宋"/>
          <w:b/>
          <w:bCs/>
          <w:color w:val="auto"/>
          <w:sz w:val="24"/>
          <w:szCs w:val="24"/>
          <w:highlight w:val="yellow"/>
        </w:rPr>
        <w:t>月</w:t>
      </w:r>
      <w:r>
        <w:rPr>
          <w:rFonts w:hint="eastAsia" w:ascii="仿宋" w:hAnsi="仿宋" w:eastAsia="仿宋" w:cs="仿宋"/>
          <w:b/>
          <w:bCs/>
          <w:color w:val="auto"/>
          <w:sz w:val="24"/>
          <w:szCs w:val="24"/>
          <w:highlight w:val="yellow"/>
          <w:lang w:val="en-US" w:eastAsia="zh-CN"/>
        </w:rPr>
        <w:t>3</w:t>
      </w:r>
      <w:r>
        <w:rPr>
          <w:rFonts w:hint="eastAsia" w:ascii="仿宋" w:hAnsi="仿宋" w:eastAsia="仿宋" w:cs="仿宋"/>
          <w:b/>
          <w:bCs/>
          <w:color w:val="auto"/>
          <w:sz w:val="24"/>
          <w:szCs w:val="24"/>
          <w:highlight w:val="yellow"/>
        </w:rPr>
        <w:t>日上午投递投标函，其它时段不接收）</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.按有效低价原则确定中标供应单位。</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.中标结果将在铜陵学院国资处网站予以公布。</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（四）付款方式及</w:t>
      </w:r>
      <w:r>
        <w:rPr>
          <w:rFonts w:hint="eastAsia" w:ascii="仿宋" w:hAnsi="仿宋" w:eastAsia="仿宋" w:cs="仿宋"/>
          <w:color w:val="auto"/>
          <w:sz w:val="24"/>
          <w:szCs w:val="24"/>
          <w:lang w:eastAsia="zh-CN"/>
        </w:rPr>
        <w:t>服务</w:t>
      </w:r>
      <w:r>
        <w:rPr>
          <w:rFonts w:hint="eastAsia" w:ascii="仿宋" w:hAnsi="仿宋" w:eastAsia="仿宋" w:cs="仿宋"/>
          <w:color w:val="auto"/>
          <w:sz w:val="24"/>
          <w:szCs w:val="24"/>
        </w:rPr>
        <w:t>期要求：</w:t>
      </w:r>
    </w:p>
    <w:p>
      <w:pPr>
        <w:pStyle w:val="2"/>
        <w:spacing w:line="400" w:lineRule="exact"/>
        <w:ind w:firstLine="36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付款方式：本项目不支付预付款。服务期满，中标方提供有效发票，交付由铜陵市计量测试研究所出具的校方70台点型可燃气体探测器检定证书，及经铜陵学院总务处持证燃气安全管理人员签字认可的全年维保记录。审核通过后，一周内支付合同款</w:t>
      </w:r>
      <w:r>
        <w:rPr>
          <w:rFonts w:hint="eastAsia" w:ascii="仿宋" w:hAnsi="仿宋" w:eastAsia="仿宋" w:cs="仿宋"/>
          <w:color w:val="auto"/>
          <w:sz w:val="24"/>
          <w:szCs w:val="24"/>
          <w:lang w:eastAsia="zh-CN"/>
        </w:rPr>
        <w:t>。</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2.维护保养与</w:t>
      </w:r>
      <w:r>
        <w:rPr>
          <w:rFonts w:hint="eastAsia" w:ascii="仿宋" w:hAnsi="仿宋" w:eastAsia="仿宋" w:cs="仿宋"/>
          <w:color w:val="auto"/>
          <w:sz w:val="24"/>
          <w:szCs w:val="24"/>
          <w:lang w:eastAsia="zh-CN"/>
        </w:rPr>
        <w:t>检定</w:t>
      </w:r>
      <w:r>
        <w:rPr>
          <w:rFonts w:hint="eastAsia" w:ascii="仿宋" w:hAnsi="仿宋" w:eastAsia="仿宋" w:cs="仿宋"/>
          <w:color w:val="auto"/>
          <w:sz w:val="24"/>
          <w:szCs w:val="24"/>
        </w:rPr>
        <w:t>时间：2022年9月1日至2023年8月31日。</w:t>
      </w:r>
    </w:p>
    <w:p>
      <w:pPr>
        <w:pStyle w:val="2"/>
        <w:spacing w:line="400" w:lineRule="exact"/>
        <w:ind w:firstLine="361"/>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七</w:t>
      </w:r>
      <w:r>
        <w:rPr>
          <w:rFonts w:hint="eastAsia" w:ascii="仿宋" w:hAnsi="仿宋" w:eastAsia="仿宋" w:cs="仿宋"/>
          <w:b/>
          <w:bCs/>
          <w:color w:val="auto"/>
          <w:sz w:val="24"/>
          <w:szCs w:val="24"/>
        </w:rPr>
        <w:t>、业务（项目）咨询：</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1.招标采购负责部门：涉及本询价函中的商务部分，请与铜陵学院国资处程老师（0562-5881058）联系。</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2.使用（主管）部门：本项目为铜陵学院总务处使用项目，如需了解本项目的具体情况等，请与铜陵学院总务处陈老师联系（0562-5882006,13956258563）。</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3.质疑及答疑：投标人如有疑问或需要采购人进一步澄清的事项，请在202</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年7月</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日下午5:00前以书面形式报送铜陵学院国资处（图书馆）807室、使用部门总务处或发电子邮件至gzc@tlu.edu.cn。招标人认为有需要进一步澄清的事项将于202</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30</w:t>
      </w:r>
      <w:r>
        <w:rPr>
          <w:rFonts w:hint="eastAsia" w:ascii="仿宋" w:hAnsi="仿宋" w:eastAsia="仿宋" w:cs="仿宋"/>
          <w:color w:val="auto"/>
          <w:sz w:val="24"/>
          <w:szCs w:val="24"/>
        </w:rPr>
        <w:t>日</w:t>
      </w:r>
      <w:r>
        <w:rPr>
          <w:rFonts w:hint="eastAsia" w:ascii="仿宋" w:hAnsi="仿宋" w:eastAsia="仿宋" w:cs="仿宋"/>
          <w:color w:val="auto"/>
          <w:sz w:val="24"/>
          <w:szCs w:val="24"/>
          <w:lang w:eastAsia="zh-CN"/>
        </w:rPr>
        <w:t>下</w:t>
      </w:r>
      <w:r>
        <w:rPr>
          <w:rFonts w:hint="eastAsia" w:ascii="仿宋" w:hAnsi="仿宋" w:eastAsia="仿宋" w:cs="仿宋"/>
          <w:color w:val="auto"/>
          <w:sz w:val="24"/>
          <w:szCs w:val="24"/>
        </w:rPr>
        <w:t>午</w:t>
      </w:r>
      <w:r>
        <w:rPr>
          <w:rFonts w:hint="eastAsia" w:ascii="仿宋" w:hAnsi="仿宋" w:eastAsia="仿宋" w:cs="仿宋"/>
          <w:color w:val="auto"/>
          <w:sz w:val="24"/>
          <w:szCs w:val="24"/>
          <w:lang w:val="en-US" w:eastAsia="zh-CN"/>
        </w:rPr>
        <w:t>17</w:t>
      </w:r>
      <w:r>
        <w:rPr>
          <w:rFonts w:hint="eastAsia" w:ascii="仿宋" w:hAnsi="仿宋" w:eastAsia="仿宋" w:cs="仿宋"/>
          <w:color w:val="auto"/>
          <w:sz w:val="24"/>
          <w:szCs w:val="24"/>
        </w:rPr>
        <w:t>：00前在国资处网站予以发布。因此，无论投标人有无疑问，届时均请上网查看。</w:t>
      </w:r>
    </w:p>
    <w:p>
      <w:pPr>
        <w:pStyle w:val="2"/>
        <w:spacing w:line="400" w:lineRule="exact"/>
        <w:ind w:firstLine="361"/>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八</w:t>
      </w:r>
      <w:r>
        <w:rPr>
          <w:rFonts w:hint="eastAsia" w:ascii="仿宋" w:hAnsi="仿宋" w:eastAsia="仿宋" w:cs="仿宋"/>
          <w:b/>
          <w:bCs/>
          <w:color w:val="auto"/>
          <w:sz w:val="24"/>
          <w:szCs w:val="24"/>
        </w:rPr>
        <w:t>、监督</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铜陵学院：0562-588</w:t>
      </w:r>
      <w:r>
        <w:rPr>
          <w:rFonts w:hint="eastAsia" w:ascii="仿宋" w:hAnsi="仿宋" w:eastAsia="仿宋" w:cs="仿宋"/>
          <w:color w:val="auto"/>
          <w:sz w:val="24"/>
          <w:szCs w:val="24"/>
          <w:lang w:val="en-US" w:eastAsia="zh-CN"/>
        </w:rPr>
        <w:t>3548</w:t>
      </w:r>
      <w:r>
        <w:rPr>
          <w:rFonts w:hint="eastAsia" w:ascii="仿宋" w:hAnsi="仿宋" w:eastAsia="仿宋" w:cs="仿宋"/>
          <w:color w:val="auto"/>
          <w:sz w:val="24"/>
          <w:szCs w:val="24"/>
        </w:rPr>
        <w:t>。</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 </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                                                                                                  铜陵学院</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                                                          二O二</w:t>
      </w: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年七月二十</w:t>
      </w: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日</w:t>
      </w: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400" w:lineRule="exact"/>
        <w:ind w:firstLine="360"/>
        <w:rPr>
          <w:rFonts w:hint="eastAsia" w:ascii="仿宋" w:hAnsi="仿宋" w:eastAsia="仿宋" w:cs="仿宋"/>
          <w:color w:val="auto"/>
          <w:sz w:val="24"/>
          <w:szCs w:val="24"/>
        </w:rPr>
      </w:pPr>
    </w:p>
    <w:p>
      <w:pPr>
        <w:pStyle w:val="2"/>
        <w:spacing w:line="360" w:lineRule="auto"/>
        <w:ind w:firstLine="480"/>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投标书封面格式：</w:t>
      </w:r>
    </w:p>
    <w:p>
      <w:pPr>
        <w:pStyle w:val="2"/>
        <w:spacing w:line="360" w:lineRule="auto"/>
        <w:ind w:firstLine="480"/>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铜陵学院 （项目名称）</w:t>
      </w:r>
    </w:p>
    <w:p>
      <w:pPr>
        <w:pStyle w:val="2"/>
        <w:spacing w:line="360" w:lineRule="auto"/>
        <w:ind w:firstLine="480"/>
        <w:jc w:val="center"/>
        <w:rPr>
          <w:rFonts w:hint="eastAsia" w:ascii="仿宋" w:hAnsi="仿宋" w:eastAsia="仿宋" w:cs="仿宋"/>
          <w:b/>
          <w:bCs/>
          <w:color w:val="auto"/>
          <w:sz w:val="32"/>
          <w:szCs w:val="32"/>
        </w:rPr>
      </w:pPr>
    </w:p>
    <w:p>
      <w:pPr>
        <w:pStyle w:val="2"/>
        <w:spacing w:line="360" w:lineRule="auto"/>
        <w:ind w:firstLine="480"/>
        <w:jc w:val="center"/>
        <w:rPr>
          <w:rFonts w:hint="eastAsia" w:ascii="仿宋" w:hAnsi="仿宋" w:eastAsia="仿宋" w:cs="仿宋"/>
          <w:b/>
          <w:bCs/>
          <w:color w:val="auto"/>
          <w:sz w:val="32"/>
          <w:szCs w:val="32"/>
        </w:rPr>
      </w:pPr>
    </w:p>
    <w:p>
      <w:pPr>
        <w:pStyle w:val="2"/>
        <w:spacing w:line="360" w:lineRule="auto"/>
        <w:ind w:firstLine="480"/>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投</w:t>
      </w:r>
    </w:p>
    <w:p>
      <w:pPr>
        <w:pStyle w:val="2"/>
        <w:spacing w:line="360" w:lineRule="auto"/>
        <w:ind w:firstLine="480"/>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标</w:t>
      </w:r>
    </w:p>
    <w:p>
      <w:pPr>
        <w:pStyle w:val="2"/>
        <w:spacing w:line="360" w:lineRule="auto"/>
        <w:ind w:firstLine="480"/>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文</w:t>
      </w:r>
    </w:p>
    <w:p>
      <w:pPr>
        <w:pStyle w:val="2"/>
        <w:spacing w:line="360" w:lineRule="auto"/>
        <w:ind w:firstLine="480"/>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件</w:t>
      </w:r>
    </w:p>
    <w:p>
      <w:pPr>
        <w:pStyle w:val="2"/>
        <w:spacing w:line="360" w:lineRule="auto"/>
        <w:ind w:firstLine="480"/>
        <w:rPr>
          <w:rFonts w:hint="eastAsia" w:ascii="仿宋" w:hAnsi="仿宋" w:eastAsia="仿宋" w:cs="仿宋"/>
          <w:b/>
          <w:bCs/>
          <w:color w:val="auto"/>
          <w:sz w:val="32"/>
          <w:szCs w:val="32"/>
        </w:rPr>
      </w:pPr>
    </w:p>
    <w:p>
      <w:pPr>
        <w:pStyle w:val="2"/>
        <w:spacing w:line="360" w:lineRule="auto"/>
        <w:ind w:firstLine="480"/>
        <w:rPr>
          <w:rFonts w:hint="eastAsia" w:ascii="仿宋" w:hAnsi="仿宋" w:eastAsia="仿宋" w:cs="仿宋"/>
          <w:b/>
          <w:bCs/>
          <w:color w:val="auto"/>
          <w:sz w:val="32"/>
          <w:szCs w:val="32"/>
        </w:rPr>
      </w:pPr>
    </w:p>
    <w:p>
      <w:pPr>
        <w:pStyle w:val="2"/>
        <w:spacing w:line="360" w:lineRule="auto"/>
        <w:ind w:firstLine="480"/>
        <w:rPr>
          <w:rFonts w:hint="eastAsia" w:ascii="仿宋" w:hAnsi="仿宋" w:eastAsia="仿宋" w:cs="仿宋"/>
          <w:b/>
          <w:bCs/>
          <w:color w:val="auto"/>
          <w:sz w:val="32"/>
          <w:szCs w:val="32"/>
        </w:rPr>
      </w:pPr>
      <w:r>
        <w:rPr>
          <w:rFonts w:hint="eastAsia" w:ascii="仿宋" w:hAnsi="仿宋" w:eastAsia="仿宋" w:cs="仿宋"/>
          <w:b/>
          <w:bCs/>
          <w:color w:val="auto"/>
          <w:sz w:val="32"/>
          <w:szCs w:val="32"/>
        </w:rPr>
        <w:t xml:space="preserve">投标单位（盖章）：                         </w:t>
      </w:r>
    </w:p>
    <w:p>
      <w:pPr>
        <w:pStyle w:val="2"/>
        <w:spacing w:line="360" w:lineRule="auto"/>
        <w:ind w:firstLine="480"/>
        <w:rPr>
          <w:rFonts w:hint="eastAsia" w:ascii="仿宋" w:hAnsi="仿宋" w:eastAsia="仿宋" w:cs="仿宋"/>
          <w:b/>
          <w:bCs/>
          <w:color w:val="auto"/>
          <w:sz w:val="32"/>
          <w:szCs w:val="32"/>
        </w:rPr>
      </w:pPr>
      <w:r>
        <w:rPr>
          <w:rFonts w:hint="eastAsia" w:ascii="仿宋" w:hAnsi="仿宋" w:eastAsia="仿宋" w:cs="仿宋"/>
          <w:b/>
          <w:bCs/>
          <w:color w:val="auto"/>
          <w:sz w:val="32"/>
          <w:szCs w:val="32"/>
        </w:rPr>
        <w:t xml:space="preserve">联  系  人 ：                             </w:t>
      </w:r>
    </w:p>
    <w:p>
      <w:pPr>
        <w:pStyle w:val="2"/>
        <w:spacing w:line="360" w:lineRule="auto"/>
        <w:ind w:firstLine="480"/>
        <w:rPr>
          <w:rFonts w:hint="eastAsia" w:ascii="仿宋" w:hAnsi="仿宋" w:eastAsia="仿宋" w:cs="仿宋"/>
          <w:b/>
          <w:bCs/>
          <w:color w:val="auto"/>
          <w:sz w:val="32"/>
          <w:szCs w:val="32"/>
        </w:rPr>
      </w:pPr>
      <w:r>
        <w:rPr>
          <w:rFonts w:hint="eastAsia" w:ascii="仿宋" w:hAnsi="仿宋" w:eastAsia="仿宋" w:cs="仿宋"/>
          <w:b/>
          <w:bCs/>
          <w:color w:val="auto"/>
          <w:sz w:val="32"/>
          <w:szCs w:val="32"/>
        </w:rPr>
        <w:t xml:space="preserve">联系电话(手机):                            </w:t>
      </w:r>
    </w:p>
    <w:p>
      <w:pPr>
        <w:pStyle w:val="2"/>
        <w:spacing w:line="360" w:lineRule="auto"/>
        <w:ind w:firstLine="480"/>
        <w:rPr>
          <w:rFonts w:hint="eastAsia" w:ascii="仿宋" w:hAnsi="仿宋" w:eastAsia="仿宋" w:cs="仿宋"/>
          <w:b/>
          <w:bCs/>
          <w:color w:val="auto"/>
          <w:sz w:val="32"/>
          <w:szCs w:val="32"/>
        </w:rPr>
      </w:pPr>
      <w:r>
        <w:rPr>
          <w:rFonts w:hint="eastAsia" w:ascii="仿宋" w:hAnsi="仿宋" w:eastAsia="仿宋" w:cs="仿宋"/>
          <w:b/>
          <w:bCs/>
          <w:color w:val="auto"/>
          <w:sz w:val="32"/>
          <w:szCs w:val="32"/>
        </w:rPr>
        <w:t xml:space="preserve">传      真：                              </w:t>
      </w:r>
    </w:p>
    <w:p>
      <w:pPr>
        <w:pStyle w:val="2"/>
        <w:spacing w:line="360" w:lineRule="auto"/>
        <w:ind w:firstLine="480"/>
        <w:rPr>
          <w:rFonts w:hint="eastAsia" w:ascii="仿宋" w:hAnsi="仿宋" w:eastAsia="仿宋" w:cs="仿宋"/>
          <w:b/>
          <w:bCs/>
          <w:color w:val="auto"/>
          <w:sz w:val="32"/>
          <w:szCs w:val="32"/>
        </w:rPr>
      </w:pPr>
      <w:r>
        <w:rPr>
          <w:rFonts w:hint="eastAsia" w:ascii="仿宋" w:hAnsi="仿宋" w:eastAsia="仿宋" w:cs="仿宋"/>
          <w:b/>
          <w:bCs/>
          <w:color w:val="auto"/>
          <w:sz w:val="32"/>
          <w:szCs w:val="32"/>
        </w:rPr>
        <w:t xml:space="preserve">    </w:t>
      </w:r>
    </w:p>
    <w:p>
      <w:pPr>
        <w:pStyle w:val="2"/>
        <w:spacing w:line="360" w:lineRule="auto"/>
        <w:ind w:firstLine="480"/>
        <w:rPr>
          <w:rFonts w:hint="eastAsia" w:ascii="仿宋" w:hAnsi="仿宋" w:eastAsia="仿宋" w:cs="仿宋"/>
          <w:b/>
          <w:bCs/>
          <w:color w:val="auto"/>
          <w:sz w:val="32"/>
          <w:szCs w:val="32"/>
        </w:rPr>
      </w:pPr>
      <w:r>
        <w:rPr>
          <w:rFonts w:hint="eastAsia" w:ascii="仿宋" w:hAnsi="仿宋" w:eastAsia="仿宋" w:cs="仿宋"/>
          <w:b/>
          <w:bCs/>
          <w:color w:val="auto"/>
          <w:sz w:val="32"/>
          <w:szCs w:val="32"/>
        </w:rPr>
        <w:t xml:space="preserve">                          年     月     日</w:t>
      </w:r>
    </w:p>
    <w:p>
      <w:pPr>
        <w:pStyle w:val="2"/>
        <w:spacing w:line="360" w:lineRule="auto"/>
        <w:ind w:firstLine="480"/>
        <w:rPr>
          <w:rFonts w:hint="eastAsia" w:ascii="仿宋" w:hAnsi="仿宋" w:eastAsia="仿宋" w:cs="仿宋"/>
          <w:color w:val="auto"/>
          <w:sz w:val="28"/>
          <w:szCs w:val="28"/>
        </w:rPr>
      </w:pPr>
    </w:p>
    <w:p>
      <w:pPr>
        <w:pStyle w:val="2"/>
        <w:spacing w:line="400" w:lineRule="exact"/>
        <w:rPr>
          <w:rFonts w:hint="eastAsia" w:ascii="仿宋" w:hAnsi="仿宋" w:eastAsia="仿宋" w:cs="仿宋"/>
          <w:color w:val="auto"/>
          <w:sz w:val="28"/>
          <w:szCs w:val="28"/>
        </w:rPr>
      </w:pPr>
    </w:p>
    <w:p>
      <w:pPr>
        <w:pStyle w:val="2"/>
        <w:spacing w:line="400" w:lineRule="exact"/>
        <w:rPr>
          <w:rFonts w:hint="eastAsia" w:ascii="仿宋" w:hAnsi="仿宋" w:eastAsia="仿宋" w:cs="仿宋"/>
          <w:color w:val="auto"/>
          <w:sz w:val="28"/>
          <w:szCs w:val="28"/>
        </w:rPr>
      </w:pPr>
    </w:p>
    <w:p>
      <w:pPr>
        <w:pStyle w:val="2"/>
        <w:spacing w:line="400" w:lineRule="exact"/>
        <w:rPr>
          <w:rFonts w:hint="eastAsia" w:ascii="仿宋" w:hAnsi="仿宋" w:eastAsia="仿宋" w:cs="仿宋"/>
          <w:color w:val="auto"/>
          <w:sz w:val="28"/>
          <w:szCs w:val="28"/>
        </w:rPr>
      </w:pPr>
    </w:p>
    <w:p>
      <w:pPr>
        <w:pStyle w:val="2"/>
        <w:spacing w:line="400" w:lineRule="exact"/>
        <w:rPr>
          <w:rFonts w:hint="eastAsia" w:ascii="仿宋" w:hAnsi="仿宋" w:eastAsia="仿宋" w:cs="仿宋"/>
          <w:color w:val="auto"/>
          <w:sz w:val="28"/>
          <w:szCs w:val="28"/>
        </w:rPr>
      </w:pPr>
    </w:p>
    <w:p>
      <w:pPr>
        <w:pStyle w:val="2"/>
        <w:spacing w:line="400" w:lineRule="exact"/>
        <w:rPr>
          <w:rFonts w:hint="eastAsia" w:ascii="仿宋" w:hAnsi="仿宋" w:eastAsia="仿宋" w:cs="仿宋"/>
          <w:color w:val="auto"/>
          <w:sz w:val="28"/>
          <w:szCs w:val="28"/>
        </w:rPr>
      </w:pPr>
    </w:p>
    <w:p>
      <w:pPr>
        <w:pStyle w:val="2"/>
        <w:spacing w:line="400" w:lineRule="exact"/>
        <w:rPr>
          <w:rFonts w:hint="eastAsia" w:ascii="仿宋" w:hAnsi="仿宋" w:eastAsia="仿宋" w:cs="仿宋"/>
          <w:color w:val="auto"/>
          <w:sz w:val="28"/>
          <w:szCs w:val="28"/>
        </w:rPr>
      </w:pPr>
    </w:p>
    <w:p>
      <w:pPr>
        <w:pStyle w:val="2"/>
        <w:spacing w:line="400" w:lineRule="exact"/>
        <w:ind w:firstLine="0" w:firstLineChars="0"/>
        <w:rPr>
          <w:rFonts w:hint="eastAsia" w:ascii="仿宋" w:hAnsi="仿宋" w:eastAsia="仿宋" w:cs="仿宋"/>
          <w:color w:val="auto"/>
          <w:sz w:val="28"/>
          <w:szCs w:val="28"/>
        </w:rPr>
      </w:pPr>
    </w:p>
    <w:p>
      <w:pPr>
        <w:pStyle w:val="2"/>
        <w:spacing w:line="400" w:lineRule="exact"/>
        <w:ind w:firstLine="482"/>
        <w:rPr>
          <w:rFonts w:hint="eastAsia" w:ascii="仿宋" w:hAnsi="仿宋" w:eastAsia="仿宋" w:cs="仿宋"/>
          <w:b/>
          <w:bCs/>
          <w:color w:val="auto"/>
          <w:sz w:val="28"/>
          <w:szCs w:val="28"/>
        </w:rPr>
      </w:pPr>
    </w:p>
    <w:p>
      <w:pPr>
        <w:pStyle w:val="2"/>
        <w:spacing w:line="400" w:lineRule="exact"/>
        <w:ind w:firstLine="482"/>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一、法人授权书</w:t>
      </w:r>
    </w:p>
    <w:p>
      <w:pPr>
        <w:pStyle w:val="2"/>
        <w:spacing w:line="400" w:lineRule="exact"/>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致：（采购单位名称）</w:t>
      </w:r>
      <w:bookmarkStart w:id="0" w:name="_GoBack"/>
      <w:bookmarkEnd w:id="0"/>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本授权书声明：（供应商名称）授权本单位（供应商授权代表姓名、职务）代表本单位参加（铜陵学院2022-2023年度燃气体泄漏报警探测器维护保养与委托检定</w:t>
      </w:r>
      <w:r>
        <w:rPr>
          <w:rFonts w:hint="eastAsia" w:ascii="仿宋" w:hAnsi="仿宋" w:eastAsia="仿宋" w:cs="仿宋"/>
          <w:color w:val="auto"/>
          <w:sz w:val="28"/>
          <w:szCs w:val="28"/>
          <w:lang w:eastAsia="zh-CN"/>
        </w:rPr>
        <w:t>服务</w:t>
      </w:r>
      <w:r>
        <w:rPr>
          <w:rFonts w:hint="eastAsia" w:ascii="仿宋" w:hAnsi="仿宋" w:eastAsia="仿宋" w:cs="仿宋"/>
          <w:color w:val="auto"/>
          <w:sz w:val="28"/>
          <w:szCs w:val="28"/>
        </w:rPr>
        <w:t>）项目投标活动,全权代表本公司处理投标过程的一切事宜，包括但不限于：投标、询价、合同签署、合同执行等。供应商授权代表在投标过程中所签署的一切文件和处理与之有关的一切事务，本公司均予以认可并对此承担责任。供应商授权代表无转委托权。特此授权。</w:t>
      </w: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本授权书自出具之日起生效。</w:t>
      </w: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特此声明。</w:t>
      </w:r>
    </w:p>
    <w:p>
      <w:pPr>
        <w:pStyle w:val="2"/>
        <w:spacing w:line="360" w:lineRule="auto"/>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          供应商公章：</w:t>
      </w:r>
    </w:p>
    <w:p>
      <w:pPr>
        <w:pStyle w:val="2"/>
        <w:spacing w:line="360" w:lineRule="auto"/>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授权代表签字：            联系电话：</w:t>
      </w:r>
    </w:p>
    <w:p>
      <w:pPr>
        <w:pStyle w:val="2"/>
        <w:spacing w:line="360" w:lineRule="auto"/>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日期：________________</w:t>
      </w:r>
    </w:p>
    <w:p>
      <w:pPr>
        <w:pStyle w:val="2"/>
        <w:spacing w:line="360" w:lineRule="auto"/>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p>
    <w:p>
      <w:pPr>
        <w:pStyle w:val="2"/>
        <w:spacing w:line="360" w:lineRule="auto"/>
        <w:ind w:firstLine="0" w:firstLineChars="0"/>
        <w:rPr>
          <w:rFonts w:hint="eastAsia" w:ascii="仿宋" w:hAnsi="仿宋" w:eastAsia="仿宋" w:cs="仿宋"/>
          <w:color w:val="auto"/>
          <w:sz w:val="28"/>
          <w:szCs w:val="28"/>
        </w:rPr>
      </w:pPr>
    </w:p>
    <w:p>
      <w:pPr>
        <w:pStyle w:val="2"/>
        <w:spacing w:line="360" w:lineRule="auto"/>
        <w:ind w:firstLine="0" w:firstLineChars="0"/>
        <w:rPr>
          <w:rFonts w:hint="eastAsia" w:ascii="仿宋" w:hAnsi="仿宋" w:eastAsia="仿宋" w:cs="仿宋"/>
          <w:color w:val="auto"/>
          <w:sz w:val="28"/>
          <w:szCs w:val="28"/>
        </w:rPr>
      </w:pPr>
    </w:p>
    <w:p>
      <w:pPr>
        <w:pStyle w:val="2"/>
        <w:spacing w:line="360" w:lineRule="auto"/>
        <w:ind w:firstLine="482"/>
        <w:jc w:val="center"/>
        <w:rPr>
          <w:rFonts w:hint="eastAsia" w:ascii="仿宋" w:hAnsi="仿宋" w:eastAsia="仿宋" w:cs="仿宋"/>
          <w:color w:val="auto"/>
          <w:sz w:val="28"/>
          <w:szCs w:val="28"/>
        </w:rPr>
      </w:pPr>
      <w:r>
        <w:rPr>
          <w:rFonts w:hint="eastAsia" w:ascii="仿宋" w:hAnsi="仿宋" w:eastAsia="仿宋" w:cs="仿宋"/>
          <w:b/>
          <w:bCs/>
          <w:color w:val="auto"/>
          <w:sz w:val="28"/>
          <w:szCs w:val="28"/>
        </w:rPr>
        <w:t>二、投标保证书</w:t>
      </w: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致（招标人）：</w:t>
      </w: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根据贵方招标公告，我们决定参加贵方组织的</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铜陵学院2022-2023年度燃气体泄漏报警探测器维护保养与委托检定</w:t>
      </w:r>
      <w:r>
        <w:rPr>
          <w:rFonts w:hint="eastAsia" w:ascii="仿宋" w:hAnsi="仿宋" w:eastAsia="仿宋" w:cs="仿宋"/>
          <w:color w:val="auto"/>
          <w:sz w:val="28"/>
          <w:szCs w:val="28"/>
          <w:lang w:eastAsia="zh-CN"/>
        </w:rPr>
        <w:t>服务》</w:t>
      </w:r>
      <w:r>
        <w:rPr>
          <w:rFonts w:hint="eastAsia" w:ascii="仿宋" w:hAnsi="仿宋" w:eastAsia="仿宋" w:cs="仿宋"/>
          <w:color w:val="auto"/>
          <w:sz w:val="28"/>
          <w:szCs w:val="28"/>
        </w:rPr>
        <w:t>项目的招标采购活动。我方授权(姓名和职务)代表我方（投标单位的名称）全权处理本项目投标的有关事宜。</w:t>
      </w: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我方愿意按照招标文件规定的各项要求，向采购人提供所需的货物与服务。</w:t>
      </w: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3、一旦我方中标，我方将严格履行合同规定的责任和义务。</w:t>
      </w: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4、同意按照招标文件的要求，在招标有效期30日内如果我方撤回投标书或中标后拒绝签订合同，我方将放弃要求贵方退还该投标保证金的权力。</w:t>
      </w: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5、我方保证投标文件所提供材料是真实的、准确的。</w:t>
      </w:r>
    </w:p>
    <w:p>
      <w:pPr>
        <w:pStyle w:val="2"/>
        <w:spacing w:line="360" w:lineRule="auto"/>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投标单位公章：</w:t>
      </w:r>
    </w:p>
    <w:p>
      <w:pPr>
        <w:pStyle w:val="2"/>
        <w:spacing w:line="360" w:lineRule="auto"/>
        <w:rPr>
          <w:rFonts w:hint="eastAsia" w:ascii="仿宋" w:hAnsi="仿宋" w:eastAsia="仿宋" w:cs="仿宋"/>
          <w:color w:val="auto"/>
          <w:sz w:val="28"/>
          <w:szCs w:val="28"/>
        </w:rPr>
      </w:pPr>
    </w:p>
    <w:p>
      <w:pPr>
        <w:pStyle w:val="2"/>
        <w:spacing w:line="360" w:lineRule="auto"/>
        <w:rPr>
          <w:rFonts w:hint="eastAsia" w:ascii="仿宋" w:hAnsi="仿宋" w:eastAsia="仿宋" w:cs="仿宋"/>
          <w:color w:val="auto"/>
          <w:sz w:val="28"/>
          <w:szCs w:val="28"/>
        </w:rPr>
      </w:pPr>
      <w:r>
        <w:rPr>
          <w:rFonts w:hint="eastAsia" w:ascii="仿宋" w:hAnsi="仿宋" w:eastAsia="仿宋" w:cs="仿宋"/>
          <w:color w:val="auto"/>
          <w:sz w:val="28"/>
          <w:szCs w:val="28"/>
        </w:rPr>
        <w:t>日期：________________</w:t>
      </w:r>
    </w:p>
    <w:p>
      <w:pPr>
        <w:pStyle w:val="2"/>
        <w:spacing w:line="400" w:lineRule="exact"/>
        <w:rPr>
          <w:rFonts w:hint="eastAsia" w:ascii="仿宋" w:hAnsi="仿宋" w:eastAsia="仿宋" w:cs="仿宋"/>
          <w:color w:val="auto"/>
          <w:sz w:val="28"/>
          <w:szCs w:val="28"/>
        </w:rPr>
      </w:pPr>
    </w:p>
    <w:p>
      <w:pPr>
        <w:pStyle w:val="2"/>
        <w:spacing w:line="400" w:lineRule="exact"/>
        <w:rPr>
          <w:rFonts w:hint="eastAsia" w:ascii="仿宋" w:hAnsi="仿宋" w:eastAsia="仿宋" w:cs="仿宋"/>
          <w:color w:val="auto"/>
          <w:sz w:val="28"/>
          <w:szCs w:val="28"/>
        </w:rPr>
        <w:sectPr>
          <w:footerReference r:id="rId3" w:type="default"/>
          <w:pgSz w:w="11906" w:h="16838"/>
          <w:pgMar w:top="1418" w:right="1418" w:bottom="1418" w:left="1418" w:header="851" w:footer="992" w:gutter="0"/>
          <w:cols w:space="720" w:num="1"/>
          <w:docGrid w:type="lines" w:linePitch="312" w:charSpace="0"/>
        </w:sectPr>
      </w:pPr>
    </w:p>
    <w:p>
      <w:pPr>
        <w:pStyle w:val="2"/>
        <w:spacing w:line="400" w:lineRule="exact"/>
        <w:ind w:firstLine="450"/>
        <w:rPr>
          <w:rFonts w:hint="eastAsia" w:ascii="仿宋" w:hAnsi="仿宋" w:eastAsia="仿宋" w:cs="仿宋"/>
          <w:color w:val="auto"/>
          <w:sz w:val="30"/>
          <w:szCs w:val="30"/>
        </w:rPr>
      </w:pPr>
      <w:r>
        <w:rPr>
          <w:rFonts w:hint="eastAsia" w:ascii="仿宋" w:hAnsi="仿宋" w:eastAsia="仿宋" w:cs="仿宋"/>
          <w:color w:val="auto"/>
          <w:sz w:val="30"/>
          <w:szCs w:val="30"/>
        </w:rPr>
        <w:t xml:space="preserve">     铜陵学院2022-2023年度燃气体泄漏报警探测器维护保养与委托检定采购项目投标报价表  </w:t>
      </w:r>
    </w:p>
    <w:p>
      <w:pPr>
        <w:pStyle w:val="2"/>
        <w:spacing w:line="400" w:lineRule="exact"/>
        <w:ind w:firstLine="450"/>
        <w:rPr>
          <w:rFonts w:hint="eastAsia" w:ascii="仿宋" w:hAnsi="仿宋" w:eastAsia="仿宋" w:cs="仿宋"/>
          <w:color w:val="auto"/>
          <w:sz w:val="30"/>
          <w:szCs w:val="30"/>
        </w:rPr>
      </w:pPr>
    </w:p>
    <w:tbl>
      <w:tblPr>
        <w:tblStyle w:val="8"/>
        <w:tblW w:w="13908" w:type="dxa"/>
        <w:tblInd w:w="5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5093"/>
        <w:gridCol w:w="1992"/>
        <w:gridCol w:w="2388"/>
        <w:gridCol w:w="3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931"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序号</w:t>
            </w:r>
          </w:p>
        </w:tc>
        <w:tc>
          <w:tcPr>
            <w:tcW w:w="5093"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名 称</w:t>
            </w:r>
          </w:p>
        </w:tc>
        <w:tc>
          <w:tcPr>
            <w:tcW w:w="1992"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0" w:firstLineChars="0"/>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主要</w:t>
            </w:r>
            <w:r>
              <w:rPr>
                <w:rFonts w:hint="eastAsia" w:ascii="仿宋" w:hAnsi="仿宋" w:eastAsia="仿宋" w:cs="仿宋"/>
                <w:b/>
                <w:color w:val="auto"/>
                <w:sz w:val="21"/>
                <w:szCs w:val="21"/>
                <w:lang w:eastAsia="zh-CN"/>
              </w:rPr>
              <w:t>服务</w:t>
            </w:r>
            <w:r>
              <w:rPr>
                <w:rFonts w:hint="eastAsia" w:ascii="仿宋" w:hAnsi="仿宋" w:eastAsia="仿宋" w:cs="仿宋"/>
                <w:b/>
                <w:color w:val="auto"/>
                <w:sz w:val="21"/>
                <w:szCs w:val="21"/>
              </w:rPr>
              <w:t>要求</w:t>
            </w:r>
          </w:p>
        </w:tc>
        <w:tc>
          <w:tcPr>
            <w:tcW w:w="2388"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211" w:firstLineChars="100"/>
              <w:rPr>
                <w:rFonts w:hint="eastAsia" w:ascii="仿宋" w:hAnsi="仿宋" w:eastAsia="仿宋" w:cs="仿宋"/>
                <w:b/>
                <w:color w:val="auto"/>
                <w:sz w:val="21"/>
                <w:szCs w:val="21"/>
              </w:rPr>
            </w:pPr>
            <w:r>
              <w:rPr>
                <w:rFonts w:hint="eastAsia" w:ascii="仿宋" w:hAnsi="仿宋" w:eastAsia="仿宋" w:cs="仿宋"/>
                <w:b/>
                <w:color w:val="auto"/>
                <w:sz w:val="21"/>
                <w:szCs w:val="21"/>
              </w:rPr>
              <w:t>金额（元</w:t>
            </w:r>
            <w:r>
              <w:rPr>
                <w:rFonts w:hint="eastAsia" w:ascii="仿宋" w:hAnsi="仿宋" w:eastAsia="仿宋" w:cs="仿宋"/>
                <w:b/>
                <w:color w:val="auto"/>
                <w:sz w:val="21"/>
                <w:szCs w:val="21"/>
                <w:lang w:val="en-US" w:eastAsia="zh-CN"/>
              </w:rPr>
              <w:t>/年</w:t>
            </w:r>
            <w:r>
              <w:rPr>
                <w:rFonts w:hint="eastAsia" w:ascii="仿宋" w:hAnsi="仿宋" w:eastAsia="仿宋" w:cs="仿宋"/>
                <w:b/>
                <w:color w:val="auto"/>
                <w:sz w:val="21"/>
                <w:szCs w:val="21"/>
              </w:rPr>
              <w:t>）</w:t>
            </w:r>
          </w:p>
        </w:tc>
        <w:tc>
          <w:tcPr>
            <w:tcW w:w="3504"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jc w:val="center"/>
              <w:rPr>
                <w:rFonts w:hint="eastAsia" w:ascii="仿宋" w:hAnsi="仿宋" w:eastAsia="仿宋" w:cs="仿宋"/>
                <w:b/>
                <w:color w:val="auto"/>
                <w:sz w:val="21"/>
                <w:szCs w:val="21"/>
                <w:lang w:eastAsia="zh-CN"/>
              </w:rPr>
            </w:pPr>
            <w:r>
              <w:rPr>
                <w:rFonts w:hint="eastAsia" w:ascii="仿宋" w:hAnsi="仿宋" w:eastAsia="仿宋" w:cs="仿宋"/>
                <w:b/>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31"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1</w:t>
            </w:r>
          </w:p>
        </w:tc>
        <w:tc>
          <w:tcPr>
            <w:tcW w:w="5093"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left"/>
              <w:rPr>
                <w:rFonts w:hint="eastAsia" w:ascii="仿宋" w:hAnsi="仿宋" w:eastAsia="仿宋" w:cs="仿宋"/>
                <w:b w:val="0"/>
                <w:bCs w:val="0"/>
                <w:color w:val="auto"/>
                <w:sz w:val="21"/>
                <w:szCs w:val="21"/>
                <w:lang w:eastAsia="zh-CN"/>
              </w:rPr>
            </w:pPr>
            <w:r>
              <w:rPr>
                <w:rFonts w:hint="eastAsia" w:ascii="仿宋" w:hAnsi="仿宋" w:eastAsia="仿宋" w:cs="仿宋"/>
                <w:b w:val="0"/>
                <w:bCs w:val="0"/>
                <w:sz w:val="21"/>
                <w:szCs w:val="21"/>
                <w:shd w:val="clear" w:color="auto" w:fill="FFFFFF"/>
              </w:rPr>
              <w:t>燃气泄漏报警系统维护保养与委托检定</w:t>
            </w:r>
            <w:r>
              <w:rPr>
                <w:rFonts w:hint="eastAsia" w:ascii="仿宋" w:hAnsi="仿宋" w:eastAsia="仿宋" w:cs="仿宋"/>
                <w:b w:val="0"/>
                <w:bCs w:val="0"/>
                <w:sz w:val="21"/>
                <w:szCs w:val="21"/>
                <w:shd w:val="clear" w:color="auto" w:fill="FFFFFF"/>
                <w:lang w:eastAsia="zh-CN"/>
              </w:rPr>
              <w:t>服务费</w:t>
            </w:r>
          </w:p>
        </w:tc>
        <w:tc>
          <w:tcPr>
            <w:tcW w:w="1992" w:type="dxa"/>
            <w:tcBorders>
              <w:top w:val="single" w:color="auto" w:sz="4" w:space="0"/>
              <w:left w:val="single" w:color="auto" w:sz="4" w:space="0"/>
              <w:bottom w:val="single" w:color="auto" w:sz="4" w:space="0"/>
              <w:right w:val="single" w:color="auto" w:sz="4" w:space="0"/>
            </w:tcBorders>
            <w:vAlign w:val="center"/>
          </w:tcPr>
          <w:p>
            <w:pPr>
              <w:pStyle w:val="2"/>
              <w:ind w:firstLine="0" w:firstLineChars="0"/>
              <w:jc w:val="center"/>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详见《询价函》</w:t>
            </w:r>
          </w:p>
        </w:tc>
        <w:tc>
          <w:tcPr>
            <w:tcW w:w="2388" w:type="dxa"/>
            <w:tcBorders>
              <w:top w:val="single" w:color="auto" w:sz="4" w:space="0"/>
              <w:left w:val="single" w:color="auto" w:sz="4" w:space="0"/>
              <w:bottom w:val="single" w:color="auto" w:sz="4" w:space="0"/>
              <w:right w:val="single" w:color="auto" w:sz="4" w:space="0"/>
            </w:tcBorders>
            <w:vAlign w:val="center"/>
          </w:tcPr>
          <w:p>
            <w:pPr>
              <w:pStyle w:val="2"/>
              <w:ind w:firstLine="315"/>
              <w:rPr>
                <w:rFonts w:hint="eastAsia" w:ascii="仿宋" w:hAnsi="仿宋" w:eastAsia="仿宋" w:cs="仿宋"/>
                <w:color w:val="auto"/>
                <w:sz w:val="21"/>
                <w:szCs w:val="21"/>
              </w:rPr>
            </w:pPr>
          </w:p>
        </w:tc>
        <w:tc>
          <w:tcPr>
            <w:tcW w:w="3504" w:type="dxa"/>
            <w:tcBorders>
              <w:top w:val="single" w:color="auto" w:sz="4" w:space="0"/>
              <w:left w:val="single" w:color="auto" w:sz="4" w:space="0"/>
              <w:bottom w:val="single" w:color="auto" w:sz="4" w:space="0"/>
              <w:right w:val="single" w:color="auto" w:sz="4" w:space="0"/>
            </w:tcBorders>
            <w:vAlign w:val="center"/>
          </w:tcPr>
          <w:p>
            <w:pPr>
              <w:pStyle w:val="2"/>
              <w:ind w:firstLine="315"/>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31" w:type="dxa"/>
            <w:tcBorders>
              <w:top w:val="single" w:color="auto" w:sz="4" w:space="0"/>
              <w:left w:val="single" w:color="auto" w:sz="4" w:space="0"/>
              <w:bottom w:val="single" w:color="auto" w:sz="4" w:space="0"/>
              <w:right w:val="single" w:color="auto" w:sz="4" w:space="0"/>
            </w:tcBorders>
            <w:vAlign w:val="top"/>
          </w:tcPr>
          <w:p>
            <w:pPr>
              <w:pStyle w:val="2"/>
              <w:spacing w:line="400" w:lineRule="exact"/>
              <w:ind w:firstLine="316"/>
              <w:jc w:val="center"/>
              <w:rPr>
                <w:rFonts w:hint="eastAsia" w:ascii="仿宋" w:hAnsi="仿宋" w:eastAsia="仿宋" w:cs="仿宋"/>
                <w:b w:val="0"/>
                <w:bCs w:val="0"/>
                <w:color w:val="auto"/>
                <w:sz w:val="21"/>
                <w:szCs w:val="21"/>
              </w:rPr>
            </w:pPr>
          </w:p>
        </w:tc>
        <w:tc>
          <w:tcPr>
            <w:tcW w:w="7085" w:type="dxa"/>
            <w:gridSpan w:val="2"/>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jc w:val="left"/>
              <w:rPr>
                <w:rFonts w:hint="eastAsia" w:ascii="仿宋" w:hAnsi="仿宋" w:eastAsia="仿宋" w:cs="仿宋"/>
                <w:b w:val="0"/>
                <w:bCs w:val="0"/>
                <w:color w:val="auto"/>
                <w:sz w:val="21"/>
                <w:szCs w:val="21"/>
              </w:rPr>
            </w:pPr>
            <w:r>
              <w:rPr>
                <w:rFonts w:hint="eastAsia" w:ascii="仿宋" w:hAnsi="仿宋" w:eastAsia="仿宋" w:cs="仿宋"/>
                <w:b w:val="0"/>
                <w:bCs w:val="0"/>
                <w:color w:val="auto"/>
                <w:sz w:val="21"/>
                <w:szCs w:val="21"/>
              </w:rPr>
              <w:t>合  计</w:t>
            </w:r>
          </w:p>
        </w:tc>
        <w:tc>
          <w:tcPr>
            <w:tcW w:w="2388"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hint="eastAsia" w:ascii="仿宋" w:hAnsi="仿宋" w:eastAsia="仿宋" w:cs="仿宋"/>
                <w:color w:val="auto"/>
                <w:sz w:val="21"/>
                <w:szCs w:val="21"/>
              </w:rPr>
            </w:pPr>
          </w:p>
        </w:tc>
        <w:tc>
          <w:tcPr>
            <w:tcW w:w="3504" w:type="dxa"/>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5"/>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31" w:type="dxa"/>
            <w:tcBorders>
              <w:top w:val="single" w:color="auto" w:sz="4" w:space="0"/>
              <w:left w:val="single" w:color="auto" w:sz="4" w:space="0"/>
              <w:bottom w:val="single" w:color="auto" w:sz="4" w:space="0"/>
              <w:right w:val="single" w:color="auto" w:sz="4" w:space="0"/>
            </w:tcBorders>
            <w:vAlign w:val="top"/>
          </w:tcPr>
          <w:p>
            <w:pPr>
              <w:pStyle w:val="2"/>
              <w:spacing w:line="400" w:lineRule="exact"/>
              <w:ind w:firstLine="316"/>
              <w:rPr>
                <w:rFonts w:hint="eastAsia" w:ascii="仿宋" w:hAnsi="仿宋" w:eastAsia="仿宋" w:cs="仿宋"/>
                <w:b/>
                <w:color w:val="auto"/>
                <w:sz w:val="21"/>
                <w:szCs w:val="21"/>
              </w:rPr>
            </w:pPr>
          </w:p>
        </w:tc>
        <w:tc>
          <w:tcPr>
            <w:tcW w:w="12977" w:type="dxa"/>
            <w:gridSpan w:val="4"/>
            <w:tcBorders>
              <w:top w:val="single" w:color="auto" w:sz="4" w:space="0"/>
              <w:left w:val="single" w:color="auto" w:sz="4" w:space="0"/>
              <w:bottom w:val="single" w:color="auto" w:sz="4" w:space="0"/>
              <w:right w:val="single" w:color="auto" w:sz="4" w:space="0"/>
            </w:tcBorders>
            <w:vAlign w:val="center"/>
          </w:tcPr>
          <w:p>
            <w:pPr>
              <w:pStyle w:val="2"/>
              <w:spacing w:line="400" w:lineRule="exact"/>
              <w:ind w:firstLine="316"/>
              <w:rPr>
                <w:rFonts w:hint="eastAsia" w:ascii="仿宋" w:hAnsi="仿宋" w:eastAsia="仿宋" w:cs="仿宋"/>
                <w:color w:val="auto"/>
                <w:sz w:val="21"/>
                <w:szCs w:val="21"/>
              </w:rPr>
            </w:pPr>
            <w:r>
              <w:rPr>
                <w:rFonts w:hint="eastAsia" w:ascii="仿宋" w:hAnsi="仿宋" w:eastAsia="仿宋" w:cs="仿宋"/>
                <w:b/>
                <w:color w:val="auto"/>
                <w:sz w:val="21"/>
                <w:szCs w:val="21"/>
              </w:rPr>
              <w:t>合计报价（大写）</w:t>
            </w:r>
            <w:r>
              <w:rPr>
                <w:rFonts w:hint="eastAsia" w:ascii="仿宋" w:hAnsi="仿宋" w:eastAsia="仿宋" w:cs="仿宋"/>
                <w:color w:val="auto"/>
                <w:sz w:val="21"/>
                <w:szCs w:val="21"/>
              </w:rPr>
              <w:t>：</w:t>
            </w:r>
          </w:p>
        </w:tc>
      </w:tr>
    </w:tbl>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注：1.报价为产品的最终完全报价（包括产品价款、辅材及配件、运输费及其保险费、安装费、搬运力资费、垃圾清运费、利税和应承担的风险等一切费用）。</w:t>
      </w:r>
    </w:p>
    <w:p>
      <w:pPr>
        <w:pStyle w:val="2"/>
        <w:spacing w:line="400" w:lineRule="exact"/>
        <w:ind w:firstLine="840" w:firstLineChars="350"/>
        <w:rPr>
          <w:rFonts w:hint="eastAsia" w:ascii="仿宋" w:hAnsi="仿宋" w:eastAsia="仿宋" w:cs="仿宋"/>
          <w:color w:val="auto"/>
          <w:sz w:val="24"/>
          <w:szCs w:val="24"/>
        </w:rPr>
      </w:pPr>
      <w:r>
        <w:rPr>
          <w:rFonts w:hint="eastAsia" w:ascii="仿宋" w:hAnsi="仿宋" w:eastAsia="仿宋" w:cs="仿宋"/>
          <w:color w:val="auto"/>
          <w:sz w:val="24"/>
          <w:szCs w:val="24"/>
        </w:rPr>
        <w:t>2.采购人将综合各被询价投标单位报价、实力等情况确定中标供应商。</w:t>
      </w:r>
    </w:p>
    <w:p>
      <w:pPr>
        <w:pStyle w:val="2"/>
        <w:spacing w:line="400" w:lineRule="exact"/>
        <w:ind w:firstLine="840" w:firstLineChars="350"/>
        <w:rPr>
          <w:rFonts w:hint="eastAsia" w:ascii="仿宋" w:hAnsi="仿宋" w:eastAsia="仿宋" w:cs="仿宋"/>
          <w:color w:val="auto"/>
          <w:sz w:val="24"/>
          <w:szCs w:val="24"/>
        </w:rPr>
      </w:pPr>
      <w:r>
        <w:rPr>
          <w:rFonts w:hint="eastAsia" w:ascii="仿宋" w:hAnsi="仿宋" w:eastAsia="仿宋" w:cs="仿宋"/>
          <w:color w:val="auto"/>
          <w:sz w:val="24"/>
          <w:szCs w:val="24"/>
        </w:rPr>
        <w:t>3.投标人的报价函将作为合同的组成部分。</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 xml:space="preserve">投  标  人（公章）：                                </w:t>
      </w:r>
    </w:p>
    <w:p>
      <w:pPr>
        <w:pStyle w:val="2"/>
        <w:spacing w:line="400" w:lineRule="exact"/>
        <w:ind w:firstLine="360"/>
        <w:rPr>
          <w:rFonts w:hint="eastAsia" w:ascii="仿宋" w:hAnsi="仿宋" w:eastAsia="仿宋" w:cs="仿宋"/>
          <w:color w:val="auto"/>
          <w:sz w:val="24"/>
          <w:szCs w:val="24"/>
        </w:rPr>
      </w:pPr>
      <w:r>
        <w:rPr>
          <w:rFonts w:hint="eastAsia" w:ascii="仿宋" w:hAnsi="仿宋" w:eastAsia="仿宋" w:cs="仿宋"/>
          <w:color w:val="auto"/>
          <w:sz w:val="24"/>
          <w:szCs w:val="24"/>
        </w:rPr>
        <w:t>授权委托人：（签名）                             联系电话：                    投标时间：</w:t>
      </w:r>
    </w:p>
    <w:sectPr>
      <w:pgSz w:w="16838" w:h="11906" w:orient="landscape"/>
      <w:pgMar w:top="1800" w:right="1135" w:bottom="1800" w:left="1135"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Calibri" w:hAnsi="Calibri" w:eastAsia="宋体" w:cs="Times New Roman"/>
        <w:kern w:val="2"/>
        <w:sz w:val="18"/>
        <w:szCs w:val="18"/>
        <w:lang w:val="en-US" w:eastAsia="zh-CN" w:bidi="ar-SA"/>
      </w:rPr>
      <w:pict>
        <v:shape id="Quad Arrow 1"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5"/>
                </w:pPr>
                <w:r>
                  <w:fldChar w:fldCharType="begin"/>
                </w:r>
                <w:r>
                  <w:instrText xml:space="preserve"> PAGE  \* MERGEFORMAT </w:instrText>
                </w:r>
                <w:r>
                  <w:fldChar w:fldCharType="separate"/>
                </w:r>
                <w:r>
                  <w:t>8</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TgxOWU0ZGExN2Y4YjcwYzAxNjY1ZDBjNmQyNWIyNjkifQ=="/>
  </w:docVars>
  <w:rsids>
    <w:rsidRoot w:val="002507D3"/>
    <w:rsid w:val="00001462"/>
    <w:rsid w:val="00012B2F"/>
    <w:rsid w:val="00047ABC"/>
    <w:rsid w:val="000B40DA"/>
    <w:rsid w:val="000C2CE8"/>
    <w:rsid w:val="0010474D"/>
    <w:rsid w:val="00104B63"/>
    <w:rsid w:val="0012172E"/>
    <w:rsid w:val="00144840"/>
    <w:rsid w:val="00161A36"/>
    <w:rsid w:val="00162DD1"/>
    <w:rsid w:val="001A5877"/>
    <w:rsid w:val="001C33F6"/>
    <w:rsid w:val="001E7ACA"/>
    <w:rsid w:val="00244C32"/>
    <w:rsid w:val="002507D3"/>
    <w:rsid w:val="002855F3"/>
    <w:rsid w:val="002B3EC8"/>
    <w:rsid w:val="002C04F1"/>
    <w:rsid w:val="002C6F0B"/>
    <w:rsid w:val="003979FC"/>
    <w:rsid w:val="0040293B"/>
    <w:rsid w:val="00455826"/>
    <w:rsid w:val="00473FA5"/>
    <w:rsid w:val="004D366F"/>
    <w:rsid w:val="004D460A"/>
    <w:rsid w:val="004E5CBF"/>
    <w:rsid w:val="00500963"/>
    <w:rsid w:val="00507F8F"/>
    <w:rsid w:val="00513169"/>
    <w:rsid w:val="00524E3C"/>
    <w:rsid w:val="00540F63"/>
    <w:rsid w:val="00560EDC"/>
    <w:rsid w:val="005A108E"/>
    <w:rsid w:val="005E1F91"/>
    <w:rsid w:val="006320CF"/>
    <w:rsid w:val="0067194C"/>
    <w:rsid w:val="0067215F"/>
    <w:rsid w:val="006B47E6"/>
    <w:rsid w:val="006C2552"/>
    <w:rsid w:val="00712013"/>
    <w:rsid w:val="00752FA6"/>
    <w:rsid w:val="007608D2"/>
    <w:rsid w:val="007D1FBF"/>
    <w:rsid w:val="007E1F99"/>
    <w:rsid w:val="007E214A"/>
    <w:rsid w:val="0084499E"/>
    <w:rsid w:val="008740CA"/>
    <w:rsid w:val="008F10E8"/>
    <w:rsid w:val="00903D32"/>
    <w:rsid w:val="00934B57"/>
    <w:rsid w:val="00950CB7"/>
    <w:rsid w:val="00966D00"/>
    <w:rsid w:val="009752A1"/>
    <w:rsid w:val="009B18A7"/>
    <w:rsid w:val="009C01A2"/>
    <w:rsid w:val="009F5828"/>
    <w:rsid w:val="00A24718"/>
    <w:rsid w:val="00A3593E"/>
    <w:rsid w:val="00A410F5"/>
    <w:rsid w:val="00A52F02"/>
    <w:rsid w:val="00A615BA"/>
    <w:rsid w:val="00A64A02"/>
    <w:rsid w:val="00A715A6"/>
    <w:rsid w:val="00A90FB1"/>
    <w:rsid w:val="00AF27B0"/>
    <w:rsid w:val="00B30FCE"/>
    <w:rsid w:val="00B319F8"/>
    <w:rsid w:val="00B445B5"/>
    <w:rsid w:val="00B637BF"/>
    <w:rsid w:val="00BE2059"/>
    <w:rsid w:val="00C1771C"/>
    <w:rsid w:val="00CB58A4"/>
    <w:rsid w:val="00D02870"/>
    <w:rsid w:val="00D049DA"/>
    <w:rsid w:val="00D14979"/>
    <w:rsid w:val="00D330CA"/>
    <w:rsid w:val="00D53327"/>
    <w:rsid w:val="00D6262F"/>
    <w:rsid w:val="00DA691A"/>
    <w:rsid w:val="00DB72A0"/>
    <w:rsid w:val="00DC5BA8"/>
    <w:rsid w:val="00DE19F4"/>
    <w:rsid w:val="00DE7860"/>
    <w:rsid w:val="00E10501"/>
    <w:rsid w:val="00E1086A"/>
    <w:rsid w:val="00E52F48"/>
    <w:rsid w:val="00E842B8"/>
    <w:rsid w:val="00E975FA"/>
    <w:rsid w:val="00EA2B20"/>
    <w:rsid w:val="00EE2187"/>
    <w:rsid w:val="00EE3FE9"/>
    <w:rsid w:val="00EF0959"/>
    <w:rsid w:val="00EF36BA"/>
    <w:rsid w:val="00F70561"/>
    <w:rsid w:val="00F84B20"/>
    <w:rsid w:val="00FE1E82"/>
    <w:rsid w:val="179A0912"/>
    <w:rsid w:val="39572048"/>
    <w:rsid w:val="3FB3269A"/>
    <w:rsid w:val="4688614A"/>
    <w:rsid w:val="487F1226"/>
    <w:rsid w:val="53841104"/>
    <w:rsid w:val="53E94234"/>
    <w:rsid w:val="550A6DD8"/>
    <w:rsid w:val="670172B9"/>
    <w:rsid w:val="6BD62407"/>
    <w:rsid w:val="767C5F7A"/>
    <w:rsid w:val="7A420B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Indent"/>
    <w:basedOn w:val="1"/>
    <w:link w:val="15"/>
    <w:qFormat/>
    <w:uiPriority w:val="0"/>
    <w:pPr>
      <w:ind w:firstLine="420" w:firstLineChars="150"/>
    </w:pPr>
    <w:rPr>
      <w:rFonts w:ascii="宋体" w:hAnsi="宋体" w:eastAsia="华文中宋"/>
      <w:sz w:val="28"/>
      <w:szCs w:val="28"/>
    </w:rPr>
  </w:style>
  <w:style w:type="paragraph" w:styleId="3">
    <w:name w:val="Plain Text"/>
    <w:basedOn w:val="1"/>
    <w:link w:val="17"/>
    <w:qFormat/>
    <w:uiPriority w:val="0"/>
    <w:rPr>
      <w:rFonts w:ascii="宋体" w:hAnsi="Courier New"/>
      <w:szCs w:val="20"/>
    </w:rPr>
  </w:style>
  <w:style w:type="paragraph" w:styleId="4">
    <w:name w:val="Balloon Text"/>
    <w:basedOn w:val="1"/>
    <w:link w:val="16"/>
    <w:unhideWhenUsed/>
    <w:qFormat/>
    <w:uiPriority w:val="99"/>
    <w:rPr>
      <w:sz w:val="18"/>
      <w:szCs w:val="18"/>
    </w:rPr>
  </w:style>
  <w:style w:type="paragraph" w:styleId="5">
    <w:name w:val="footer"/>
    <w:basedOn w:val="1"/>
    <w:link w:val="14"/>
    <w:unhideWhenUsed/>
    <w:qFormat/>
    <w:uiPriority w:val="0"/>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character" w:styleId="10">
    <w:name w:val="Strong"/>
    <w:basedOn w:val="9"/>
    <w:qFormat/>
    <w:uiPriority w:val="22"/>
    <w:rPr>
      <w:b/>
      <w:bCs/>
    </w:rPr>
  </w:style>
  <w:style w:type="character" w:styleId="11">
    <w:name w:val="Hyperlink"/>
    <w:basedOn w:val="9"/>
    <w:unhideWhenUsed/>
    <w:qFormat/>
    <w:uiPriority w:val="99"/>
    <w:rPr>
      <w:color w:val="262626"/>
      <w:sz w:val="18"/>
      <w:szCs w:val="18"/>
      <w:u w:val="none"/>
    </w:rPr>
  </w:style>
  <w:style w:type="paragraph" w:customStyle="1" w:styleId="12">
    <w:name w:val="p_text_indent_2"/>
    <w:basedOn w:val="1"/>
    <w:qFormat/>
    <w:uiPriority w:val="0"/>
    <w:pPr>
      <w:widowControl/>
      <w:spacing w:before="100" w:beforeAutospacing="1" w:after="100" w:afterAutospacing="1"/>
      <w:ind w:firstLine="480"/>
      <w:jc w:val="left"/>
    </w:pPr>
    <w:rPr>
      <w:rFonts w:ascii="宋体" w:hAnsi="宋体" w:cs="宋体"/>
      <w:kern w:val="0"/>
      <w:sz w:val="24"/>
      <w:szCs w:val="24"/>
    </w:rPr>
  </w:style>
  <w:style w:type="paragraph" w:customStyle="1" w:styleId="13">
    <w:name w:val="02标题二"/>
    <w:basedOn w:val="1"/>
    <w:qFormat/>
    <w:uiPriority w:val="0"/>
    <w:pPr>
      <w:autoSpaceDE w:val="0"/>
      <w:autoSpaceDN w:val="0"/>
      <w:ind w:firstLine="562" w:firstLineChars="200"/>
    </w:pPr>
    <w:rPr>
      <w:rFonts w:ascii="宋体" w:hAnsi="宋体" w:cs="华文仿宋"/>
      <w:b/>
      <w:bCs/>
      <w:kern w:val="0"/>
      <w:sz w:val="28"/>
      <w:szCs w:val="28"/>
    </w:rPr>
  </w:style>
  <w:style w:type="character" w:customStyle="1" w:styleId="14">
    <w:name w:val="页脚 Char"/>
    <w:basedOn w:val="9"/>
    <w:link w:val="5"/>
    <w:qFormat/>
    <w:uiPriority w:val="0"/>
    <w:rPr>
      <w:sz w:val="18"/>
      <w:szCs w:val="18"/>
    </w:rPr>
  </w:style>
  <w:style w:type="character" w:customStyle="1" w:styleId="15">
    <w:name w:val="正文文本缩进 Char"/>
    <w:basedOn w:val="9"/>
    <w:link w:val="2"/>
    <w:qFormat/>
    <w:uiPriority w:val="0"/>
    <w:rPr>
      <w:rFonts w:ascii="宋体" w:hAnsi="宋体" w:eastAsia="华文中宋" w:cs="Times New Roman"/>
      <w:sz w:val="28"/>
      <w:szCs w:val="28"/>
    </w:rPr>
  </w:style>
  <w:style w:type="character" w:customStyle="1" w:styleId="16">
    <w:name w:val="批注框文本 Char"/>
    <w:basedOn w:val="9"/>
    <w:link w:val="4"/>
    <w:semiHidden/>
    <w:qFormat/>
    <w:uiPriority w:val="99"/>
    <w:rPr>
      <w:sz w:val="18"/>
      <w:szCs w:val="18"/>
    </w:rPr>
  </w:style>
  <w:style w:type="character" w:customStyle="1" w:styleId="17">
    <w:name w:val="纯文本 Char"/>
    <w:basedOn w:val="9"/>
    <w:link w:val="3"/>
    <w:qFormat/>
    <w:uiPriority w:val="0"/>
    <w:rPr>
      <w:rFonts w:ascii="宋体" w:hAnsi="Courier New" w:eastAsia="宋体" w:cs="Times New Roman"/>
      <w:szCs w:val="20"/>
    </w:rPr>
  </w:style>
  <w:style w:type="character" w:customStyle="1" w:styleId="18">
    <w:name w:val="页眉 Char"/>
    <w:basedOn w:val="9"/>
    <w:link w:val="6"/>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Pages>
  <Words>3018</Words>
  <Characters>3247</Characters>
  <Lines>35</Lines>
  <Paragraphs>10</Paragraphs>
  <TotalTime>4</TotalTime>
  <ScaleCrop>false</ScaleCrop>
  <LinksUpToDate>false</LinksUpToDate>
  <CharactersWithSpaces>3724</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2018-11-02T01:40:00Z</dcterms:created>
  <dc:creator>Hewlett-Packard Company</dc:creator>
  <cp:lastModifiedBy>Administrator</cp:lastModifiedBy>
  <cp:lastPrinted>2020-07-21T08:10:00Z</cp:lastPrinted>
  <dcterms:modified xsi:type="dcterms:W3CDTF">2022-07-26T02:04:30Z</dcterms:modified>
  <dc:title>铜陵学院2020年翠湖校区东食堂可燃气体泄漏报警器采购与安装</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89098951B1DB4E259B75631985C832BF</vt:lpwstr>
  </property>
</Properties>
</file>