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sz w:val="36"/>
          <w:szCs w:val="36"/>
        </w:rPr>
      </w:pPr>
    </w:p>
    <w:p>
      <w:pPr>
        <w:jc w:val="center"/>
        <w:rPr>
          <w:rFonts w:ascii="宋体" w:hAnsi="宋体" w:cs="宋体"/>
          <w:b/>
          <w:sz w:val="44"/>
          <w:szCs w:val="44"/>
        </w:rPr>
      </w:pPr>
      <w:r>
        <w:rPr>
          <w:rFonts w:hint="eastAsia" w:ascii="宋体" w:hAnsi="宋体" w:cs="宋体"/>
          <w:b/>
          <w:sz w:val="44"/>
          <w:szCs w:val="44"/>
        </w:rPr>
        <w:t>铜陵学院道路交通辅助设计系统</w:t>
      </w:r>
    </w:p>
    <w:p>
      <w:pPr>
        <w:jc w:val="center"/>
        <w:rPr>
          <w:rFonts w:ascii="宋体" w:hAnsi="宋体" w:cs="宋体"/>
          <w:b/>
          <w:sz w:val="44"/>
          <w:szCs w:val="44"/>
        </w:rPr>
      </w:pPr>
      <w:r>
        <w:rPr>
          <w:rFonts w:hint="eastAsia" w:ascii="宋体" w:hAnsi="宋体" w:cs="宋体"/>
          <w:b/>
          <w:sz w:val="44"/>
          <w:szCs w:val="44"/>
        </w:rPr>
        <w:t>采购项目</w:t>
      </w:r>
    </w:p>
    <w:p>
      <w:pPr>
        <w:jc w:val="center"/>
        <w:rPr>
          <w:rFonts w:ascii="宋体" w:hAnsi="宋体" w:cs="宋体"/>
          <w:b/>
          <w:sz w:val="44"/>
          <w:szCs w:val="44"/>
        </w:rPr>
      </w:pPr>
    </w:p>
    <w:p>
      <w:pPr>
        <w:jc w:val="center"/>
        <w:rPr>
          <w:rFonts w:ascii="宋体" w:hAnsi="宋体"/>
          <w:b/>
          <w:sz w:val="48"/>
          <w:szCs w:val="48"/>
        </w:rPr>
      </w:pPr>
      <w:r>
        <w:rPr>
          <w:rFonts w:hint="eastAsia" w:ascii="宋体" w:hAnsi="宋体" w:cs="宋体"/>
          <w:b/>
          <w:sz w:val="84"/>
        </w:rPr>
        <w:t>竞争性磋商文件</w:t>
      </w:r>
    </w:p>
    <w:p>
      <w:pPr>
        <w:rPr>
          <w:rFonts w:ascii="宋体" w:hAnsi="宋体"/>
        </w:rPr>
      </w:pPr>
    </w:p>
    <w:p>
      <w:pPr>
        <w:jc w:val="center"/>
        <w:rPr>
          <w:rFonts w:ascii="宋体" w:hAnsi="宋体"/>
        </w:rPr>
      </w:pPr>
    </w:p>
    <w:p>
      <w:pPr>
        <w:widowControl/>
        <w:spacing w:before="100" w:beforeAutospacing="1" w:after="100" w:afterAutospacing="1" w:line="760" w:lineRule="exact"/>
        <w:ind w:right="560" w:firstLine="2221" w:firstLineChars="790"/>
        <w:rPr>
          <w:rFonts w:ascii="宋体" w:hAnsi="宋体" w:cs="宋体"/>
          <w:b/>
          <w:kern w:val="0"/>
          <w:sz w:val="56"/>
          <w:szCs w:val="56"/>
        </w:rPr>
      </w:pPr>
      <w:r>
        <w:rPr>
          <w:rFonts w:hint="eastAsia" w:ascii="宋体" w:hAnsi="宋体" w:cs="宋体"/>
          <w:b/>
          <w:sz w:val="28"/>
          <w:szCs w:val="28"/>
        </w:rPr>
        <w:t>项目编号：</w:t>
      </w:r>
      <w:r>
        <w:rPr>
          <w:rFonts w:hint="eastAsia" w:ascii="宋体" w:hAnsi="宋体" w:cs="宋体"/>
          <w:b/>
          <w:color w:val="000000" w:themeColor="text1"/>
          <w:sz w:val="28"/>
          <w:szCs w:val="28"/>
          <w14:textFill>
            <w14:solidFill>
              <w14:schemeClr w14:val="tx1"/>
            </w14:solidFill>
          </w14:textFill>
        </w:rPr>
        <w:t>tlxyzb[2018]115</w:t>
      </w:r>
      <w:r>
        <w:rPr>
          <w:rFonts w:hint="eastAsia" w:ascii="宋体" w:hAnsi="宋体" w:cs="宋体"/>
          <w:b/>
          <w:sz w:val="28"/>
          <w:szCs w:val="28"/>
        </w:rPr>
        <w:t>号</w:t>
      </w:r>
    </w:p>
    <w:p>
      <w:pPr>
        <w:jc w:val="center"/>
        <w:rPr>
          <w:rFonts w:ascii="宋体" w:hAnsi="宋体"/>
        </w:rPr>
      </w:pPr>
    </w:p>
    <w:p>
      <w:pPr>
        <w:jc w:val="center"/>
        <w:rPr>
          <w:rFonts w:ascii="宋体" w:hAnsi="宋体"/>
        </w:rPr>
      </w:pPr>
    </w:p>
    <w:p>
      <w:pPr>
        <w:jc w:val="center"/>
        <w:rPr>
          <w:rFonts w:ascii="宋体" w:hAnsi="宋体"/>
        </w:rPr>
      </w:pPr>
    </w:p>
    <w:p>
      <w:pPr>
        <w:jc w:val="center"/>
        <w:rPr>
          <w:rFonts w:ascii="宋体" w:hAnsi="宋体"/>
        </w:rPr>
      </w:pPr>
    </w:p>
    <w:p>
      <w:pPr>
        <w:jc w:val="center"/>
        <w:rPr>
          <w:rFonts w:ascii="宋体" w:hAnsi="宋体"/>
        </w:rPr>
      </w:pPr>
    </w:p>
    <w:p>
      <w:pPr>
        <w:jc w:val="center"/>
        <w:rPr>
          <w:rFonts w:ascii="宋体" w:hAnsi="宋体"/>
        </w:rPr>
      </w:pPr>
    </w:p>
    <w:p>
      <w:pPr>
        <w:jc w:val="center"/>
        <w:rPr>
          <w:rFonts w:ascii="宋体" w:hAnsi="宋体"/>
        </w:rPr>
      </w:pPr>
    </w:p>
    <w:p>
      <w:pPr>
        <w:jc w:val="center"/>
        <w:rPr>
          <w:rFonts w:ascii="宋体" w:hAnsi="宋体"/>
          <w:b/>
          <w:sz w:val="48"/>
          <w:szCs w:val="48"/>
        </w:rPr>
      </w:pPr>
    </w:p>
    <w:p>
      <w:pPr>
        <w:jc w:val="center"/>
        <w:rPr>
          <w:rFonts w:ascii="宋体" w:hAnsi="宋体"/>
        </w:rPr>
      </w:pPr>
    </w:p>
    <w:p>
      <w:pPr>
        <w:jc w:val="center"/>
        <w:rPr>
          <w:rFonts w:ascii="宋体" w:hAnsi="宋体"/>
        </w:rPr>
      </w:pPr>
    </w:p>
    <w:p>
      <w:pPr>
        <w:jc w:val="center"/>
        <w:rPr>
          <w:rFonts w:ascii="宋体" w:hAnsi="宋体"/>
        </w:rPr>
      </w:pPr>
    </w:p>
    <w:p>
      <w:pPr>
        <w:jc w:val="center"/>
        <w:rPr>
          <w:rFonts w:ascii="宋体" w:hAnsi="宋体"/>
        </w:rPr>
      </w:pPr>
    </w:p>
    <w:tbl>
      <w:tblPr>
        <w:tblStyle w:val="25"/>
        <w:tblW w:w="792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2"/>
        <w:gridCol w:w="518"/>
        <w:gridCol w:w="5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5" w:hRule="atLeast"/>
          <w:jc w:val="center"/>
        </w:trPr>
        <w:tc>
          <w:tcPr>
            <w:tcW w:w="2192" w:type="dxa"/>
            <w:vAlign w:val="center"/>
          </w:tcPr>
          <w:p>
            <w:pPr>
              <w:jc w:val="distribute"/>
              <w:rPr>
                <w:rFonts w:ascii="宋体" w:hAnsi="宋体" w:cs="宋体"/>
                <w:b/>
                <w:sz w:val="30"/>
                <w:szCs w:val="30"/>
              </w:rPr>
            </w:pPr>
            <w:r>
              <w:rPr>
                <w:rFonts w:hint="eastAsia" w:ascii="宋体" w:hAnsi="宋体" w:cs="宋体"/>
                <w:b/>
                <w:sz w:val="30"/>
                <w:szCs w:val="30"/>
              </w:rPr>
              <w:t>采购人</w:t>
            </w:r>
          </w:p>
        </w:tc>
        <w:tc>
          <w:tcPr>
            <w:tcW w:w="518" w:type="dxa"/>
            <w:vAlign w:val="center"/>
          </w:tcPr>
          <w:p>
            <w:pPr>
              <w:jc w:val="center"/>
              <w:rPr>
                <w:rFonts w:ascii="宋体" w:hAnsi="宋体" w:cs="宋体"/>
                <w:b/>
                <w:sz w:val="30"/>
                <w:szCs w:val="30"/>
              </w:rPr>
            </w:pPr>
            <w:r>
              <w:rPr>
                <w:rFonts w:hint="eastAsia" w:ascii="宋体" w:hAnsi="宋体" w:cs="宋体"/>
                <w:b/>
                <w:sz w:val="30"/>
                <w:szCs w:val="30"/>
              </w:rPr>
              <w:t>：</w:t>
            </w:r>
          </w:p>
        </w:tc>
        <w:tc>
          <w:tcPr>
            <w:tcW w:w="5215" w:type="dxa"/>
            <w:vAlign w:val="center"/>
          </w:tcPr>
          <w:p>
            <w:pPr>
              <w:ind w:firstLine="301" w:firstLineChars="100"/>
              <w:rPr>
                <w:rFonts w:ascii="宋体" w:hAnsi="宋体" w:cs="宋体"/>
                <w:b/>
                <w:sz w:val="30"/>
                <w:szCs w:val="30"/>
              </w:rPr>
            </w:pPr>
            <w:r>
              <w:rPr>
                <w:rFonts w:hint="eastAsia" w:ascii="宋体" w:hAnsi="宋体" w:cs="宋体"/>
                <w:b/>
                <w:sz w:val="30"/>
                <w:szCs w:val="30"/>
              </w:rPr>
              <w:t>铜陵学院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5" w:hRule="atLeast"/>
          <w:jc w:val="center"/>
        </w:trPr>
        <w:tc>
          <w:tcPr>
            <w:tcW w:w="2192" w:type="dxa"/>
            <w:vAlign w:val="center"/>
          </w:tcPr>
          <w:p>
            <w:pPr>
              <w:jc w:val="distribute"/>
              <w:rPr>
                <w:rFonts w:ascii="宋体" w:hAnsi="宋体" w:cs="宋体"/>
                <w:b/>
                <w:sz w:val="30"/>
                <w:szCs w:val="30"/>
              </w:rPr>
            </w:pPr>
            <w:r>
              <w:rPr>
                <w:rFonts w:hint="eastAsia" w:ascii="宋体" w:hAnsi="宋体" w:cs="宋体"/>
                <w:b/>
                <w:sz w:val="30"/>
                <w:szCs w:val="30"/>
              </w:rPr>
              <w:t>采购代理机构</w:t>
            </w:r>
          </w:p>
        </w:tc>
        <w:tc>
          <w:tcPr>
            <w:tcW w:w="518" w:type="dxa"/>
            <w:vAlign w:val="center"/>
          </w:tcPr>
          <w:p>
            <w:pPr>
              <w:jc w:val="center"/>
              <w:rPr>
                <w:rFonts w:ascii="宋体" w:hAnsi="宋体" w:cs="宋体"/>
                <w:b/>
                <w:sz w:val="30"/>
                <w:szCs w:val="30"/>
              </w:rPr>
            </w:pPr>
            <w:r>
              <w:rPr>
                <w:rFonts w:hint="eastAsia" w:ascii="宋体" w:hAnsi="宋体" w:cs="宋体"/>
                <w:b/>
                <w:sz w:val="30"/>
                <w:szCs w:val="30"/>
              </w:rPr>
              <w:t>：</w:t>
            </w:r>
          </w:p>
        </w:tc>
        <w:tc>
          <w:tcPr>
            <w:tcW w:w="5215" w:type="dxa"/>
            <w:vAlign w:val="center"/>
          </w:tcPr>
          <w:p>
            <w:pPr>
              <w:ind w:firstLine="298" w:firstLineChars="99"/>
              <w:rPr>
                <w:rFonts w:ascii="宋体" w:hAnsi="宋体" w:cs="宋体"/>
                <w:b/>
                <w:sz w:val="30"/>
                <w:szCs w:val="30"/>
              </w:rPr>
            </w:pPr>
            <w:r>
              <w:rPr>
                <w:rFonts w:hint="eastAsia" w:ascii="宋体" w:hAnsi="宋体" w:cs="宋体"/>
                <w:b/>
                <w:sz w:val="30"/>
                <w:szCs w:val="30"/>
              </w:rPr>
              <w:t>安徽阳光工程咨询有限公司</w:t>
            </w:r>
          </w:p>
        </w:tc>
      </w:tr>
    </w:tbl>
    <w:p>
      <w:pPr>
        <w:jc w:val="center"/>
        <w:rPr>
          <w:rFonts w:ascii="宋体" w:hAnsi="宋体"/>
        </w:rPr>
      </w:pPr>
    </w:p>
    <w:p>
      <w:pPr>
        <w:jc w:val="center"/>
        <w:rPr>
          <w:rFonts w:ascii="宋体" w:hAnsi="宋体"/>
        </w:rPr>
      </w:pPr>
    </w:p>
    <w:p>
      <w:pPr>
        <w:jc w:val="center"/>
        <w:rPr>
          <w:rFonts w:ascii="宋体" w:hAnsi="宋体" w:cs="宋体"/>
          <w:b/>
          <w:sz w:val="30"/>
          <w:szCs w:val="30"/>
        </w:rPr>
      </w:pPr>
    </w:p>
    <w:p>
      <w:pPr>
        <w:jc w:val="center"/>
        <w:rPr>
          <w:rFonts w:ascii="宋体" w:hAnsi="宋体" w:cs="宋体"/>
          <w:b/>
          <w:sz w:val="30"/>
          <w:szCs w:val="30"/>
        </w:rPr>
      </w:pPr>
      <w:r>
        <w:rPr>
          <w:rFonts w:hint="eastAsia" w:ascii="宋体" w:hAnsi="宋体" w:cs="宋体"/>
          <w:b/>
          <w:sz w:val="30"/>
          <w:szCs w:val="30"/>
        </w:rPr>
        <w:t>二○一八年九月</w:t>
      </w:r>
    </w:p>
    <w:p>
      <w:pPr>
        <w:jc w:val="center"/>
        <w:rPr>
          <w:rFonts w:ascii="宋体" w:hAnsi="宋体" w:cs="宋体"/>
          <w:b/>
          <w:sz w:val="40"/>
          <w:szCs w:val="40"/>
        </w:rPr>
        <w:sectPr>
          <w:headerReference r:id="rId3" w:type="default"/>
          <w:footerReference r:id="rId4" w:type="even"/>
          <w:pgSz w:w="11906" w:h="16838"/>
          <w:pgMar w:top="1440" w:right="1800" w:bottom="1440" w:left="1800" w:header="851" w:footer="992" w:gutter="0"/>
          <w:cols w:space="720" w:num="1"/>
          <w:docGrid w:type="lines" w:linePitch="312" w:charSpace="0"/>
        </w:sectPr>
      </w:pPr>
    </w:p>
    <w:p>
      <w:pPr>
        <w:jc w:val="center"/>
        <w:rPr>
          <w:rFonts w:ascii="宋体" w:hAnsi="宋体"/>
          <w:b/>
          <w:sz w:val="44"/>
        </w:rPr>
      </w:pPr>
      <w:bookmarkStart w:id="0" w:name="_Toc15276"/>
      <w:r>
        <w:rPr>
          <w:rFonts w:hint="eastAsia" w:ascii="宋体" w:hAnsi="宋体"/>
          <w:b/>
          <w:sz w:val="44"/>
        </w:rPr>
        <w:t>目  录</w:t>
      </w:r>
    </w:p>
    <w:p>
      <w:pPr>
        <w:rPr>
          <w:rFonts w:ascii="宋体" w:hAnsi="宋体"/>
        </w:rPr>
      </w:pPr>
    </w:p>
    <w:bookmarkEnd w:id="0"/>
    <w:p>
      <w:pPr>
        <w:pStyle w:val="13"/>
        <w:tabs>
          <w:tab w:val="right" w:leader="dot" w:pos="8296"/>
        </w:tabs>
        <w:spacing w:line="360" w:lineRule="auto"/>
        <w:rPr>
          <w:rFonts w:ascii="宋体" w:hAnsi="宋体" w:cstheme="minorBidi"/>
          <w:sz w:val="24"/>
        </w:rPr>
      </w:pPr>
      <w:r>
        <w:rPr>
          <w:rFonts w:hint="eastAsia" w:ascii="宋体" w:hAnsi="宋体" w:cs="宋体"/>
          <w:sz w:val="24"/>
        </w:rPr>
        <w:fldChar w:fldCharType="begin"/>
      </w:r>
      <w:r>
        <w:rPr>
          <w:rStyle w:val="26"/>
          <w:rFonts w:hint="eastAsia" w:ascii="宋体" w:hAnsi="宋体" w:cs="宋体"/>
          <w:sz w:val="24"/>
          <w:szCs w:val="24"/>
        </w:rPr>
        <w:instrText xml:space="preserve">TOC \o "1-2" \h \u </w:instrText>
      </w:r>
      <w:r>
        <w:rPr>
          <w:rFonts w:hint="eastAsia" w:ascii="宋体" w:hAnsi="宋体" w:cs="宋体"/>
          <w:sz w:val="24"/>
        </w:rPr>
        <w:fldChar w:fldCharType="separate"/>
      </w:r>
      <w:r>
        <w:fldChar w:fldCharType="begin"/>
      </w:r>
      <w:r>
        <w:instrText xml:space="preserve"> HYPERLINK \l "_Toc518667416" </w:instrText>
      </w:r>
      <w:r>
        <w:fldChar w:fldCharType="separate"/>
      </w:r>
      <w:r>
        <w:rPr>
          <w:rStyle w:val="23"/>
          <w:rFonts w:hint="eastAsia" w:ascii="宋体" w:hAnsi="宋体"/>
          <w:color w:val="auto"/>
          <w:sz w:val="24"/>
        </w:rPr>
        <w:t xml:space="preserve">第一章  </w:t>
      </w:r>
      <w:r>
        <w:rPr>
          <w:rStyle w:val="23"/>
          <w:rFonts w:hint="eastAsia" w:ascii="宋体" w:hAnsi="宋体"/>
          <w:color w:val="auto"/>
          <w:sz w:val="24"/>
          <w:szCs w:val="22"/>
        </w:rPr>
        <w:t>竞争性磋商书</w:t>
      </w:r>
      <w:r>
        <w:rPr>
          <w:rFonts w:ascii="宋体" w:hAnsi="宋体"/>
          <w:sz w:val="24"/>
        </w:rPr>
        <w:tab/>
      </w:r>
      <w:r>
        <w:rPr>
          <w:rFonts w:ascii="宋体" w:hAnsi="宋体"/>
          <w:sz w:val="24"/>
        </w:rPr>
        <w:fldChar w:fldCharType="begin"/>
      </w:r>
      <w:r>
        <w:rPr>
          <w:rFonts w:ascii="宋体" w:hAnsi="宋体"/>
          <w:sz w:val="24"/>
        </w:rPr>
        <w:instrText xml:space="preserve"> PAGEREF _Toc518667416 \h </w:instrText>
      </w:r>
      <w:r>
        <w:rPr>
          <w:rFonts w:ascii="宋体" w:hAnsi="宋体"/>
          <w:sz w:val="24"/>
        </w:rPr>
        <w:fldChar w:fldCharType="separate"/>
      </w:r>
      <w:r>
        <w:rPr>
          <w:rFonts w:ascii="宋体" w:hAnsi="宋体"/>
          <w:sz w:val="24"/>
        </w:rPr>
        <w:t>2</w:t>
      </w:r>
      <w:r>
        <w:rPr>
          <w:rFonts w:ascii="宋体" w:hAnsi="宋体"/>
          <w:sz w:val="24"/>
        </w:rPr>
        <w:fldChar w:fldCharType="end"/>
      </w:r>
      <w:r>
        <w:rPr>
          <w:rFonts w:ascii="宋体" w:hAnsi="宋体"/>
          <w:sz w:val="24"/>
        </w:rPr>
        <w:fldChar w:fldCharType="end"/>
      </w:r>
    </w:p>
    <w:p>
      <w:pPr>
        <w:pStyle w:val="15"/>
        <w:tabs>
          <w:tab w:val="right" w:leader="dot" w:pos="8296"/>
        </w:tabs>
        <w:spacing w:line="360" w:lineRule="auto"/>
        <w:rPr>
          <w:rFonts w:ascii="宋体" w:hAnsi="宋体" w:cstheme="minorBidi"/>
          <w:sz w:val="24"/>
        </w:rPr>
      </w:pPr>
      <w:r>
        <w:fldChar w:fldCharType="begin"/>
      </w:r>
      <w:r>
        <w:instrText xml:space="preserve"> HYPERLINK \l "_Toc518667417" </w:instrText>
      </w:r>
      <w:r>
        <w:fldChar w:fldCharType="separate"/>
      </w:r>
      <w:r>
        <w:rPr>
          <w:rStyle w:val="23"/>
          <w:rFonts w:hint="eastAsia" w:ascii="宋体" w:hAnsi="宋体"/>
          <w:color w:val="auto"/>
          <w:sz w:val="24"/>
        </w:rPr>
        <w:t>一、磋商公告</w:t>
      </w:r>
      <w:r>
        <w:rPr>
          <w:rFonts w:ascii="宋体" w:hAnsi="宋体"/>
          <w:sz w:val="24"/>
        </w:rPr>
        <w:tab/>
      </w:r>
      <w:r>
        <w:rPr>
          <w:rFonts w:ascii="宋体" w:hAnsi="宋体"/>
          <w:sz w:val="24"/>
        </w:rPr>
        <w:fldChar w:fldCharType="begin"/>
      </w:r>
      <w:r>
        <w:rPr>
          <w:rFonts w:ascii="宋体" w:hAnsi="宋体"/>
          <w:sz w:val="24"/>
        </w:rPr>
        <w:instrText xml:space="preserve"> PAGEREF _Toc518667417 \h </w:instrText>
      </w:r>
      <w:r>
        <w:rPr>
          <w:rFonts w:ascii="宋体" w:hAnsi="宋体"/>
          <w:sz w:val="24"/>
        </w:rPr>
        <w:fldChar w:fldCharType="separate"/>
      </w:r>
      <w:r>
        <w:rPr>
          <w:rFonts w:ascii="宋体" w:hAnsi="宋体"/>
          <w:sz w:val="24"/>
        </w:rPr>
        <w:t>2</w:t>
      </w:r>
      <w:r>
        <w:rPr>
          <w:rFonts w:ascii="宋体" w:hAnsi="宋体"/>
          <w:sz w:val="24"/>
        </w:rPr>
        <w:fldChar w:fldCharType="end"/>
      </w:r>
      <w:r>
        <w:rPr>
          <w:rFonts w:ascii="宋体" w:hAnsi="宋体"/>
          <w:sz w:val="24"/>
        </w:rPr>
        <w:fldChar w:fldCharType="end"/>
      </w:r>
    </w:p>
    <w:p>
      <w:pPr>
        <w:pStyle w:val="15"/>
        <w:tabs>
          <w:tab w:val="right" w:leader="dot" w:pos="8296"/>
        </w:tabs>
        <w:spacing w:line="360" w:lineRule="auto"/>
        <w:rPr>
          <w:rFonts w:ascii="宋体" w:hAnsi="宋体" w:cstheme="minorBidi"/>
          <w:sz w:val="24"/>
        </w:rPr>
      </w:pPr>
      <w:r>
        <w:fldChar w:fldCharType="begin"/>
      </w:r>
      <w:r>
        <w:instrText xml:space="preserve"> HYPERLINK \l "_Toc518667418" </w:instrText>
      </w:r>
      <w:r>
        <w:fldChar w:fldCharType="separate"/>
      </w:r>
      <w:r>
        <w:rPr>
          <w:rStyle w:val="23"/>
          <w:rFonts w:hint="eastAsia" w:ascii="宋体" w:hAnsi="宋体"/>
          <w:color w:val="auto"/>
          <w:sz w:val="24"/>
        </w:rPr>
        <w:t>二、投标人须知前附表</w:t>
      </w:r>
      <w:r>
        <w:rPr>
          <w:rFonts w:ascii="宋体" w:hAnsi="宋体"/>
          <w:sz w:val="24"/>
        </w:rPr>
        <w:tab/>
      </w:r>
      <w:r>
        <w:rPr>
          <w:rFonts w:ascii="宋体" w:hAnsi="宋体"/>
          <w:sz w:val="24"/>
        </w:rPr>
        <w:fldChar w:fldCharType="begin"/>
      </w:r>
      <w:r>
        <w:rPr>
          <w:rFonts w:ascii="宋体" w:hAnsi="宋体"/>
          <w:sz w:val="24"/>
        </w:rPr>
        <w:instrText xml:space="preserve"> PAGEREF _Toc518667418 \h </w:instrText>
      </w:r>
      <w:r>
        <w:rPr>
          <w:rFonts w:ascii="宋体" w:hAnsi="宋体"/>
          <w:sz w:val="24"/>
        </w:rPr>
        <w:fldChar w:fldCharType="separate"/>
      </w:r>
      <w:r>
        <w:rPr>
          <w:rFonts w:ascii="宋体" w:hAnsi="宋体"/>
          <w:sz w:val="24"/>
        </w:rPr>
        <w:t>4</w:t>
      </w:r>
      <w:r>
        <w:rPr>
          <w:rFonts w:ascii="宋体" w:hAnsi="宋体"/>
          <w:sz w:val="24"/>
        </w:rPr>
        <w:fldChar w:fldCharType="end"/>
      </w:r>
      <w:r>
        <w:rPr>
          <w:rFonts w:ascii="宋体" w:hAnsi="宋体"/>
          <w:sz w:val="24"/>
        </w:rPr>
        <w:fldChar w:fldCharType="end"/>
      </w:r>
    </w:p>
    <w:p>
      <w:pPr>
        <w:pStyle w:val="15"/>
        <w:tabs>
          <w:tab w:val="right" w:leader="dot" w:pos="8296"/>
        </w:tabs>
        <w:spacing w:line="360" w:lineRule="auto"/>
        <w:rPr>
          <w:rFonts w:ascii="宋体" w:hAnsi="宋体" w:cstheme="minorBidi"/>
          <w:sz w:val="24"/>
        </w:rPr>
      </w:pPr>
      <w:r>
        <w:fldChar w:fldCharType="begin"/>
      </w:r>
      <w:r>
        <w:instrText xml:space="preserve"> HYPERLINK \l "_Toc518667419" </w:instrText>
      </w:r>
      <w:r>
        <w:fldChar w:fldCharType="separate"/>
      </w:r>
      <w:r>
        <w:rPr>
          <w:rStyle w:val="23"/>
          <w:rFonts w:hint="eastAsia" w:ascii="宋体" w:hAnsi="宋体" w:cs="黑体"/>
          <w:color w:val="auto"/>
          <w:sz w:val="24"/>
        </w:rPr>
        <w:t>三、磋商响应供应商须知</w:t>
      </w:r>
      <w:r>
        <w:rPr>
          <w:rFonts w:ascii="宋体" w:hAnsi="宋体"/>
          <w:sz w:val="24"/>
        </w:rPr>
        <w:tab/>
      </w:r>
      <w:r>
        <w:rPr>
          <w:rFonts w:ascii="宋体" w:hAnsi="宋体"/>
          <w:sz w:val="24"/>
        </w:rPr>
        <w:fldChar w:fldCharType="begin"/>
      </w:r>
      <w:r>
        <w:rPr>
          <w:rFonts w:ascii="宋体" w:hAnsi="宋体"/>
          <w:sz w:val="24"/>
        </w:rPr>
        <w:instrText xml:space="preserve"> PAGEREF _Toc518667419 \h </w:instrText>
      </w:r>
      <w:r>
        <w:rPr>
          <w:rFonts w:ascii="宋体" w:hAnsi="宋体"/>
          <w:sz w:val="24"/>
        </w:rPr>
        <w:fldChar w:fldCharType="separate"/>
      </w:r>
      <w:r>
        <w:rPr>
          <w:rFonts w:ascii="宋体" w:hAnsi="宋体"/>
          <w:sz w:val="24"/>
        </w:rPr>
        <w:t>5</w:t>
      </w:r>
      <w:r>
        <w:rPr>
          <w:rFonts w:ascii="宋体" w:hAnsi="宋体"/>
          <w:sz w:val="24"/>
        </w:rPr>
        <w:fldChar w:fldCharType="end"/>
      </w:r>
      <w:r>
        <w:rPr>
          <w:rFonts w:ascii="宋体" w:hAnsi="宋体"/>
          <w:sz w:val="24"/>
        </w:rPr>
        <w:fldChar w:fldCharType="end"/>
      </w:r>
    </w:p>
    <w:p>
      <w:pPr>
        <w:pStyle w:val="15"/>
        <w:tabs>
          <w:tab w:val="right" w:leader="dot" w:pos="8296"/>
        </w:tabs>
        <w:spacing w:line="360" w:lineRule="auto"/>
        <w:rPr>
          <w:rFonts w:ascii="宋体" w:hAnsi="宋体" w:cstheme="minorBidi"/>
          <w:sz w:val="24"/>
        </w:rPr>
      </w:pPr>
      <w:r>
        <w:fldChar w:fldCharType="begin"/>
      </w:r>
      <w:r>
        <w:instrText xml:space="preserve"> HYPERLINK \l "_Toc518667421" </w:instrText>
      </w:r>
      <w:r>
        <w:fldChar w:fldCharType="separate"/>
      </w:r>
      <w:r>
        <w:rPr>
          <w:rStyle w:val="23"/>
          <w:rFonts w:hint="eastAsia" w:ascii="宋体" w:hAnsi="宋体"/>
          <w:color w:val="auto"/>
          <w:sz w:val="24"/>
        </w:rPr>
        <w:t>四、项目需求</w:t>
      </w:r>
      <w:r>
        <w:rPr>
          <w:rFonts w:ascii="宋体" w:hAnsi="宋体"/>
          <w:sz w:val="24"/>
        </w:rPr>
        <w:tab/>
      </w:r>
      <w:r>
        <w:rPr>
          <w:rFonts w:ascii="宋体" w:hAnsi="宋体"/>
          <w:sz w:val="24"/>
        </w:rPr>
        <w:fldChar w:fldCharType="end"/>
      </w:r>
      <w:r>
        <w:rPr>
          <w:rFonts w:hint="eastAsia" w:ascii="宋体" w:hAnsi="宋体"/>
          <w:sz w:val="24"/>
        </w:rPr>
        <w:t>13</w:t>
      </w:r>
    </w:p>
    <w:p>
      <w:pPr>
        <w:pStyle w:val="13"/>
        <w:tabs>
          <w:tab w:val="right" w:leader="dot" w:pos="8296"/>
        </w:tabs>
        <w:spacing w:line="360" w:lineRule="auto"/>
        <w:rPr>
          <w:rFonts w:ascii="宋体" w:hAnsi="宋体" w:cstheme="minorBidi"/>
          <w:sz w:val="24"/>
        </w:rPr>
      </w:pPr>
      <w:r>
        <w:fldChar w:fldCharType="begin"/>
      </w:r>
      <w:r>
        <w:instrText xml:space="preserve"> HYPERLINK \l "_Toc518667428" </w:instrText>
      </w:r>
      <w:r>
        <w:fldChar w:fldCharType="separate"/>
      </w:r>
      <w:r>
        <w:rPr>
          <w:rStyle w:val="23"/>
          <w:rFonts w:hint="eastAsia" w:ascii="宋体" w:hAnsi="宋体"/>
          <w:color w:val="auto"/>
          <w:sz w:val="24"/>
        </w:rPr>
        <w:t>第二章投标文件格式</w:t>
      </w:r>
      <w:r>
        <w:rPr>
          <w:rFonts w:ascii="宋体" w:hAnsi="宋体"/>
          <w:sz w:val="24"/>
        </w:rPr>
        <w:tab/>
      </w:r>
      <w:r>
        <w:rPr>
          <w:rFonts w:hint="eastAsia" w:ascii="宋体" w:hAnsi="宋体"/>
          <w:sz w:val="24"/>
        </w:rPr>
        <w:t>3</w:t>
      </w:r>
      <w:r>
        <w:rPr>
          <w:rFonts w:hint="eastAsia" w:ascii="宋体" w:hAnsi="宋体"/>
          <w:sz w:val="24"/>
        </w:rPr>
        <w:fldChar w:fldCharType="end"/>
      </w:r>
      <w:r>
        <w:rPr>
          <w:rFonts w:hint="eastAsia" w:ascii="宋体" w:hAnsi="宋体"/>
          <w:sz w:val="24"/>
        </w:rPr>
        <w:t>0</w:t>
      </w:r>
    </w:p>
    <w:p>
      <w:pPr>
        <w:pStyle w:val="18"/>
        <w:spacing w:before="60" w:beforeAutospacing="0" w:after="60" w:afterAutospacing="0" w:line="360" w:lineRule="auto"/>
        <w:ind w:right="60"/>
        <w:jc w:val="center"/>
        <w:rPr>
          <w:rStyle w:val="26"/>
        </w:rPr>
        <w:sectPr>
          <w:footerReference r:id="rId5" w:type="default"/>
          <w:pgSz w:w="11906" w:h="16838"/>
          <w:pgMar w:top="1440" w:right="1800" w:bottom="1440" w:left="1800" w:header="851" w:footer="992" w:gutter="0"/>
          <w:pgNumType w:start="1"/>
          <w:cols w:space="720" w:num="1"/>
          <w:docGrid w:type="lines" w:linePitch="312" w:charSpace="0"/>
        </w:sectPr>
      </w:pPr>
      <w:r>
        <w:rPr>
          <w:rFonts w:hint="eastAsia"/>
        </w:rPr>
        <w:fldChar w:fldCharType="end"/>
      </w:r>
    </w:p>
    <w:p>
      <w:pPr>
        <w:spacing w:line="360" w:lineRule="auto"/>
        <w:jc w:val="center"/>
        <w:rPr>
          <w:rStyle w:val="26"/>
          <w:rFonts w:ascii="宋体" w:hAnsi="宋体"/>
        </w:rPr>
      </w:pPr>
      <w:bookmarkStart w:id="1" w:name="_Toc518667416"/>
      <w:r>
        <w:rPr>
          <w:rFonts w:hint="eastAsia" w:ascii="宋体" w:hAnsi="宋体"/>
          <w:b/>
          <w:kern w:val="0"/>
          <w:sz w:val="32"/>
          <w:szCs w:val="20"/>
        </w:rPr>
        <w:t>第一章</w:t>
      </w:r>
      <w:bookmarkEnd w:id="1"/>
      <w:r>
        <w:rPr>
          <w:rFonts w:hint="eastAsia" w:ascii="宋体" w:hAnsi="宋体"/>
          <w:b/>
          <w:kern w:val="0"/>
          <w:sz w:val="32"/>
          <w:szCs w:val="20"/>
        </w:rPr>
        <w:t>竞争性磋商书</w:t>
      </w:r>
    </w:p>
    <w:p>
      <w:pPr>
        <w:pStyle w:val="3"/>
        <w:spacing w:line="440" w:lineRule="exact"/>
        <w:jc w:val="center"/>
        <w:rPr>
          <w:rFonts w:ascii="宋体" w:hAnsi="宋体" w:eastAsia="宋体"/>
        </w:rPr>
      </w:pPr>
      <w:bookmarkStart w:id="2" w:name="_Toc518667417"/>
      <w:r>
        <w:rPr>
          <w:rFonts w:hint="eastAsia" w:ascii="宋体" w:hAnsi="宋体" w:eastAsia="宋体"/>
        </w:rPr>
        <w:t>一、磋商公告</w:t>
      </w:r>
      <w:bookmarkEnd w:id="2"/>
    </w:p>
    <w:p>
      <w:pPr>
        <w:spacing w:line="360" w:lineRule="auto"/>
        <w:jc w:val="center"/>
        <w:rPr>
          <w:rFonts w:ascii="宋体" w:hAnsi="宋体" w:cs="宋体"/>
          <w:sz w:val="28"/>
          <w:szCs w:val="28"/>
          <w:shd w:val="clear" w:color="auto" w:fill="FFFFFF"/>
        </w:rPr>
      </w:pPr>
      <w:r>
        <w:rPr>
          <w:rFonts w:hint="eastAsia" w:ascii="宋体" w:hAnsi="宋体" w:cs="宋体"/>
          <w:b/>
          <w:bCs/>
          <w:sz w:val="28"/>
          <w:szCs w:val="28"/>
        </w:rPr>
        <w:t>铜陵学院道路交通辅助设计系统采购项目</w:t>
      </w:r>
      <w:r>
        <w:rPr>
          <w:rFonts w:hint="eastAsia" w:ascii="宋体" w:hAnsi="宋体" w:cs="宋体"/>
          <w:b/>
          <w:bCs/>
          <w:sz w:val="28"/>
          <w:szCs w:val="28"/>
          <w:shd w:val="clear" w:color="auto" w:fill="FFFFFF"/>
        </w:rPr>
        <w:t>竞</w:t>
      </w:r>
      <w:r>
        <w:rPr>
          <w:rFonts w:hint="eastAsia" w:ascii="宋体" w:hAnsi="宋体" w:cs="宋体"/>
          <w:b/>
          <w:bCs/>
          <w:sz w:val="28"/>
          <w:szCs w:val="28"/>
        </w:rPr>
        <w:t>争性磋商公告</w:t>
      </w:r>
    </w:p>
    <w:p>
      <w:pPr>
        <w:spacing w:line="440" w:lineRule="exact"/>
        <w:jc w:val="center"/>
        <w:rPr>
          <w:rFonts w:ascii="宋体" w:hAnsi="宋体" w:cs="宋体"/>
          <w:b/>
          <w:bCs/>
          <w:sz w:val="32"/>
          <w:szCs w:val="40"/>
        </w:rPr>
      </w:pPr>
    </w:p>
    <w:p>
      <w:pPr>
        <w:widowControl/>
        <w:spacing w:line="460" w:lineRule="exact"/>
        <w:ind w:firstLine="480" w:firstLineChars="200"/>
        <w:rPr>
          <w:rFonts w:ascii="宋体" w:hAnsi="宋体"/>
          <w:kern w:val="0"/>
          <w:sz w:val="24"/>
        </w:rPr>
      </w:pPr>
      <w:r>
        <w:rPr>
          <w:rFonts w:hint="eastAsia" w:ascii="宋体" w:hAnsi="宋体"/>
          <w:kern w:val="0"/>
          <w:sz w:val="24"/>
        </w:rPr>
        <w:t>安徽阳光工程咨询有限公司受铜陵学院委托，现对铜陵学院道路交通辅助设计系统采购项目进行竞争性磋商，欢迎具备条件的国内供应商参加磋商。</w:t>
      </w:r>
    </w:p>
    <w:p>
      <w:pPr>
        <w:spacing w:line="360" w:lineRule="auto"/>
        <w:ind w:firstLine="241" w:firstLineChars="100"/>
        <w:jc w:val="left"/>
        <w:rPr>
          <w:rFonts w:ascii="宋体" w:hAnsi="宋体"/>
          <w:b/>
          <w:kern w:val="0"/>
        </w:rPr>
      </w:pPr>
      <w:r>
        <w:rPr>
          <w:rFonts w:hint="eastAsia" w:ascii="宋体" w:hAnsi="宋体"/>
          <w:b/>
          <w:kern w:val="0"/>
          <w:sz w:val="24"/>
        </w:rPr>
        <w:t>（一）项目概况与采购范围：</w:t>
      </w:r>
    </w:p>
    <w:p>
      <w:pPr>
        <w:pStyle w:val="18"/>
        <w:spacing w:before="0" w:beforeAutospacing="0" w:after="0" w:afterAutospacing="0" w:line="440" w:lineRule="exact"/>
        <w:ind w:firstLine="480" w:firstLineChars="200"/>
        <w:rPr>
          <w:rStyle w:val="21"/>
          <w:rFonts w:cs="Times New Roman"/>
        </w:rPr>
      </w:pPr>
      <w:r>
        <w:rPr>
          <w:rStyle w:val="21"/>
          <w:rFonts w:cs="Times New Roman"/>
          <w:b w:val="0"/>
        </w:rPr>
        <w:t>1、</w:t>
      </w:r>
      <w:r>
        <w:rPr>
          <w:rFonts w:hint="eastAsia" w:cs="Times New Roman"/>
          <w:szCs w:val="22"/>
        </w:rPr>
        <w:t>项目编号：</w:t>
      </w:r>
      <w:r>
        <w:rPr>
          <w:rFonts w:hint="eastAsia" w:cs="Times New Roman"/>
          <w:color w:val="000000" w:themeColor="text1"/>
          <w14:textFill>
            <w14:solidFill>
              <w14:schemeClr w14:val="tx1"/>
            </w14:solidFill>
          </w14:textFill>
        </w:rPr>
        <w:t>tlxyzb[2018]115</w:t>
      </w:r>
      <w:r>
        <w:rPr>
          <w:rFonts w:hint="eastAsia" w:cs="Times New Roman"/>
        </w:rPr>
        <w:t>号</w:t>
      </w:r>
    </w:p>
    <w:p>
      <w:pPr>
        <w:pStyle w:val="18"/>
        <w:spacing w:before="0" w:beforeAutospacing="0" w:after="0" w:afterAutospacing="0" w:line="440" w:lineRule="exact"/>
        <w:ind w:firstLine="480" w:firstLineChars="200"/>
        <w:rPr>
          <w:rStyle w:val="21"/>
          <w:rFonts w:cs="Times New Roman"/>
        </w:rPr>
      </w:pPr>
      <w:r>
        <w:rPr>
          <w:rStyle w:val="21"/>
          <w:rFonts w:cs="Times New Roman"/>
          <w:b w:val="0"/>
        </w:rPr>
        <w:t>2、项目名称：</w:t>
      </w:r>
      <w:r>
        <w:rPr>
          <w:rFonts w:hint="eastAsia" w:cs="Times New Roman"/>
        </w:rPr>
        <w:t>铜陵学院</w:t>
      </w:r>
      <w:r>
        <w:rPr>
          <w:rFonts w:cs="Times New Roman"/>
        </w:rPr>
        <w:t>道</w:t>
      </w:r>
      <w:r>
        <w:rPr>
          <w:rFonts w:hint="eastAsia" w:cs="Times New Roman"/>
        </w:rPr>
        <w:t>路交通辅助设计系统采购项目</w:t>
      </w:r>
    </w:p>
    <w:p>
      <w:pPr>
        <w:pStyle w:val="18"/>
        <w:spacing w:before="0" w:beforeAutospacing="0" w:after="0" w:afterAutospacing="0" w:line="440" w:lineRule="exact"/>
        <w:ind w:firstLine="480" w:firstLineChars="200"/>
        <w:rPr>
          <w:rFonts w:cs="Times New Roman"/>
        </w:rPr>
      </w:pPr>
      <w:r>
        <w:rPr>
          <w:rFonts w:hint="eastAsia" w:cs="Times New Roman"/>
        </w:rPr>
        <w:t>3、招标方式：竞争性磋商</w:t>
      </w:r>
    </w:p>
    <w:p>
      <w:pPr>
        <w:pStyle w:val="18"/>
        <w:spacing w:before="0" w:beforeAutospacing="0" w:after="0" w:afterAutospacing="0" w:line="440" w:lineRule="exact"/>
        <w:ind w:firstLine="480" w:firstLineChars="200"/>
        <w:rPr>
          <w:rFonts w:cs="Times New Roman"/>
        </w:rPr>
      </w:pPr>
      <w:r>
        <w:rPr>
          <w:rFonts w:hint="eastAsia" w:cs="Times New Roman"/>
        </w:rPr>
        <w:t>4、建设地点：铜陵学院</w:t>
      </w:r>
    </w:p>
    <w:p>
      <w:pPr>
        <w:pStyle w:val="18"/>
        <w:spacing w:before="0" w:beforeAutospacing="0" w:after="0" w:afterAutospacing="0" w:line="440" w:lineRule="exact"/>
        <w:ind w:firstLine="480" w:firstLineChars="200"/>
        <w:rPr>
          <w:rFonts w:cs="Times New Roman"/>
        </w:rPr>
      </w:pPr>
      <w:r>
        <w:rPr>
          <w:rFonts w:hint="eastAsia" w:cs="Times New Roman"/>
        </w:rPr>
        <w:t>5、招标范围：详见项目需求及招标文件载明内容。</w:t>
      </w:r>
    </w:p>
    <w:p>
      <w:pPr>
        <w:pStyle w:val="18"/>
        <w:spacing w:before="0" w:beforeAutospacing="0" w:after="0" w:afterAutospacing="0" w:line="440" w:lineRule="exact"/>
        <w:ind w:firstLine="480" w:firstLineChars="200"/>
        <w:rPr>
          <w:rFonts w:cs="Times New Roman"/>
        </w:rPr>
      </w:pPr>
      <w:r>
        <w:rPr>
          <w:rFonts w:hint="eastAsia" w:cs="Times New Roman"/>
        </w:rPr>
        <w:t>6、建设规模：详见招标文件中所载明内容；招标控制价17万元。</w:t>
      </w:r>
    </w:p>
    <w:p>
      <w:pPr>
        <w:pStyle w:val="18"/>
        <w:spacing w:before="0" w:beforeAutospacing="0" w:after="0" w:afterAutospacing="0" w:line="440" w:lineRule="exact"/>
        <w:ind w:firstLine="480" w:firstLineChars="200"/>
        <w:rPr>
          <w:rFonts w:cs="Times New Roman"/>
        </w:rPr>
      </w:pPr>
      <w:r>
        <w:rPr>
          <w:rFonts w:hint="eastAsia" w:cs="Times New Roman"/>
        </w:rPr>
        <w:t>7、供货期：</w:t>
      </w:r>
      <w:r>
        <w:rPr>
          <w:rFonts w:hint="eastAsia"/>
          <w:color w:val="000000"/>
        </w:rPr>
        <w:t>合同签订后10个工作日完成。</w:t>
      </w:r>
    </w:p>
    <w:p>
      <w:pPr>
        <w:pStyle w:val="18"/>
        <w:spacing w:before="0" w:beforeAutospacing="0" w:after="0" w:afterAutospacing="0" w:line="440" w:lineRule="exact"/>
        <w:ind w:firstLine="480" w:firstLineChars="200"/>
        <w:rPr>
          <w:rFonts w:cs="Times New Roman"/>
        </w:rPr>
      </w:pPr>
      <w:r>
        <w:rPr>
          <w:rFonts w:hint="eastAsia" w:cs="Times New Roman"/>
        </w:rPr>
        <w:t>8、标段（包别）划分：一个标段。</w:t>
      </w:r>
    </w:p>
    <w:p>
      <w:pPr>
        <w:spacing w:line="360" w:lineRule="auto"/>
        <w:ind w:firstLine="241" w:firstLineChars="100"/>
        <w:jc w:val="left"/>
        <w:rPr>
          <w:rFonts w:ascii="宋体" w:hAnsi="宋体" w:cs="宋体"/>
          <w:color w:val="FF0000"/>
          <w:sz w:val="24"/>
        </w:rPr>
      </w:pPr>
      <w:r>
        <w:rPr>
          <w:rFonts w:hint="eastAsia" w:ascii="宋体" w:hAnsi="宋体"/>
          <w:b/>
          <w:kern w:val="0"/>
          <w:sz w:val="24"/>
        </w:rPr>
        <w:t>（二）合格供应商资格条件：</w:t>
      </w:r>
    </w:p>
    <w:p>
      <w:pPr>
        <w:pStyle w:val="18"/>
        <w:spacing w:before="0" w:beforeAutospacing="0" w:after="0" w:afterAutospacing="0" w:line="440" w:lineRule="exact"/>
        <w:ind w:firstLine="480" w:firstLineChars="200"/>
        <w:rPr>
          <w:rFonts w:cs="Times New Roman"/>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s="Times New Roman"/>
          <w:color w:val="000000" w:themeColor="text1"/>
          <w14:textFill>
            <w14:solidFill>
              <w14:schemeClr w14:val="tx1"/>
            </w14:solidFill>
          </w14:textFill>
        </w:rPr>
        <w:t>符合《中华人民共和国政府采购法》第二十二条规定，具有独立法人资格，具有营业执照（且具有从事本项目的经营范围和能力）；</w:t>
      </w:r>
    </w:p>
    <w:p>
      <w:pPr>
        <w:pStyle w:val="18"/>
        <w:spacing w:before="0" w:beforeAutospacing="0" w:after="0" w:afterAutospacing="0" w:line="440" w:lineRule="exact"/>
        <w:ind w:firstLine="480" w:firstLineChars="20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2、具有采购货物的专业制造厂（商）或制造厂（商）授权的区域销售代理商；</w:t>
      </w:r>
    </w:p>
    <w:p>
      <w:pPr>
        <w:pStyle w:val="18"/>
        <w:spacing w:before="0" w:beforeAutospacing="0" w:after="0" w:afterAutospacing="0" w:line="440" w:lineRule="exact"/>
        <w:ind w:firstLine="480" w:firstLineChars="20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3、</w:t>
      </w:r>
      <w:r>
        <w:rPr>
          <w:rFonts w:hint="eastAsia" w:cs="Times New Roman"/>
          <w:color w:val="000000" w:themeColor="text1"/>
          <w:lang w:val="zh-CN"/>
          <w14:textFill>
            <w14:solidFill>
              <w14:schemeClr w14:val="tx1"/>
            </w14:solidFill>
          </w14:textFill>
        </w:rPr>
        <w:t>本次招标不接受联合体</w:t>
      </w:r>
      <w:r>
        <w:rPr>
          <w:rFonts w:hint="eastAsia" w:cs="Times New Roman"/>
          <w:color w:val="000000" w:themeColor="text1"/>
          <w14:textFill>
            <w14:solidFill>
              <w14:schemeClr w14:val="tx1"/>
            </w14:solidFill>
          </w14:textFill>
        </w:rPr>
        <w:t>。</w:t>
      </w:r>
    </w:p>
    <w:p>
      <w:pPr>
        <w:pStyle w:val="18"/>
        <w:spacing w:before="0" w:beforeAutospacing="0" w:after="0" w:afterAutospacing="0" w:line="440" w:lineRule="exact"/>
        <w:ind w:firstLine="241" w:firstLineChars="100"/>
        <w:rPr>
          <w:rFonts w:cs="Times New Roman"/>
          <w:b/>
        </w:rPr>
      </w:pPr>
      <w:r>
        <w:rPr>
          <w:rFonts w:hint="eastAsia" w:cs="Times New Roman"/>
          <w:b/>
        </w:rPr>
        <w:t>（三）资格审查：</w:t>
      </w:r>
    </w:p>
    <w:p>
      <w:pPr>
        <w:pStyle w:val="18"/>
        <w:spacing w:before="0" w:beforeAutospacing="0" w:after="0" w:afterAutospacing="0" w:line="440" w:lineRule="exact"/>
        <w:ind w:firstLine="360" w:firstLineChars="150"/>
        <w:rPr>
          <w:rFonts w:cs="Times New Roman"/>
        </w:rPr>
      </w:pPr>
      <w:r>
        <w:rPr>
          <w:rFonts w:hint="eastAsia" w:cs="Times New Roman"/>
        </w:rPr>
        <w:t>本次招标采取资格后审方式，资格审查将在开标后由评委会审查。</w:t>
      </w:r>
    </w:p>
    <w:p>
      <w:pPr>
        <w:pStyle w:val="18"/>
        <w:spacing w:before="0" w:beforeAutospacing="0" w:after="0" w:afterAutospacing="0" w:line="440" w:lineRule="exact"/>
        <w:ind w:firstLine="361" w:firstLineChars="150"/>
        <w:rPr>
          <w:rFonts w:cs="Times New Roman"/>
          <w:b/>
        </w:rPr>
      </w:pPr>
      <w:r>
        <w:rPr>
          <w:rFonts w:hint="eastAsia" w:cs="Times New Roman"/>
          <w:b/>
        </w:rPr>
        <w:t>（四）报名方式：</w:t>
      </w:r>
    </w:p>
    <w:p>
      <w:pPr>
        <w:pStyle w:val="18"/>
        <w:spacing w:before="0" w:beforeAutospacing="0" w:after="0" w:afterAutospacing="0" w:line="440" w:lineRule="exact"/>
        <w:ind w:firstLine="360" w:firstLineChars="150"/>
        <w:rPr>
          <w:rFonts w:cs="Times New Roman"/>
        </w:rPr>
      </w:pPr>
      <w:r>
        <w:rPr>
          <w:rFonts w:hint="eastAsia" w:cs="Times New Roman"/>
        </w:rPr>
        <w:t>1、本招标公告在铜陵学院网（http://www.tlu.edu.cn/）、安徽阳光工程咨询有限公司（http://www.ygkjs.com/）和中国政府采购网（http://www.ccgp.gov.cn/）上发布，招标文件如有修正，将在前述网站发布，修正文件与招标文件具有同等约束力，请投标人自行关注。</w:t>
      </w:r>
    </w:p>
    <w:p>
      <w:pPr>
        <w:pStyle w:val="18"/>
        <w:spacing w:before="0" w:beforeAutospacing="0" w:after="0" w:afterAutospacing="0" w:line="440" w:lineRule="exact"/>
        <w:ind w:firstLine="360" w:firstLineChars="150"/>
        <w:rPr>
          <w:rFonts w:cs="Times New Roman"/>
        </w:rPr>
      </w:pPr>
      <w:r>
        <w:rPr>
          <w:rFonts w:hint="eastAsia" w:cs="Times New Roman"/>
        </w:rPr>
        <w:t>2、招标文件发售时间：自招标公告挂网发布至开标截止时间；</w:t>
      </w:r>
    </w:p>
    <w:p>
      <w:pPr>
        <w:pStyle w:val="18"/>
        <w:spacing w:before="0" w:beforeAutospacing="0" w:after="0" w:afterAutospacing="0" w:line="440" w:lineRule="exact"/>
        <w:ind w:firstLine="360" w:firstLineChars="15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3、招标文件价格：每套招标文件人民币300元整，招标文件售后不退（开标现场收取）；</w:t>
      </w:r>
    </w:p>
    <w:p>
      <w:pPr>
        <w:pStyle w:val="18"/>
        <w:spacing w:before="0" w:beforeAutospacing="0" w:after="0" w:afterAutospacing="0" w:line="440" w:lineRule="exact"/>
        <w:ind w:firstLine="361" w:firstLineChars="150"/>
        <w:rPr>
          <w:rFonts w:cs="Times New Roman"/>
          <w:b/>
          <w:color w:val="000000" w:themeColor="text1"/>
          <w14:textFill>
            <w14:solidFill>
              <w14:schemeClr w14:val="tx1"/>
            </w14:solidFill>
          </w14:textFill>
        </w:rPr>
      </w:pPr>
      <w:r>
        <w:rPr>
          <w:rFonts w:hint="eastAsia" w:cs="Times New Roman"/>
          <w:b/>
          <w:color w:val="000000" w:themeColor="text1"/>
          <w14:textFill>
            <w14:solidFill>
              <w14:schemeClr w14:val="tx1"/>
            </w14:solidFill>
          </w14:textFill>
        </w:rPr>
        <w:t>（五）磋商时间及地点</w:t>
      </w:r>
    </w:p>
    <w:p>
      <w:pPr>
        <w:pStyle w:val="18"/>
        <w:spacing w:before="0" w:beforeAutospacing="0" w:after="0" w:afterAutospacing="0" w:line="440" w:lineRule="exact"/>
        <w:ind w:firstLine="360" w:firstLineChars="15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 xml:space="preserve">磋商时间：2018年 </w:t>
      </w:r>
      <w:r>
        <w:rPr>
          <w:rFonts w:hint="eastAsia" w:cs="Times New Roman"/>
          <w:color w:val="000000" w:themeColor="text1"/>
          <w:lang w:val="en-US" w:eastAsia="zh-CN"/>
          <w14:textFill>
            <w14:solidFill>
              <w14:schemeClr w14:val="tx1"/>
            </w14:solidFill>
          </w14:textFill>
        </w:rPr>
        <w:t>10</w:t>
      </w:r>
      <w:r>
        <w:rPr>
          <w:rFonts w:hint="eastAsia" w:cs="Times New Roman"/>
          <w:color w:val="000000" w:themeColor="text1"/>
          <w14:textFill>
            <w14:solidFill>
              <w14:schemeClr w14:val="tx1"/>
            </w14:solidFill>
          </w14:textFill>
        </w:rPr>
        <w:t xml:space="preserve"> 月 </w:t>
      </w:r>
      <w:r>
        <w:rPr>
          <w:rFonts w:hint="eastAsia" w:cs="Times New Roman"/>
          <w:color w:val="000000" w:themeColor="text1"/>
          <w:lang w:val="en-US" w:eastAsia="zh-CN"/>
          <w14:textFill>
            <w14:solidFill>
              <w14:schemeClr w14:val="tx1"/>
            </w14:solidFill>
          </w14:textFill>
        </w:rPr>
        <w:t>29</w:t>
      </w:r>
      <w:r>
        <w:rPr>
          <w:rFonts w:hint="eastAsia" w:cs="Times New Roman"/>
          <w:color w:val="000000" w:themeColor="text1"/>
          <w14:textFill>
            <w14:solidFill>
              <w14:schemeClr w14:val="tx1"/>
            </w14:solidFill>
          </w14:textFill>
        </w:rPr>
        <w:t xml:space="preserve">  日9：00时；</w:t>
      </w:r>
    </w:p>
    <w:p>
      <w:pPr>
        <w:pStyle w:val="18"/>
        <w:spacing w:before="0" w:beforeAutospacing="0" w:after="0" w:afterAutospacing="0" w:line="440" w:lineRule="exact"/>
        <w:ind w:firstLine="360" w:firstLineChars="150"/>
        <w:rPr>
          <w:rFonts w:cs="Times New Roman"/>
        </w:rPr>
      </w:pPr>
      <w:r>
        <w:rPr>
          <w:rFonts w:hint="eastAsia" w:cs="Times New Roman"/>
        </w:rPr>
        <w:t>递交磋商响应书地点：安徽阳光工程咨询有限公司会议室（铜陵市天山大道邮政储蓄银行银行七楼）。</w:t>
      </w:r>
    </w:p>
    <w:p>
      <w:pPr>
        <w:pStyle w:val="18"/>
        <w:spacing w:before="0" w:beforeAutospacing="0" w:after="0" w:afterAutospacing="0" w:line="440" w:lineRule="exact"/>
        <w:ind w:firstLine="361" w:firstLineChars="150"/>
        <w:rPr>
          <w:rFonts w:cs="Times New Roman"/>
          <w:b/>
        </w:rPr>
      </w:pPr>
      <w:r>
        <w:rPr>
          <w:rFonts w:hint="eastAsia" w:cs="Times New Roman"/>
          <w:b/>
        </w:rPr>
        <w:t>（六）响应文件提交截止时间</w:t>
      </w:r>
    </w:p>
    <w:p>
      <w:pPr>
        <w:pStyle w:val="18"/>
        <w:spacing w:before="0" w:beforeAutospacing="0" w:after="0" w:afterAutospacing="0" w:line="440" w:lineRule="exact"/>
        <w:ind w:firstLine="360" w:firstLineChars="150"/>
        <w:rPr>
          <w:rFonts w:cs="Times New Roman"/>
        </w:rPr>
      </w:pPr>
      <w:r>
        <w:rPr>
          <w:rFonts w:hint="eastAsia" w:cs="Times New Roman"/>
        </w:rPr>
        <w:t>同磋商时间</w:t>
      </w:r>
    </w:p>
    <w:p>
      <w:pPr>
        <w:pStyle w:val="18"/>
        <w:spacing w:before="0" w:beforeAutospacing="0" w:after="0" w:afterAutospacing="0" w:line="440" w:lineRule="exact"/>
        <w:ind w:firstLine="361" w:firstLineChars="150"/>
        <w:rPr>
          <w:rFonts w:cs="Times New Roman"/>
          <w:b/>
        </w:rPr>
      </w:pPr>
      <w:r>
        <w:rPr>
          <w:rFonts w:hint="eastAsia" w:cs="Times New Roman"/>
          <w:b/>
        </w:rPr>
        <w:t>（七）联系方法：</w:t>
      </w:r>
    </w:p>
    <w:p>
      <w:pPr>
        <w:pStyle w:val="18"/>
        <w:spacing w:before="0" w:beforeAutospacing="0" w:after="0" w:afterAutospacing="0" w:line="440" w:lineRule="exact"/>
        <w:ind w:firstLine="360" w:firstLineChars="150"/>
        <w:rPr>
          <w:rFonts w:cs="Times New Roman"/>
        </w:rPr>
      </w:pPr>
      <w:r>
        <w:rPr>
          <w:rFonts w:hint="eastAsia" w:cs="Times New Roman"/>
        </w:rPr>
        <w:t xml:space="preserve">（一）项目单位：铜陵学院                </w:t>
      </w:r>
    </w:p>
    <w:p>
      <w:pPr>
        <w:pStyle w:val="18"/>
        <w:spacing w:before="0" w:beforeAutospacing="0" w:after="0" w:afterAutospacing="0" w:line="440" w:lineRule="exact"/>
        <w:ind w:firstLine="360" w:firstLineChars="150"/>
        <w:rPr>
          <w:rFonts w:cs="Times New Roman"/>
        </w:rPr>
      </w:pPr>
      <w:r>
        <w:rPr>
          <w:rFonts w:hint="eastAsia" w:cs="Times New Roman"/>
        </w:rPr>
        <w:t xml:space="preserve">地  址：铜陵市翠湖四路东段1335号                 </w:t>
      </w:r>
    </w:p>
    <w:p>
      <w:pPr>
        <w:pStyle w:val="18"/>
        <w:spacing w:before="0" w:beforeAutospacing="0" w:after="0" w:afterAutospacing="0" w:line="440" w:lineRule="exact"/>
        <w:ind w:firstLine="360" w:firstLineChars="150"/>
        <w:rPr>
          <w:rFonts w:cs="Times New Roman"/>
        </w:rPr>
      </w:pPr>
      <w:r>
        <w:rPr>
          <w:rFonts w:hint="eastAsia" w:cs="Times New Roman"/>
        </w:rPr>
        <w:t>联系人：程老师</w:t>
      </w:r>
    </w:p>
    <w:p>
      <w:pPr>
        <w:pStyle w:val="18"/>
        <w:spacing w:before="0" w:beforeAutospacing="0" w:after="0" w:afterAutospacing="0" w:line="440" w:lineRule="exact"/>
        <w:ind w:firstLine="360" w:firstLineChars="150"/>
        <w:rPr>
          <w:rFonts w:cs="Times New Roman"/>
        </w:rPr>
      </w:pPr>
      <w:r>
        <w:rPr>
          <w:rFonts w:hint="eastAsia" w:cs="Times New Roman"/>
        </w:rPr>
        <w:t>电  话： 0562-5881058</w:t>
      </w:r>
    </w:p>
    <w:p>
      <w:pPr>
        <w:pStyle w:val="18"/>
        <w:spacing w:before="0" w:beforeAutospacing="0" w:after="0" w:afterAutospacing="0" w:line="440" w:lineRule="exact"/>
        <w:ind w:firstLine="360" w:firstLineChars="150"/>
        <w:rPr>
          <w:rFonts w:cs="Times New Roman"/>
        </w:rPr>
      </w:pPr>
      <w:r>
        <w:rPr>
          <w:rFonts w:hint="eastAsia" w:cs="Times New Roman"/>
        </w:rPr>
        <w:t xml:space="preserve">（二）招标代理机构：安徽阳光工程咨询有限公司                  </w:t>
      </w:r>
    </w:p>
    <w:p>
      <w:pPr>
        <w:pStyle w:val="18"/>
        <w:spacing w:before="0" w:beforeAutospacing="0" w:after="0" w:afterAutospacing="0" w:line="440" w:lineRule="exact"/>
        <w:ind w:firstLine="360" w:firstLineChars="150"/>
        <w:rPr>
          <w:rFonts w:cs="Times New Roman"/>
        </w:rPr>
      </w:pPr>
      <w:r>
        <w:rPr>
          <w:rFonts w:hint="eastAsia" w:cs="Times New Roman"/>
        </w:rPr>
        <w:t xml:space="preserve">地  址：铜陵市天山大道与学士路交叉口邮储银行七楼                                         </w:t>
      </w:r>
    </w:p>
    <w:p>
      <w:pPr>
        <w:pStyle w:val="18"/>
        <w:spacing w:before="0" w:beforeAutospacing="0" w:after="0" w:afterAutospacing="0" w:line="440" w:lineRule="exact"/>
        <w:ind w:firstLine="360" w:firstLineChars="150"/>
        <w:rPr>
          <w:rFonts w:cs="Times New Roman"/>
        </w:rPr>
      </w:pPr>
      <w:r>
        <w:rPr>
          <w:rFonts w:hint="eastAsia" w:cs="Times New Roman"/>
        </w:rPr>
        <w:t xml:space="preserve">联系人： 汪工             </w:t>
      </w:r>
    </w:p>
    <w:p>
      <w:pPr>
        <w:pStyle w:val="18"/>
        <w:spacing w:before="0" w:beforeAutospacing="0" w:after="0" w:afterAutospacing="0" w:line="440" w:lineRule="exact"/>
        <w:ind w:firstLine="360" w:firstLineChars="150"/>
        <w:rPr>
          <w:rFonts w:cs="Times New Roman"/>
        </w:rPr>
      </w:pPr>
      <w:r>
        <w:rPr>
          <w:rFonts w:hint="eastAsia" w:cs="Times New Roman"/>
        </w:rPr>
        <w:t>电  话：0562-2808102</w:t>
      </w:r>
    </w:p>
    <w:p>
      <w:pPr>
        <w:pStyle w:val="18"/>
        <w:spacing w:before="0" w:beforeAutospacing="0" w:after="0" w:afterAutospacing="0" w:line="440" w:lineRule="exact"/>
        <w:ind w:firstLine="361" w:firstLineChars="150"/>
        <w:rPr>
          <w:rFonts w:cs="Times New Roman"/>
          <w:b/>
        </w:rPr>
      </w:pPr>
      <w:r>
        <w:rPr>
          <w:rFonts w:hint="eastAsia" w:cs="Times New Roman"/>
          <w:b/>
        </w:rPr>
        <w:t>（八）磋商保证金缴纳账户</w:t>
      </w:r>
    </w:p>
    <w:p>
      <w:pPr>
        <w:pStyle w:val="18"/>
        <w:spacing w:before="0" w:beforeAutospacing="0" w:after="0" w:afterAutospacing="0" w:line="440" w:lineRule="exact"/>
        <w:ind w:firstLine="360" w:firstLineChars="150"/>
        <w:rPr>
          <w:rFonts w:cs="Times New Roman"/>
        </w:rPr>
      </w:pPr>
      <w:r>
        <w:rPr>
          <w:rFonts w:hint="eastAsia" w:cs="Times New Roman"/>
        </w:rPr>
        <w:t>户    名：安徽阳光工程咨询有限公司</w:t>
      </w:r>
    </w:p>
    <w:p>
      <w:pPr>
        <w:pStyle w:val="18"/>
        <w:spacing w:before="0" w:beforeAutospacing="0" w:after="0" w:afterAutospacing="0" w:line="440" w:lineRule="exact"/>
        <w:ind w:firstLine="360" w:firstLineChars="150"/>
        <w:rPr>
          <w:rFonts w:cs="Times New Roman"/>
        </w:rPr>
      </w:pPr>
      <w:r>
        <w:rPr>
          <w:rFonts w:hint="eastAsia" w:cs="Times New Roman"/>
        </w:rPr>
        <w:t>账    号：1990101021000519192</w:t>
      </w:r>
    </w:p>
    <w:p>
      <w:pPr>
        <w:pStyle w:val="18"/>
        <w:spacing w:before="0" w:beforeAutospacing="0" w:after="0" w:afterAutospacing="0" w:line="440" w:lineRule="exact"/>
        <w:ind w:firstLine="360" w:firstLineChars="150"/>
        <w:rPr>
          <w:rFonts w:cs="Times New Roman"/>
        </w:rPr>
      </w:pPr>
      <w:r>
        <w:rPr>
          <w:rFonts w:hint="eastAsia" w:cs="Times New Roman"/>
        </w:rPr>
        <w:t>开户银行：徽商银行铜陵狮子山支行</w:t>
      </w:r>
    </w:p>
    <w:p>
      <w:pPr>
        <w:pStyle w:val="18"/>
        <w:spacing w:before="0" w:beforeAutospacing="0" w:after="0" w:afterAutospacing="0" w:line="440" w:lineRule="exact"/>
        <w:ind w:firstLine="360" w:firstLineChars="15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磋商保证金金额：3000元整</w:t>
      </w:r>
    </w:p>
    <w:p>
      <w:pPr>
        <w:pStyle w:val="18"/>
        <w:spacing w:before="0" w:beforeAutospacing="0" w:after="0" w:afterAutospacing="0" w:line="440" w:lineRule="exact"/>
        <w:ind w:firstLine="360" w:firstLineChars="150"/>
        <w:rPr>
          <w:rFonts w:cs="Times New Roman"/>
        </w:rPr>
      </w:pPr>
      <w:r>
        <w:rPr>
          <w:rFonts w:hint="eastAsia" w:cs="Times New Roman"/>
        </w:rPr>
        <w:t xml:space="preserve">（不计息，投标截止日前从供应商基本账户汇款至招标代理机构账户，汇款时需注明“ </w:t>
      </w:r>
      <w:r>
        <w:rPr>
          <w:rFonts w:hint="eastAsia"/>
        </w:rPr>
        <w:t>铜陵学院</w:t>
      </w:r>
      <w:r>
        <w:rPr>
          <w:rFonts w:hint="eastAsia" w:cs="Times New Roman"/>
        </w:rPr>
        <w:t>道路交通辅助设计系统采购项目投标保证金”，不接受现金存款和现金交款。投标保证金应于投标文件递交截止时间前到帐。）</w:t>
      </w:r>
    </w:p>
    <w:p>
      <w:pPr>
        <w:widowControl/>
        <w:spacing w:before="60" w:after="60"/>
        <w:ind w:right="60"/>
        <w:jc w:val="center"/>
        <w:rPr>
          <w:rFonts w:ascii="宋体" w:hAnsi="宋体" w:cs="Arial"/>
          <w:b/>
          <w:bCs/>
          <w:color w:val="000000" w:themeColor="text1"/>
          <w:sz w:val="32"/>
          <w:szCs w:val="32"/>
          <w14:textFill>
            <w14:solidFill>
              <w14:schemeClr w14:val="tx1"/>
            </w14:solidFill>
          </w14:textFill>
        </w:rPr>
      </w:pPr>
      <w:r>
        <w:rPr>
          <w:rFonts w:hint="eastAsia" w:ascii="宋体" w:hAnsi="宋体" w:cs="宋体"/>
          <w:b/>
          <w:sz w:val="30"/>
        </w:rPr>
        <w:br w:type="page"/>
      </w:r>
      <w:bookmarkStart w:id="3" w:name="_Toc518667418"/>
      <w:r>
        <w:rPr>
          <w:rFonts w:hint="eastAsia" w:ascii="宋体" w:hAnsi="宋体"/>
          <w:b/>
          <w:color w:val="000000" w:themeColor="text1"/>
          <w:sz w:val="32"/>
          <w:szCs w:val="32"/>
          <w14:textFill>
            <w14:solidFill>
              <w14:schemeClr w14:val="tx1"/>
            </w14:solidFill>
          </w14:textFill>
        </w:rPr>
        <w:t>二、投标人须知前附表</w:t>
      </w:r>
      <w:bookmarkEnd w:id="3"/>
    </w:p>
    <w:tbl>
      <w:tblPr>
        <w:tblStyle w:val="25"/>
        <w:tblW w:w="966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2"/>
        <w:gridCol w:w="2171"/>
        <w:gridCol w:w="671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19" w:hRule="atLeast"/>
          <w:jc w:val="center"/>
        </w:trPr>
        <w:tc>
          <w:tcPr>
            <w:tcW w:w="7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序号</w:t>
            </w:r>
          </w:p>
        </w:tc>
        <w:tc>
          <w:tcPr>
            <w:tcW w:w="21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内  容</w:t>
            </w:r>
          </w:p>
        </w:tc>
        <w:tc>
          <w:tcPr>
            <w:tcW w:w="671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说明与要求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19" w:hRule="atLeast"/>
          <w:jc w:val="center"/>
        </w:trPr>
        <w:tc>
          <w:tcPr>
            <w:tcW w:w="7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21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项目名称</w:t>
            </w:r>
          </w:p>
        </w:tc>
        <w:tc>
          <w:tcPr>
            <w:tcW w:w="67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铜陵学院道路交通辅助设计系统采购项目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19" w:hRule="atLeast"/>
          <w:jc w:val="center"/>
        </w:trPr>
        <w:tc>
          <w:tcPr>
            <w:tcW w:w="7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21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项目编号</w:t>
            </w:r>
          </w:p>
        </w:tc>
        <w:tc>
          <w:tcPr>
            <w:tcW w:w="67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tlxyzb[2018]115号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85" w:hRule="atLeast"/>
          <w:jc w:val="center"/>
        </w:trPr>
        <w:tc>
          <w:tcPr>
            <w:tcW w:w="7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2171" w:type="dxa"/>
            <w:tcBorders>
              <w:top w:val="single" w:color="auto" w:sz="4" w:space="0"/>
              <w:left w:val="single" w:color="auto" w:sz="4" w:space="0"/>
              <w:bottom w:val="single" w:color="auto" w:sz="4" w:space="0"/>
              <w:right w:val="single" w:color="auto" w:sz="4" w:space="0"/>
            </w:tcBorders>
            <w:vAlign w:val="center"/>
          </w:tcPr>
          <w:p>
            <w:pPr>
              <w:ind w:left="120" w:hanging="120" w:hangingChar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招标范围</w:t>
            </w:r>
          </w:p>
        </w:tc>
        <w:tc>
          <w:tcPr>
            <w:tcW w:w="6717" w:type="dxa"/>
            <w:tcBorders>
              <w:top w:val="single" w:color="auto" w:sz="4" w:space="0"/>
              <w:left w:val="single" w:color="auto" w:sz="4" w:space="0"/>
              <w:bottom w:val="single" w:color="auto" w:sz="4" w:space="0"/>
              <w:right w:val="single" w:color="auto" w:sz="4" w:space="0"/>
            </w:tcBorders>
            <w:vAlign w:val="center"/>
          </w:tcPr>
          <w:p>
            <w:pPr>
              <w:ind w:firstLine="240" w:firstLineChars="1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详见项目需求及竞争性磋商文件载明内容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19" w:hRule="atLeast"/>
          <w:jc w:val="center"/>
        </w:trPr>
        <w:tc>
          <w:tcPr>
            <w:tcW w:w="7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p>
        </w:tc>
        <w:tc>
          <w:tcPr>
            <w:tcW w:w="21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资金来源</w:t>
            </w:r>
          </w:p>
        </w:tc>
        <w:tc>
          <w:tcPr>
            <w:tcW w:w="6717" w:type="dxa"/>
            <w:tcBorders>
              <w:top w:val="single" w:color="auto" w:sz="4" w:space="0"/>
              <w:left w:val="single" w:color="auto" w:sz="4" w:space="0"/>
              <w:bottom w:val="single" w:color="auto" w:sz="4" w:space="0"/>
              <w:right w:val="single" w:color="auto" w:sz="4" w:space="0"/>
            </w:tcBorders>
            <w:vAlign w:val="center"/>
          </w:tcPr>
          <w:p>
            <w:pPr>
              <w:ind w:firstLine="240" w:firstLineChars="1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自筹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19" w:hRule="atLeast"/>
          <w:jc w:val="center"/>
        </w:trPr>
        <w:tc>
          <w:tcPr>
            <w:tcW w:w="7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w:t>
            </w:r>
          </w:p>
        </w:tc>
        <w:tc>
          <w:tcPr>
            <w:tcW w:w="2171" w:type="dxa"/>
            <w:tcBorders>
              <w:top w:val="single" w:color="auto" w:sz="4" w:space="0"/>
              <w:left w:val="single" w:color="auto" w:sz="4" w:space="0"/>
              <w:bottom w:val="single" w:color="auto" w:sz="4" w:space="0"/>
              <w:right w:val="single" w:color="auto" w:sz="4" w:space="0"/>
            </w:tcBorders>
            <w:vAlign w:val="center"/>
          </w:tcPr>
          <w:p>
            <w:pPr>
              <w:pStyle w:val="4"/>
              <w:keepNext/>
              <w:topLinePunct/>
              <w:autoSpaceDE w:val="0"/>
              <w:autoSpaceDN w:val="0"/>
              <w:snapToGrid w:val="0"/>
              <w:ind w:firstLine="0" w:firstLineChars="0"/>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质量要求</w:t>
            </w:r>
          </w:p>
        </w:tc>
        <w:tc>
          <w:tcPr>
            <w:tcW w:w="6717" w:type="dxa"/>
            <w:tcBorders>
              <w:top w:val="single" w:color="auto" w:sz="4" w:space="0"/>
              <w:left w:val="single" w:color="auto" w:sz="4" w:space="0"/>
              <w:bottom w:val="single" w:color="auto" w:sz="4" w:space="0"/>
              <w:right w:val="single" w:color="auto" w:sz="4" w:space="0"/>
            </w:tcBorders>
            <w:vAlign w:val="center"/>
          </w:tcPr>
          <w:p>
            <w:pPr>
              <w:pStyle w:val="4"/>
              <w:keepNext/>
              <w:topLinePunct/>
              <w:autoSpaceDE w:val="0"/>
              <w:autoSpaceDN w:val="0"/>
              <w:snapToGrid w:val="0"/>
              <w:ind w:firstLine="240" w:firstLineChars="100"/>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满足国家规范要求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19" w:hRule="atLeast"/>
          <w:jc w:val="center"/>
        </w:trPr>
        <w:tc>
          <w:tcPr>
            <w:tcW w:w="7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w:t>
            </w:r>
          </w:p>
        </w:tc>
        <w:tc>
          <w:tcPr>
            <w:tcW w:w="21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采购方式</w:t>
            </w:r>
          </w:p>
        </w:tc>
        <w:tc>
          <w:tcPr>
            <w:tcW w:w="6717" w:type="dxa"/>
            <w:tcBorders>
              <w:top w:val="single" w:color="auto" w:sz="4" w:space="0"/>
              <w:left w:val="single" w:color="auto" w:sz="4" w:space="0"/>
              <w:bottom w:val="single" w:color="auto" w:sz="4" w:space="0"/>
              <w:right w:val="single" w:color="auto" w:sz="4" w:space="0"/>
            </w:tcBorders>
            <w:vAlign w:val="center"/>
          </w:tcPr>
          <w:p>
            <w:pPr>
              <w:ind w:firstLine="210" w:firstLineChars="100"/>
              <w:rPr>
                <w:rFonts w:ascii="宋体" w:hAnsi="宋体" w:cs="宋体"/>
                <w:color w:val="000000" w:themeColor="text1"/>
                <w:sz w:val="24"/>
                <w14:textFill>
                  <w14:solidFill>
                    <w14:schemeClr w14:val="tx1"/>
                  </w14:solidFill>
                </w14:textFill>
              </w:rPr>
            </w:pPr>
            <w:r>
              <w:rPr>
                <w:rFonts w:hint="eastAsia"/>
                <w:color w:val="000000" w:themeColor="text1"/>
                <w14:textFill>
                  <w14:solidFill>
                    <w14:schemeClr w14:val="tx1"/>
                  </w14:solidFill>
                </w14:textFill>
              </w:rPr>
              <w:t>竞争性磋商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19" w:hRule="atLeast"/>
          <w:jc w:val="center"/>
        </w:trPr>
        <w:tc>
          <w:tcPr>
            <w:tcW w:w="7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w:t>
            </w:r>
          </w:p>
        </w:tc>
        <w:tc>
          <w:tcPr>
            <w:tcW w:w="21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付款方式</w:t>
            </w:r>
          </w:p>
        </w:tc>
        <w:tc>
          <w:tcPr>
            <w:tcW w:w="6717"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cs="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项目验收合格后，由采购方通过“省监管服务平台”上传验收报告、发票等原件信息。经财政部门审核后，支付全部合同款。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19" w:hRule="atLeast"/>
          <w:jc w:val="center"/>
        </w:trPr>
        <w:tc>
          <w:tcPr>
            <w:tcW w:w="7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w:t>
            </w:r>
          </w:p>
        </w:tc>
        <w:tc>
          <w:tcPr>
            <w:tcW w:w="21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资格审查方式</w:t>
            </w:r>
          </w:p>
        </w:tc>
        <w:tc>
          <w:tcPr>
            <w:tcW w:w="67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资格后审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215" w:hRule="atLeast"/>
          <w:jc w:val="center"/>
        </w:trPr>
        <w:tc>
          <w:tcPr>
            <w:tcW w:w="7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9</w:t>
            </w:r>
          </w:p>
        </w:tc>
        <w:tc>
          <w:tcPr>
            <w:tcW w:w="21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投标保证金</w:t>
            </w:r>
          </w:p>
        </w:tc>
        <w:tc>
          <w:tcPr>
            <w:tcW w:w="6717" w:type="dxa"/>
            <w:tcBorders>
              <w:top w:val="single" w:color="auto" w:sz="4" w:space="0"/>
              <w:left w:val="single" w:color="auto" w:sz="4" w:space="0"/>
              <w:bottom w:val="single" w:color="auto" w:sz="4" w:space="0"/>
              <w:right w:val="single" w:color="auto" w:sz="4" w:space="0"/>
            </w:tcBorders>
            <w:vAlign w:val="center"/>
          </w:tcPr>
          <w:p>
            <w:pPr>
              <w:snapToGrid w:val="0"/>
              <w:spacing w:afterLines="50" w:line="360" w:lineRule="auto"/>
              <w:ind w:firstLine="240" w:firstLineChars="1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本项目投标保证金形式为人民币 3000元；</w:t>
            </w:r>
          </w:p>
          <w:p>
            <w:pPr>
              <w:snapToGrid w:val="0"/>
              <w:spacing w:afterLines="50"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收款单位：安徽阳光工程咨询有限公司；</w:t>
            </w:r>
          </w:p>
          <w:p>
            <w:pPr>
              <w:snapToGrid w:val="0"/>
              <w:spacing w:afterLines="50"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开户行：徽商银行铜陵狮子山支行；</w:t>
            </w:r>
          </w:p>
          <w:p>
            <w:pPr>
              <w:snapToGrid w:val="0"/>
              <w:spacing w:afterLines="50" w:line="360" w:lineRule="auto"/>
              <w:rPr>
                <w:rFonts w:ascii="宋体" w:hAnsi="宋体" w:cs="宋体"/>
                <w:bCs/>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帐号：1990101021000519192。供应商必须基本账户转入,本项目不接受现金保证金。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19" w:hRule="atLeast"/>
          <w:jc w:val="center"/>
        </w:trPr>
        <w:tc>
          <w:tcPr>
            <w:tcW w:w="7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w:t>
            </w:r>
          </w:p>
        </w:tc>
        <w:tc>
          <w:tcPr>
            <w:tcW w:w="21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投标有效期</w:t>
            </w:r>
          </w:p>
        </w:tc>
        <w:tc>
          <w:tcPr>
            <w:tcW w:w="67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60天，自投标截止之日起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19" w:hRule="atLeast"/>
          <w:jc w:val="center"/>
        </w:trPr>
        <w:tc>
          <w:tcPr>
            <w:tcW w:w="7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p>
        </w:tc>
        <w:tc>
          <w:tcPr>
            <w:tcW w:w="21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投标文件份数</w:t>
            </w:r>
          </w:p>
        </w:tc>
        <w:tc>
          <w:tcPr>
            <w:tcW w:w="67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正本壹份，副本贰份（单独或一起密封）。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71" w:hRule="atLeast"/>
          <w:jc w:val="center"/>
        </w:trPr>
        <w:tc>
          <w:tcPr>
            <w:tcW w:w="7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p>
        </w:tc>
        <w:tc>
          <w:tcPr>
            <w:tcW w:w="21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投标文件提交</w:t>
            </w:r>
          </w:p>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地点及截止时间（北京时间）</w:t>
            </w:r>
          </w:p>
        </w:tc>
        <w:tc>
          <w:tcPr>
            <w:tcW w:w="67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收件人：安徽阳光工程咨询有限公司</w:t>
            </w:r>
          </w:p>
          <w:p>
            <w:pPr>
              <w:spacing w:line="30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  点：铜陵市天山大道与学士路交叉口邮储银行七楼安徽阳光工程咨询有限公司会议室</w:t>
            </w:r>
          </w:p>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时  间：2018年</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lang w:val="en-US" w:eastAsia="zh-CN"/>
                <w14:textFill>
                  <w14:solidFill>
                    <w14:schemeClr w14:val="tx1"/>
                  </w14:solidFill>
                </w14:textFill>
              </w:rPr>
              <w:t>10</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xml:space="preserve">月 </w:t>
            </w:r>
            <w:r>
              <w:rPr>
                <w:rFonts w:hint="eastAsia" w:ascii="宋体" w:hAnsi="宋体" w:cs="宋体"/>
                <w:color w:val="000000" w:themeColor="text1"/>
                <w:sz w:val="24"/>
                <w:lang w:val="en-US" w:eastAsia="zh-CN"/>
                <w14:textFill>
                  <w14:solidFill>
                    <w14:schemeClr w14:val="tx1"/>
                  </w14:solidFill>
                </w14:textFill>
              </w:rPr>
              <w:t>29</w:t>
            </w:r>
            <w:r>
              <w:rPr>
                <w:rFonts w:hint="eastAsia" w:ascii="宋体" w:hAnsi="宋体" w:cs="宋体"/>
                <w:color w:val="000000" w:themeColor="text1"/>
                <w:sz w:val="24"/>
                <w14:textFill>
                  <w14:solidFill>
                    <w14:schemeClr w14:val="tx1"/>
                  </w14:solidFill>
                </w14:textFill>
              </w:rPr>
              <w:t xml:space="preserve"> 日9时00分（北京时间）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71" w:hRule="atLeast"/>
          <w:jc w:val="center"/>
        </w:trPr>
        <w:tc>
          <w:tcPr>
            <w:tcW w:w="7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13</w:t>
            </w:r>
          </w:p>
        </w:tc>
        <w:tc>
          <w:tcPr>
            <w:tcW w:w="21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开标</w:t>
            </w:r>
          </w:p>
        </w:tc>
        <w:tc>
          <w:tcPr>
            <w:tcW w:w="67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时  间：2018年</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lang w:val="en-US" w:eastAsia="zh-CN"/>
                <w14:textFill>
                  <w14:solidFill>
                    <w14:schemeClr w14:val="tx1"/>
                  </w14:solidFill>
                </w14:textFill>
              </w:rPr>
              <w:t>10</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xml:space="preserve">月 </w:t>
            </w:r>
            <w:r>
              <w:rPr>
                <w:rFonts w:hint="eastAsia" w:ascii="宋体" w:hAnsi="宋体" w:cs="宋体"/>
                <w:color w:val="000000" w:themeColor="text1"/>
                <w:sz w:val="24"/>
                <w:lang w:val="en-US" w:eastAsia="zh-CN"/>
                <w14:textFill>
                  <w14:solidFill>
                    <w14:schemeClr w14:val="tx1"/>
                  </w14:solidFill>
                </w14:textFill>
              </w:rPr>
              <w:t>29</w:t>
            </w:r>
            <w:r>
              <w:rPr>
                <w:rFonts w:hint="eastAsia" w:ascii="宋体" w:hAnsi="宋体" w:cs="宋体"/>
                <w:color w:val="000000" w:themeColor="text1"/>
                <w:sz w:val="24"/>
                <w14:textFill>
                  <w14:solidFill>
                    <w14:schemeClr w14:val="tx1"/>
                  </w14:solidFill>
                </w14:textFill>
              </w:rPr>
              <w:t xml:space="preserve"> 日9时00分（北京时间）</w:t>
            </w:r>
          </w:p>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  点：铜陵市天山大道与学士路交叉口邮储银行七楼安徽阳光工程咨询有限公司会议室</w:t>
            </w:r>
          </w:p>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开标时请投标人的法定代表人或其授权代理人出席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19" w:hRule="atLeast"/>
          <w:jc w:val="center"/>
        </w:trPr>
        <w:tc>
          <w:tcPr>
            <w:tcW w:w="7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14</w:t>
            </w:r>
          </w:p>
        </w:tc>
        <w:tc>
          <w:tcPr>
            <w:tcW w:w="21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评标方法</w:t>
            </w:r>
          </w:p>
        </w:tc>
        <w:tc>
          <w:tcPr>
            <w:tcW w:w="6717" w:type="dxa"/>
            <w:tcBorders>
              <w:top w:val="single" w:color="auto" w:sz="4" w:space="0"/>
              <w:left w:val="single" w:color="auto" w:sz="4" w:space="0"/>
              <w:bottom w:val="single" w:color="auto" w:sz="4" w:space="0"/>
              <w:right w:val="single" w:color="auto" w:sz="4" w:space="0"/>
            </w:tcBorders>
            <w:vAlign w:val="center"/>
          </w:tcPr>
          <w:p>
            <w:pPr>
              <w:pStyle w:val="36"/>
              <w:spacing w:line="360" w:lineRule="auto"/>
              <w:jc w:val="both"/>
              <w:rPr>
                <w:color w:val="000000" w:themeColor="text1"/>
                <w:kern w:val="2"/>
                <w14:textFill>
                  <w14:solidFill>
                    <w14:schemeClr w14:val="tx1"/>
                  </w14:solidFill>
                </w14:textFill>
              </w:rPr>
            </w:pPr>
            <w:r>
              <w:rPr>
                <w:rFonts w:hint="eastAsia"/>
                <w:color w:val="000000" w:themeColor="text1"/>
                <w:kern w:val="2"/>
                <w14:textFill>
                  <w14:solidFill>
                    <w14:schemeClr w14:val="tx1"/>
                  </w14:solidFill>
                </w14:textFill>
              </w:rPr>
              <w:t>综合评估法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9" w:hRule="atLeast"/>
          <w:jc w:val="center"/>
        </w:trPr>
        <w:tc>
          <w:tcPr>
            <w:tcW w:w="7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15</w:t>
            </w:r>
          </w:p>
        </w:tc>
        <w:tc>
          <w:tcPr>
            <w:tcW w:w="21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招标控制价</w:t>
            </w:r>
          </w:p>
        </w:tc>
        <w:tc>
          <w:tcPr>
            <w:tcW w:w="67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17</w:t>
            </w:r>
            <w:r>
              <w:rPr>
                <w:rFonts w:hint="eastAsia" w:ascii="宋体" w:hAnsi="宋体" w:cs="宋体"/>
                <w:color w:val="000000" w:themeColor="text1"/>
                <w:sz w:val="24"/>
                <w14:textFill>
                  <w14:solidFill>
                    <w14:schemeClr w14:val="tx1"/>
                  </w14:solidFill>
                </w14:textFill>
              </w:rPr>
              <w:t>万元人民币。高于招标控制价的投标报价将被否决。</w:t>
            </w:r>
          </w:p>
        </w:tc>
      </w:tr>
    </w:tbl>
    <w:p>
      <w:pPr>
        <w:pStyle w:val="3"/>
        <w:spacing w:line="440" w:lineRule="exact"/>
        <w:jc w:val="center"/>
        <w:rPr>
          <w:rFonts w:ascii="宋体" w:hAnsi="宋体" w:eastAsia="宋体"/>
          <w:color w:val="000000" w:themeColor="text1"/>
          <w14:textFill>
            <w14:solidFill>
              <w14:schemeClr w14:val="tx1"/>
            </w14:solidFill>
          </w14:textFill>
        </w:rPr>
      </w:pPr>
      <w:r>
        <w:rPr>
          <w:rFonts w:hint="eastAsia" w:ascii="宋体" w:hAnsi="宋体" w:eastAsia="宋体" w:cs="Arial"/>
          <w:bCs/>
          <w:color w:val="000000" w:themeColor="text1"/>
          <w:sz w:val="28"/>
          <w:szCs w:val="28"/>
          <w14:textFill>
            <w14:solidFill>
              <w14:schemeClr w14:val="tx1"/>
            </w14:solidFill>
          </w14:textFill>
        </w:rPr>
        <w:br w:type="page"/>
      </w:r>
    </w:p>
    <w:p>
      <w:pPr>
        <w:pStyle w:val="3"/>
        <w:jc w:val="center"/>
        <w:rPr>
          <w:rFonts w:ascii="宋体" w:hAnsi="宋体" w:eastAsia="宋体" w:cs="仿宋_GB2312"/>
        </w:rPr>
      </w:pPr>
      <w:bookmarkStart w:id="4" w:name="_Toc518667419"/>
      <w:r>
        <w:rPr>
          <w:rStyle w:val="27"/>
          <w:rFonts w:hint="eastAsia" w:ascii="宋体" w:hAnsi="宋体" w:eastAsia="宋体" w:cs="黑体"/>
          <w:b w:val="0"/>
          <w:kern w:val="2"/>
          <w:szCs w:val="22"/>
        </w:rPr>
        <w:t>三、</w:t>
      </w:r>
      <w:bookmarkEnd w:id="4"/>
      <w:r>
        <w:rPr>
          <w:rFonts w:hint="eastAsia" w:ascii="宋体" w:hAnsi="宋体" w:eastAsia="宋体" w:cs="仿宋_GB2312"/>
        </w:rPr>
        <w:t>磋商响应单位须知</w:t>
      </w:r>
    </w:p>
    <w:p>
      <w:pPr>
        <w:pStyle w:val="35"/>
        <w:rPr>
          <w:rFonts w:ascii="宋体" w:hAnsi="宋体" w:cs="仿宋_GB2312"/>
          <w:b/>
          <w:sz w:val="24"/>
          <w:szCs w:val="24"/>
        </w:rPr>
      </w:pPr>
      <w:bookmarkStart w:id="5" w:name="_Toc383776344"/>
      <w:r>
        <w:rPr>
          <w:rFonts w:hint="eastAsia" w:ascii="宋体" w:hAnsi="宋体" w:cs="仿宋_GB2312"/>
          <w:b/>
          <w:sz w:val="24"/>
          <w:szCs w:val="24"/>
        </w:rPr>
        <w:t>（一）总则</w:t>
      </w:r>
      <w:bookmarkEnd w:id="5"/>
    </w:p>
    <w:p>
      <w:pPr>
        <w:pStyle w:val="36"/>
        <w:snapToGrid w:val="0"/>
        <w:spacing w:line="360" w:lineRule="auto"/>
        <w:ind w:firstLine="482" w:firstLineChars="200"/>
        <w:rPr>
          <w:rFonts w:cs="仿宋_GB2312"/>
          <w:b/>
          <w:bCs/>
        </w:rPr>
      </w:pPr>
      <w:r>
        <w:rPr>
          <w:rFonts w:cs="仿宋_GB2312"/>
          <w:b/>
          <w:bCs/>
        </w:rPr>
        <w:t>1</w:t>
      </w:r>
      <w:r>
        <w:rPr>
          <w:rFonts w:hint="eastAsia" w:cs="仿宋_GB2312"/>
          <w:b/>
          <w:bCs/>
        </w:rPr>
        <w:t>．磋商响应供应商（以下简称供应商）资格要求</w:t>
      </w:r>
    </w:p>
    <w:p>
      <w:pPr>
        <w:pStyle w:val="36"/>
        <w:snapToGrid w:val="0"/>
        <w:spacing w:line="360" w:lineRule="auto"/>
        <w:ind w:firstLine="480" w:firstLineChars="200"/>
        <w:rPr>
          <w:rFonts w:cs="仿宋_GB2312"/>
        </w:rPr>
      </w:pPr>
      <w:r>
        <w:rPr>
          <w:rFonts w:hint="eastAsia" w:cs="仿宋_GB2312"/>
        </w:rPr>
        <w:t>见磋商公告</w:t>
      </w:r>
    </w:p>
    <w:p>
      <w:pPr>
        <w:pStyle w:val="36"/>
        <w:snapToGrid w:val="0"/>
        <w:spacing w:line="360" w:lineRule="auto"/>
        <w:ind w:firstLine="480" w:firstLineChars="200"/>
        <w:rPr>
          <w:rFonts w:cs="仿宋_GB2312"/>
        </w:rPr>
      </w:pPr>
      <w:r>
        <w:rPr>
          <w:rFonts w:hint="eastAsia" w:cs="仿宋_GB2312"/>
        </w:rPr>
        <w:t>注：本磋商文件中规定提供的复印件须装订入磋商响应书正、副本中。</w:t>
      </w:r>
    </w:p>
    <w:p>
      <w:pPr>
        <w:snapToGrid w:val="0"/>
        <w:spacing w:line="360" w:lineRule="auto"/>
        <w:ind w:firstLine="482" w:firstLineChars="200"/>
        <w:rPr>
          <w:rFonts w:ascii="宋体" w:hAnsi="宋体" w:cs="仿宋_GB2312"/>
          <w:sz w:val="24"/>
        </w:rPr>
      </w:pPr>
      <w:r>
        <w:rPr>
          <w:rFonts w:ascii="宋体" w:hAnsi="宋体" w:cs="仿宋_GB2312"/>
          <w:b/>
          <w:sz w:val="24"/>
        </w:rPr>
        <w:t>2</w:t>
      </w:r>
      <w:r>
        <w:rPr>
          <w:rFonts w:hint="eastAsia" w:ascii="宋体" w:hAnsi="宋体" w:cs="仿宋_GB2312"/>
          <w:b/>
          <w:sz w:val="24"/>
        </w:rPr>
        <w:t>．磋商响应费用</w:t>
      </w:r>
    </w:p>
    <w:p>
      <w:pPr>
        <w:pStyle w:val="36"/>
        <w:snapToGrid w:val="0"/>
        <w:spacing w:line="360" w:lineRule="auto"/>
        <w:ind w:firstLine="480" w:firstLineChars="200"/>
        <w:rPr>
          <w:rFonts w:cs="仿宋_GB2312"/>
        </w:rPr>
      </w:pPr>
      <w:r>
        <w:rPr>
          <w:rFonts w:hint="eastAsia" w:cs="仿宋_GB2312"/>
        </w:rPr>
        <w:t>供应商必须自行承担所有与参加磋商有关的一切费用。不论磋商的结果如何，采购人和采购代理机构在任何情况下均无义务和责任承担这些费用。</w:t>
      </w:r>
    </w:p>
    <w:p>
      <w:pPr>
        <w:pStyle w:val="36"/>
        <w:snapToGrid w:val="0"/>
        <w:spacing w:line="360" w:lineRule="auto"/>
        <w:ind w:firstLine="480" w:firstLineChars="200"/>
        <w:rPr>
          <w:rFonts w:cs="仿宋_GB2312"/>
        </w:rPr>
      </w:pPr>
      <w:bookmarkStart w:id="6" w:name="_Toc383776345"/>
    </w:p>
    <w:p>
      <w:pPr>
        <w:spacing w:line="360" w:lineRule="auto"/>
        <w:ind w:firstLine="482" w:firstLineChars="200"/>
        <w:jc w:val="center"/>
        <w:rPr>
          <w:rFonts w:ascii="宋体" w:hAnsi="宋体" w:cs="仿宋_GB2312"/>
          <w:b/>
          <w:sz w:val="24"/>
        </w:rPr>
      </w:pPr>
      <w:r>
        <w:rPr>
          <w:rFonts w:hint="eastAsia" w:ascii="宋体" w:hAnsi="宋体" w:cs="仿宋_GB2312"/>
          <w:b/>
          <w:sz w:val="24"/>
        </w:rPr>
        <w:t>（二）竞争性磋商文件</w:t>
      </w:r>
      <w:bookmarkEnd w:id="6"/>
    </w:p>
    <w:p>
      <w:pPr>
        <w:snapToGrid w:val="0"/>
        <w:spacing w:line="360" w:lineRule="auto"/>
        <w:ind w:firstLine="482" w:firstLineChars="200"/>
        <w:rPr>
          <w:rFonts w:ascii="宋体" w:hAnsi="宋体" w:cs="仿宋_GB2312"/>
          <w:b/>
          <w:sz w:val="24"/>
        </w:rPr>
      </w:pPr>
      <w:r>
        <w:rPr>
          <w:rFonts w:ascii="宋体" w:hAnsi="宋体" w:cs="仿宋_GB2312"/>
          <w:b/>
          <w:sz w:val="24"/>
        </w:rPr>
        <w:t>4</w:t>
      </w:r>
      <w:r>
        <w:rPr>
          <w:rFonts w:hint="eastAsia" w:ascii="宋体" w:hAnsi="宋体" w:cs="仿宋_GB2312"/>
          <w:b/>
          <w:sz w:val="24"/>
        </w:rPr>
        <w:t>．竞争性磋商文件的澄清</w:t>
      </w:r>
    </w:p>
    <w:p>
      <w:pPr>
        <w:snapToGrid w:val="0"/>
        <w:spacing w:line="360" w:lineRule="auto"/>
        <w:ind w:firstLine="482" w:firstLineChars="200"/>
        <w:rPr>
          <w:rFonts w:ascii="宋体" w:hAnsi="宋体" w:cs="仿宋_GB2312"/>
          <w:sz w:val="24"/>
        </w:rPr>
      </w:pPr>
      <w:r>
        <w:rPr>
          <w:rFonts w:ascii="宋体" w:hAnsi="宋体" w:cs="仿宋_GB2312"/>
          <w:b/>
          <w:sz w:val="24"/>
        </w:rPr>
        <w:t>4.1</w:t>
      </w:r>
      <w:r>
        <w:rPr>
          <w:rFonts w:hint="eastAsia" w:ascii="宋体" w:hAnsi="宋体" w:cs="仿宋_GB2312"/>
          <w:sz w:val="24"/>
        </w:rPr>
        <w:t>供应商可以要求采购单位对竞争性磋商文件中的有关问题进行答疑、澄清。</w:t>
      </w:r>
    </w:p>
    <w:p>
      <w:pPr>
        <w:snapToGrid w:val="0"/>
        <w:spacing w:line="360" w:lineRule="auto"/>
        <w:ind w:firstLine="482" w:firstLineChars="200"/>
        <w:rPr>
          <w:rFonts w:ascii="宋体" w:hAnsi="宋体" w:cs="仿宋_GB2312"/>
          <w:sz w:val="24"/>
        </w:rPr>
      </w:pPr>
      <w:r>
        <w:rPr>
          <w:rFonts w:ascii="宋体" w:hAnsi="宋体" w:cs="仿宋_GB2312"/>
          <w:b/>
          <w:sz w:val="24"/>
        </w:rPr>
        <w:t>4.2</w:t>
      </w:r>
      <w:r>
        <w:rPr>
          <w:rFonts w:hint="eastAsia" w:ascii="宋体" w:hAnsi="宋体" w:cs="仿宋_GB2312"/>
          <w:sz w:val="24"/>
        </w:rPr>
        <w:t>供应商对竞争性磋商文件如有疑问，应在磋商文件要求的截止时间前以书面形式（如传真、信件、电报等）通知采购人和采购代理机构。</w:t>
      </w:r>
    </w:p>
    <w:p>
      <w:pPr>
        <w:snapToGrid w:val="0"/>
        <w:spacing w:line="360" w:lineRule="auto"/>
        <w:ind w:firstLine="482" w:firstLineChars="200"/>
        <w:rPr>
          <w:rFonts w:ascii="宋体" w:hAnsi="宋体" w:cs="仿宋_GB2312"/>
          <w:b/>
          <w:sz w:val="24"/>
        </w:rPr>
      </w:pPr>
      <w:r>
        <w:rPr>
          <w:rFonts w:ascii="宋体" w:hAnsi="宋体" w:cs="仿宋_GB2312"/>
          <w:b/>
          <w:sz w:val="24"/>
        </w:rPr>
        <w:t>5</w:t>
      </w:r>
      <w:r>
        <w:rPr>
          <w:rFonts w:hint="eastAsia" w:ascii="宋体" w:hAnsi="宋体" w:cs="仿宋_GB2312"/>
          <w:b/>
          <w:sz w:val="24"/>
        </w:rPr>
        <w:t>．竞争性磋商文件的修改</w:t>
      </w:r>
    </w:p>
    <w:p>
      <w:pPr>
        <w:snapToGrid w:val="0"/>
        <w:spacing w:line="360" w:lineRule="auto"/>
        <w:ind w:firstLine="482" w:firstLineChars="200"/>
        <w:rPr>
          <w:rFonts w:ascii="宋体" w:hAnsi="宋体" w:cs="仿宋_GB2312"/>
          <w:sz w:val="24"/>
        </w:rPr>
      </w:pPr>
      <w:r>
        <w:rPr>
          <w:rFonts w:ascii="宋体" w:hAnsi="宋体" w:cs="仿宋_GB2312"/>
          <w:b/>
          <w:sz w:val="24"/>
        </w:rPr>
        <w:t>5.1</w:t>
      </w:r>
      <w:r>
        <w:rPr>
          <w:rFonts w:hint="eastAsia" w:ascii="宋体" w:hAnsi="宋体" w:cs="仿宋_GB2312"/>
          <w:sz w:val="24"/>
        </w:rPr>
        <w:t>在某些情况下，采购人可能对竞争性磋商文件进行修改。</w:t>
      </w:r>
    </w:p>
    <w:p>
      <w:pPr>
        <w:snapToGrid w:val="0"/>
        <w:spacing w:line="360" w:lineRule="auto"/>
        <w:ind w:firstLine="482" w:firstLineChars="200"/>
        <w:rPr>
          <w:rFonts w:ascii="宋体" w:hAnsi="宋体" w:cs="仿宋_GB2312"/>
          <w:sz w:val="24"/>
        </w:rPr>
      </w:pPr>
      <w:r>
        <w:rPr>
          <w:rFonts w:ascii="宋体" w:hAnsi="宋体" w:cs="仿宋_GB2312"/>
          <w:b/>
          <w:bCs/>
          <w:sz w:val="24"/>
        </w:rPr>
        <w:t>5.2</w:t>
      </w:r>
      <w:r>
        <w:rPr>
          <w:rFonts w:hint="eastAsia" w:ascii="宋体" w:hAnsi="宋体" w:cs="仿宋_GB2312"/>
          <w:sz w:val="24"/>
        </w:rPr>
        <w:t>采购人对竞争性磋商文件的修改，将在公告中网站以“补充公告”的形式公布通知所有投标人，并对供应商具有约束力。</w:t>
      </w:r>
    </w:p>
    <w:p>
      <w:pPr>
        <w:snapToGrid w:val="0"/>
        <w:spacing w:line="360" w:lineRule="auto"/>
        <w:ind w:firstLine="482" w:firstLineChars="200"/>
        <w:rPr>
          <w:rFonts w:ascii="宋体" w:hAnsi="宋体" w:cs="仿宋_GB2312"/>
          <w:sz w:val="24"/>
        </w:rPr>
      </w:pPr>
      <w:r>
        <w:rPr>
          <w:rFonts w:ascii="宋体" w:hAnsi="宋体" w:cs="仿宋_GB2312"/>
          <w:b/>
          <w:bCs/>
          <w:sz w:val="24"/>
        </w:rPr>
        <w:t>5.3</w:t>
      </w:r>
      <w:r>
        <w:rPr>
          <w:rFonts w:hint="eastAsia" w:ascii="宋体" w:hAnsi="宋体" w:cs="仿宋_GB2312"/>
          <w:sz w:val="24"/>
        </w:rPr>
        <w:t>为使供应商有充分时间对竞争性磋商文件的修改部分进行研究或由于其他原因，采购人可以决定延长磋商响应截止日期，并以前款方式将变更时间通知所有供应商。</w:t>
      </w:r>
    </w:p>
    <w:p>
      <w:pPr>
        <w:pStyle w:val="35"/>
        <w:snapToGrid w:val="0"/>
        <w:spacing w:line="360" w:lineRule="auto"/>
        <w:rPr>
          <w:rFonts w:ascii="宋体" w:hAnsi="宋体" w:cs="仿宋_GB2312"/>
          <w:b/>
          <w:sz w:val="24"/>
          <w:szCs w:val="24"/>
        </w:rPr>
      </w:pPr>
      <w:bookmarkStart w:id="7" w:name="_Toc383776346"/>
      <w:r>
        <w:rPr>
          <w:rFonts w:hint="eastAsia" w:ascii="宋体" w:hAnsi="宋体" w:cs="仿宋_GB2312"/>
          <w:b/>
          <w:sz w:val="24"/>
          <w:szCs w:val="24"/>
        </w:rPr>
        <w:t>（三）磋商响应书的编制</w:t>
      </w:r>
      <w:bookmarkEnd w:id="7"/>
    </w:p>
    <w:p>
      <w:pPr>
        <w:snapToGrid w:val="0"/>
        <w:spacing w:line="360" w:lineRule="auto"/>
        <w:ind w:firstLine="482" w:firstLineChars="200"/>
        <w:rPr>
          <w:rFonts w:ascii="宋体" w:hAnsi="宋体" w:cs="仿宋_GB2312"/>
          <w:b/>
          <w:sz w:val="24"/>
        </w:rPr>
      </w:pPr>
      <w:r>
        <w:rPr>
          <w:rFonts w:ascii="宋体" w:hAnsi="宋体" w:cs="仿宋_GB2312"/>
          <w:b/>
          <w:sz w:val="24"/>
        </w:rPr>
        <w:t>6</w:t>
      </w:r>
      <w:r>
        <w:rPr>
          <w:rFonts w:hint="eastAsia" w:ascii="宋体" w:hAnsi="宋体" w:cs="仿宋_GB2312"/>
          <w:b/>
          <w:sz w:val="24"/>
        </w:rPr>
        <w:t>．磋商响应的语言及度量衡单位</w:t>
      </w:r>
    </w:p>
    <w:p>
      <w:pPr>
        <w:snapToGrid w:val="0"/>
        <w:spacing w:line="360" w:lineRule="auto"/>
        <w:ind w:firstLine="482" w:firstLineChars="200"/>
        <w:rPr>
          <w:rFonts w:ascii="宋体" w:hAnsi="宋体" w:cs="仿宋_GB2312"/>
          <w:sz w:val="24"/>
        </w:rPr>
      </w:pPr>
      <w:r>
        <w:rPr>
          <w:rFonts w:ascii="宋体" w:hAnsi="宋体" w:cs="仿宋_GB2312"/>
          <w:b/>
          <w:sz w:val="24"/>
        </w:rPr>
        <w:t>6.1</w:t>
      </w:r>
      <w:r>
        <w:rPr>
          <w:rFonts w:hint="eastAsia" w:ascii="宋体" w:hAnsi="宋体" w:cs="仿宋_GB2312"/>
          <w:sz w:val="24"/>
        </w:rPr>
        <w:t>供应商的磋商响应书、以及供应商与采购单位就磋商响应的所有往来函电，均须使用简体中文。</w:t>
      </w:r>
    </w:p>
    <w:p>
      <w:pPr>
        <w:snapToGrid w:val="0"/>
        <w:spacing w:line="360" w:lineRule="auto"/>
        <w:ind w:firstLine="482" w:firstLineChars="200"/>
        <w:rPr>
          <w:rFonts w:ascii="宋体" w:hAnsi="宋体" w:cs="仿宋_GB2312"/>
          <w:sz w:val="24"/>
        </w:rPr>
      </w:pPr>
      <w:r>
        <w:rPr>
          <w:rFonts w:ascii="宋体" w:hAnsi="宋体" w:cs="仿宋_GB2312"/>
          <w:b/>
          <w:bCs/>
          <w:sz w:val="24"/>
        </w:rPr>
        <w:t>6.2</w:t>
      </w:r>
      <w:r>
        <w:rPr>
          <w:rFonts w:hint="eastAsia" w:ascii="宋体" w:hAnsi="宋体" w:cs="仿宋_GB2312"/>
          <w:sz w:val="24"/>
        </w:rPr>
        <w:t>除竞争性磋商文件中另有规定外，磋商响应书所使用的度量衡均须采用法定计量单位。</w:t>
      </w:r>
    </w:p>
    <w:p>
      <w:pPr>
        <w:snapToGrid w:val="0"/>
        <w:spacing w:line="360" w:lineRule="auto"/>
        <w:ind w:firstLine="482" w:firstLineChars="200"/>
        <w:rPr>
          <w:rFonts w:ascii="宋体" w:hAnsi="宋体" w:cs="仿宋_GB2312"/>
          <w:b/>
          <w:sz w:val="24"/>
        </w:rPr>
      </w:pPr>
      <w:r>
        <w:rPr>
          <w:rFonts w:ascii="宋体" w:hAnsi="宋体" w:cs="仿宋_GB2312"/>
          <w:b/>
          <w:sz w:val="24"/>
        </w:rPr>
        <w:t xml:space="preserve">7. </w:t>
      </w:r>
      <w:r>
        <w:rPr>
          <w:rFonts w:hint="eastAsia" w:ascii="宋体" w:hAnsi="宋体" w:cs="仿宋_GB2312"/>
          <w:b/>
          <w:sz w:val="24"/>
        </w:rPr>
        <w:t>磋商响应书构成</w:t>
      </w:r>
    </w:p>
    <w:p>
      <w:pPr>
        <w:snapToGrid w:val="0"/>
        <w:spacing w:line="360" w:lineRule="auto"/>
        <w:ind w:firstLine="482" w:firstLineChars="200"/>
        <w:rPr>
          <w:rFonts w:ascii="宋体" w:hAnsi="宋体" w:cs="仿宋_GB2312"/>
          <w:sz w:val="24"/>
        </w:rPr>
      </w:pPr>
      <w:r>
        <w:rPr>
          <w:rFonts w:ascii="宋体" w:hAnsi="宋体" w:cs="仿宋_GB2312"/>
          <w:b/>
          <w:bCs/>
          <w:sz w:val="24"/>
        </w:rPr>
        <w:t xml:space="preserve">7.1 </w:t>
      </w:r>
      <w:r>
        <w:rPr>
          <w:rFonts w:hint="eastAsia" w:ascii="宋体" w:hAnsi="宋体" w:cs="仿宋_GB2312"/>
          <w:sz w:val="24"/>
        </w:rPr>
        <w:t>磋商响应书应包括本竞争性磋商文件规定的全部内容。</w:t>
      </w:r>
    </w:p>
    <w:p>
      <w:pPr>
        <w:snapToGrid w:val="0"/>
        <w:spacing w:line="360" w:lineRule="auto"/>
        <w:ind w:firstLine="482" w:firstLineChars="200"/>
        <w:rPr>
          <w:rFonts w:ascii="宋体" w:hAnsi="宋体" w:cs="仿宋_GB2312"/>
          <w:sz w:val="24"/>
        </w:rPr>
      </w:pPr>
      <w:r>
        <w:rPr>
          <w:rFonts w:ascii="宋体" w:hAnsi="宋体" w:cs="仿宋_GB2312"/>
          <w:b/>
          <w:bCs/>
          <w:sz w:val="24"/>
        </w:rPr>
        <w:t>7.2</w:t>
      </w:r>
      <w:r>
        <w:rPr>
          <w:rFonts w:hint="eastAsia" w:ascii="宋体" w:hAnsi="宋体" w:cs="仿宋_GB2312"/>
          <w:sz w:val="24"/>
        </w:rPr>
        <w:t>供应商必须对其磋商响应书的真实性与准确性负责。供应商一旦成为成交供应商，其磋商响应书将作为合同的重要组成部分。</w:t>
      </w:r>
    </w:p>
    <w:p>
      <w:pPr>
        <w:snapToGrid w:val="0"/>
        <w:spacing w:line="360" w:lineRule="auto"/>
        <w:ind w:firstLine="482" w:firstLineChars="200"/>
        <w:rPr>
          <w:rFonts w:ascii="宋体" w:hAnsi="宋体" w:cs="仿宋_GB2312"/>
          <w:sz w:val="24"/>
        </w:rPr>
      </w:pPr>
      <w:r>
        <w:rPr>
          <w:rFonts w:ascii="宋体" w:hAnsi="宋体" w:cs="仿宋_GB2312"/>
          <w:b/>
          <w:bCs/>
          <w:sz w:val="24"/>
        </w:rPr>
        <w:t>7.3</w:t>
      </w:r>
      <w:r>
        <w:rPr>
          <w:rFonts w:hint="eastAsia" w:ascii="宋体" w:hAnsi="宋体" w:cs="仿宋_GB2312"/>
          <w:sz w:val="24"/>
        </w:rPr>
        <w:t>供应商不得擅自对竞争性磋商文件的格式、条款和技术要求进行修改。否则，其磋商响应书在磋商时有可能被认为是未对竞争性磋商文件做出实质性的响应而中止对其作进一步的评审。</w:t>
      </w:r>
    </w:p>
    <w:p>
      <w:pPr>
        <w:snapToGrid w:val="0"/>
        <w:spacing w:line="360" w:lineRule="auto"/>
        <w:ind w:firstLine="482" w:firstLineChars="200"/>
        <w:rPr>
          <w:rFonts w:ascii="宋体" w:hAnsi="宋体" w:cs="仿宋_GB2312"/>
          <w:bCs/>
          <w:sz w:val="24"/>
        </w:rPr>
      </w:pPr>
      <w:r>
        <w:rPr>
          <w:rFonts w:ascii="宋体" w:hAnsi="宋体" w:cs="仿宋_GB2312"/>
          <w:b/>
          <w:sz w:val="24"/>
        </w:rPr>
        <w:t>8</w:t>
      </w:r>
      <w:r>
        <w:rPr>
          <w:rFonts w:hint="eastAsia" w:ascii="宋体" w:hAnsi="宋体" w:cs="仿宋_GB2312"/>
          <w:b/>
          <w:sz w:val="24"/>
        </w:rPr>
        <w:t>．磋商响应报价</w:t>
      </w:r>
    </w:p>
    <w:p>
      <w:pPr>
        <w:snapToGrid w:val="0"/>
        <w:spacing w:line="360" w:lineRule="auto"/>
        <w:ind w:firstLine="482" w:firstLineChars="200"/>
        <w:rPr>
          <w:rFonts w:ascii="宋体" w:hAnsi="宋体" w:cs="仿宋_GB2312"/>
          <w:bCs/>
          <w:sz w:val="24"/>
        </w:rPr>
      </w:pPr>
      <w:r>
        <w:rPr>
          <w:rFonts w:ascii="宋体" w:hAnsi="宋体" w:cs="仿宋_GB2312"/>
          <w:b/>
          <w:sz w:val="24"/>
        </w:rPr>
        <w:t>8.1</w:t>
      </w:r>
      <w:r>
        <w:rPr>
          <w:rFonts w:hint="eastAsia" w:ascii="宋体" w:hAnsi="宋体" w:cs="仿宋_GB2312"/>
          <w:bCs/>
          <w:sz w:val="24"/>
        </w:rPr>
        <w:t>磋商响应报价应清楚地标明供应商拟提供服务的名称、单报价。只允许有一个方案、一个报价，多方案、多报价的磋商响应将不被接受。</w:t>
      </w:r>
    </w:p>
    <w:p>
      <w:pPr>
        <w:snapToGrid w:val="0"/>
        <w:spacing w:line="360" w:lineRule="auto"/>
        <w:ind w:firstLine="482" w:firstLineChars="200"/>
        <w:rPr>
          <w:rFonts w:ascii="宋体" w:hAnsi="宋体" w:cs="仿宋_GB2312"/>
          <w:bCs/>
          <w:sz w:val="24"/>
        </w:rPr>
      </w:pPr>
      <w:r>
        <w:rPr>
          <w:rFonts w:ascii="宋体" w:hAnsi="宋体" w:cs="仿宋_GB2312"/>
          <w:b/>
          <w:sz w:val="24"/>
        </w:rPr>
        <w:t>8.2</w:t>
      </w:r>
      <w:r>
        <w:rPr>
          <w:rFonts w:hint="eastAsia" w:ascii="宋体" w:hAnsi="宋体" w:cs="仿宋_GB2312"/>
          <w:bCs/>
          <w:sz w:val="24"/>
        </w:rPr>
        <w:t>　磋商报价表上的价格是验收价格，其总价即为履行合同的固定价格。</w:t>
      </w:r>
    </w:p>
    <w:p>
      <w:pPr>
        <w:snapToGrid w:val="0"/>
        <w:spacing w:line="360" w:lineRule="auto"/>
        <w:ind w:firstLine="482" w:firstLineChars="200"/>
        <w:rPr>
          <w:rFonts w:ascii="宋体" w:hAnsi="宋体" w:cs="仿宋_GB2312"/>
          <w:bCs/>
          <w:sz w:val="24"/>
        </w:rPr>
      </w:pPr>
      <w:r>
        <w:rPr>
          <w:rFonts w:ascii="宋体" w:hAnsi="宋体" w:cs="仿宋_GB2312"/>
          <w:b/>
          <w:sz w:val="24"/>
        </w:rPr>
        <w:t>8.3</w:t>
      </w:r>
      <w:r>
        <w:rPr>
          <w:rFonts w:hint="eastAsia" w:ascii="宋体" w:hAnsi="宋体" w:cs="仿宋_GB2312"/>
          <w:bCs/>
          <w:sz w:val="24"/>
        </w:rPr>
        <w:t>　技术要求中规定的服务、售后服务（质保期内）等一切费用应包括在报价中（本磋商文件中有特殊规定的除外）。</w:t>
      </w:r>
    </w:p>
    <w:p>
      <w:pPr>
        <w:snapToGrid w:val="0"/>
        <w:spacing w:line="360" w:lineRule="auto"/>
        <w:ind w:firstLine="482" w:firstLineChars="200"/>
        <w:rPr>
          <w:rFonts w:ascii="宋体" w:hAnsi="宋体" w:cs="仿宋_GB2312"/>
          <w:bCs/>
          <w:sz w:val="24"/>
        </w:rPr>
      </w:pPr>
      <w:r>
        <w:rPr>
          <w:rFonts w:ascii="宋体" w:hAnsi="宋体" w:cs="仿宋_GB2312"/>
          <w:b/>
          <w:bCs/>
          <w:sz w:val="24"/>
        </w:rPr>
        <w:t>8.4</w:t>
      </w:r>
      <w:r>
        <w:rPr>
          <w:rFonts w:hint="eastAsia" w:ascii="宋体" w:hAnsi="宋体" w:cs="仿宋_GB2312"/>
          <w:b/>
          <w:bCs/>
          <w:sz w:val="24"/>
        </w:rPr>
        <w:t>磋商</w:t>
      </w:r>
      <w:r>
        <w:rPr>
          <w:rFonts w:hint="eastAsia" w:ascii="宋体" w:hAnsi="宋体" w:cs="仿宋_GB2312"/>
          <w:b/>
          <w:sz w:val="24"/>
        </w:rPr>
        <w:t>响应货币：</w:t>
      </w:r>
      <w:r>
        <w:rPr>
          <w:rFonts w:hint="eastAsia" w:ascii="宋体" w:hAnsi="宋体" w:cs="仿宋_GB2312"/>
          <w:bCs/>
          <w:sz w:val="24"/>
        </w:rPr>
        <w:t>须以人民币报价。</w:t>
      </w:r>
    </w:p>
    <w:p>
      <w:pPr>
        <w:snapToGrid w:val="0"/>
        <w:spacing w:line="360" w:lineRule="auto"/>
        <w:ind w:firstLine="482" w:firstLineChars="200"/>
        <w:rPr>
          <w:rFonts w:ascii="宋体" w:hAnsi="宋体" w:cs="仿宋_GB2312"/>
          <w:b/>
          <w:sz w:val="24"/>
        </w:rPr>
      </w:pPr>
      <w:r>
        <w:rPr>
          <w:rFonts w:ascii="宋体" w:hAnsi="宋体" w:cs="仿宋_GB2312"/>
          <w:b/>
          <w:sz w:val="24"/>
        </w:rPr>
        <w:t>9</w:t>
      </w:r>
      <w:r>
        <w:rPr>
          <w:rFonts w:hint="eastAsia" w:ascii="宋体" w:hAnsi="宋体" w:cs="仿宋_GB2312"/>
          <w:b/>
          <w:sz w:val="24"/>
        </w:rPr>
        <w:t>．证明供应商合格的资格文件</w:t>
      </w:r>
    </w:p>
    <w:p>
      <w:pPr>
        <w:snapToGrid w:val="0"/>
        <w:spacing w:line="360" w:lineRule="auto"/>
        <w:ind w:firstLine="482" w:firstLineChars="200"/>
        <w:rPr>
          <w:rFonts w:ascii="宋体" w:hAnsi="宋体" w:cs="仿宋_GB2312"/>
          <w:sz w:val="24"/>
        </w:rPr>
      </w:pPr>
      <w:r>
        <w:rPr>
          <w:rFonts w:ascii="宋体" w:hAnsi="宋体" w:cs="仿宋_GB2312"/>
          <w:b/>
          <w:bCs/>
          <w:sz w:val="24"/>
        </w:rPr>
        <w:t>9.1</w:t>
      </w:r>
      <w:r>
        <w:rPr>
          <w:rFonts w:hint="eastAsia" w:ascii="宋体" w:hAnsi="宋体" w:cs="仿宋_GB2312"/>
          <w:sz w:val="24"/>
        </w:rPr>
        <w:t>供应商在其磋商响应书中，应包括证明其有资格参加磋商和成交后有能力履行合同的资质证明文件。</w:t>
      </w:r>
    </w:p>
    <w:p>
      <w:pPr>
        <w:snapToGrid w:val="0"/>
        <w:spacing w:line="360" w:lineRule="auto"/>
        <w:ind w:firstLine="482" w:firstLineChars="200"/>
        <w:rPr>
          <w:rFonts w:ascii="宋体" w:hAnsi="宋体" w:cs="仿宋_GB2312"/>
          <w:sz w:val="24"/>
        </w:rPr>
      </w:pPr>
      <w:r>
        <w:rPr>
          <w:rFonts w:ascii="宋体" w:hAnsi="宋体" w:cs="仿宋_GB2312"/>
          <w:b/>
          <w:bCs/>
          <w:sz w:val="24"/>
        </w:rPr>
        <w:t>9.2</w:t>
      </w:r>
      <w:r>
        <w:rPr>
          <w:rFonts w:hint="eastAsia" w:ascii="宋体" w:hAnsi="宋体" w:cs="仿宋_GB2312"/>
          <w:sz w:val="24"/>
        </w:rPr>
        <w:t>供应商必须具有履行合同所必需的能力。</w:t>
      </w:r>
    </w:p>
    <w:p>
      <w:pPr>
        <w:snapToGrid w:val="0"/>
        <w:spacing w:line="360" w:lineRule="auto"/>
        <w:ind w:firstLine="482" w:firstLineChars="200"/>
        <w:rPr>
          <w:rFonts w:ascii="宋体" w:hAnsi="宋体" w:cs="仿宋_GB2312"/>
          <w:b/>
          <w:sz w:val="24"/>
        </w:rPr>
      </w:pPr>
      <w:r>
        <w:rPr>
          <w:rFonts w:ascii="宋体" w:hAnsi="宋体" w:cs="仿宋_GB2312"/>
          <w:b/>
          <w:sz w:val="24"/>
        </w:rPr>
        <w:t>10</w:t>
      </w:r>
      <w:r>
        <w:rPr>
          <w:rFonts w:hint="eastAsia" w:ascii="宋体" w:hAnsi="宋体" w:cs="仿宋_GB2312"/>
          <w:b/>
          <w:sz w:val="24"/>
        </w:rPr>
        <w:t>．磋商响应保证金（见磋商响应供应商须知前附表）。</w:t>
      </w:r>
    </w:p>
    <w:p>
      <w:pPr>
        <w:snapToGrid w:val="0"/>
        <w:spacing w:line="360" w:lineRule="auto"/>
        <w:ind w:firstLine="482" w:firstLineChars="200"/>
        <w:rPr>
          <w:rFonts w:ascii="宋体" w:hAnsi="宋体" w:cs="仿宋_GB2312"/>
          <w:sz w:val="24"/>
        </w:rPr>
      </w:pPr>
      <w:r>
        <w:rPr>
          <w:rFonts w:ascii="宋体" w:hAnsi="宋体" w:cs="仿宋_GB2312"/>
          <w:b/>
          <w:bCs/>
          <w:sz w:val="24"/>
        </w:rPr>
        <w:t>11</w:t>
      </w:r>
      <w:r>
        <w:rPr>
          <w:rFonts w:hint="eastAsia" w:ascii="宋体" w:hAnsi="宋体" w:cs="仿宋_GB2312"/>
          <w:b/>
          <w:bCs/>
          <w:sz w:val="24"/>
        </w:rPr>
        <w:t>．</w:t>
      </w:r>
      <w:r>
        <w:rPr>
          <w:rFonts w:hint="eastAsia" w:ascii="宋体" w:hAnsi="宋体" w:cs="仿宋_GB2312"/>
          <w:b/>
          <w:sz w:val="24"/>
        </w:rPr>
        <w:t>磋商响应书份数和签署</w:t>
      </w:r>
    </w:p>
    <w:p>
      <w:pPr>
        <w:snapToGrid w:val="0"/>
        <w:spacing w:line="360" w:lineRule="auto"/>
        <w:ind w:firstLine="482" w:firstLineChars="200"/>
        <w:rPr>
          <w:rFonts w:ascii="宋体" w:hAnsi="宋体" w:cs="仿宋_GB2312"/>
          <w:sz w:val="24"/>
        </w:rPr>
      </w:pPr>
      <w:r>
        <w:rPr>
          <w:rFonts w:ascii="宋体" w:hAnsi="宋体" w:cs="仿宋_GB2312"/>
          <w:b/>
          <w:bCs/>
          <w:sz w:val="24"/>
        </w:rPr>
        <w:t xml:space="preserve">11.1 </w:t>
      </w:r>
      <w:r>
        <w:rPr>
          <w:rFonts w:hint="eastAsia" w:ascii="宋体" w:hAnsi="宋体" w:cs="仿宋_GB2312"/>
          <w:sz w:val="24"/>
        </w:rPr>
        <w:t>供应商应准备供应商须知前附表规定份数的磋商响应书。每份磋商响应书须清楚地标明“正本”或“副本”字样，正本与副本必须一致；若正本与副本不一致，以正本为准。</w:t>
      </w:r>
    </w:p>
    <w:p>
      <w:pPr>
        <w:snapToGrid w:val="0"/>
        <w:spacing w:line="360" w:lineRule="auto"/>
        <w:ind w:firstLine="482" w:firstLineChars="200"/>
        <w:rPr>
          <w:rFonts w:ascii="宋体" w:hAnsi="宋体" w:cs="仿宋_GB2312"/>
          <w:sz w:val="24"/>
        </w:rPr>
      </w:pPr>
      <w:r>
        <w:rPr>
          <w:rFonts w:ascii="宋体" w:hAnsi="宋体" w:cs="仿宋_GB2312"/>
          <w:b/>
          <w:bCs/>
          <w:sz w:val="24"/>
        </w:rPr>
        <w:t>11.2</w:t>
      </w:r>
      <w:r>
        <w:rPr>
          <w:rFonts w:hint="eastAsia" w:ascii="宋体" w:hAnsi="宋体" w:cs="仿宋_GB2312"/>
          <w:sz w:val="24"/>
        </w:rPr>
        <w:t>磋商响应书的正本和所有的副本均需打印，由供应商的法定代表人或其授权代表正确签署。授权代表须将以书面形式出具的“法定代表人授权证书”附在磋商响应书上。</w:t>
      </w:r>
    </w:p>
    <w:p>
      <w:pPr>
        <w:snapToGrid w:val="0"/>
        <w:spacing w:line="360" w:lineRule="auto"/>
        <w:ind w:firstLine="482" w:firstLineChars="200"/>
        <w:rPr>
          <w:rFonts w:ascii="宋体" w:hAnsi="宋体" w:cs="仿宋_GB2312"/>
          <w:sz w:val="24"/>
        </w:rPr>
      </w:pPr>
      <w:r>
        <w:rPr>
          <w:rFonts w:ascii="宋体" w:hAnsi="宋体" w:cs="仿宋_GB2312"/>
          <w:b/>
          <w:bCs/>
          <w:sz w:val="24"/>
        </w:rPr>
        <w:t>11.3</w:t>
      </w:r>
      <w:r>
        <w:rPr>
          <w:rFonts w:hint="eastAsia" w:ascii="宋体" w:hAnsi="宋体" w:cs="仿宋_GB2312"/>
          <w:sz w:val="24"/>
        </w:rPr>
        <w:t>磋商响应书不得行间插字、涂改或增删。如有修改错漏处，必须由供应商的法定代表人或其授权代表签字或盖章。</w:t>
      </w:r>
    </w:p>
    <w:p>
      <w:pPr>
        <w:snapToGrid w:val="0"/>
        <w:spacing w:line="360" w:lineRule="auto"/>
        <w:ind w:firstLine="482" w:firstLineChars="200"/>
        <w:rPr>
          <w:rFonts w:ascii="宋体" w:hAnsi="宋体" w:cs="仿宋_GB2312"/>
          <w:b/>
          <w:sz w:val="24"/>
        </w:rPr>
      </w:pPr>
      <w:r>
        <w:rPr>
          <w:rFonts w:ascii="宋体" w:hAnsi="宋体" w:cs="仿宋_GB2312"/>
          <w:b/>
          <w:sz w:val="24"/>
        </w:rPr>
        <w:t>12</w:t>
      </w:r>
      <w:r>
        <w:rPr>
          <w:rFonts w:hint="eastAsia" w:ascii="宋体" w:hAnsi="宋体" w:cs="仿宋_GB2312"/>
          <w:b/>
          <w:sz w:val="24"/>
        </w:rPr>
        <w:t>．磋商响应书的密封和标记</w:t>
      </w:r>
    </w:p>
    <w:p>
      <w:pPr>
        <w:snapToGrid w:val="0"/>
        <w:spacing w:line="360" w:lineRule="auto"/>
        <w:ind w:firstLine="482" w:firstLineChars="200"/>
        <w:rPr>
          <w:rFonts w:ascii="宋体" w:hAnsi="宋体" w:cs="仿宋_GB2312"/>
          <w:b/>
          <w:bCs/>
          <w:kern w:val="0"/>
          <w:sz w:val="24"/>
        </w:rPr>
      </w:pPr>
      <w:r>
        <w:rPr>
          <w:rFonts w:ascii="宋体" w:hAnsi="宋体" w:cs="仿宋_GB2312"/>
          <w:b/>
          <w:sz w:val="24"/>
        </w:rPr>
        <w:t>12.1</w:t>
      </w:r>
      <w:r>
        <w:rPr>
          <w:rFonts w:hint="eastAsia" w:ascii="宋体" w:hAnsi="宋体" w:cs="仿宋_GB2312"/>
          <w:b/>
          <w:bCs/>
          <w:sz w:val="24"/>
        </w:rPr>
        <w:t>供应商应将磋商响应书的</w:t>
      </w:r>
      <w:r>
        <w:rPr>
          <w:rFonts w:hint="eastAsia" w:ascii="宋体" w:hAnsi="宋体" w:cs="仿宋_GB2312"/>
          <w:b/>
          <w:bCs/>
          <w:color w:val="000000" w:themeColor="text1"/>
          <w:sz w:val="24"/>
        </w:rPr>
        <w:t>正本和副本一起或单独用包装袋封装好</w:t>
      </w:r>
      <w:r>
        <w:rPr>
          <w:rFonts w:hint="eastAsia" w:ascii="宋体" w:hAnsi="宋体" w:cs="仿宋_GB2312"/>
          <w:b/>
          <w:bCs/>
          <w:sz w:val="24"/>
        </w:rPr>
        <w:t>。封装应该严密、不易破损。封口处应盖有供应商公章或授权代表签字。</w:t>
      </w:r>
    </w:p>
    <w:p>
      <w:pPr>
        <w:snapToGrid w:val="0"/>
        <w:spacing w:line="360" w:lineRule="auto"/>
        <w:ind w:firstLine="482" w:firstLineChars="200"/>
        <w:rPr>
          <w:rFonts w:ascii="宋体" w:hAnsi="宋体" w:cs="仿宋_GB2312"/>
          <w:b/>
          <w:bCs/>
          <w:sz w:val="24"/>
        </w:rPr>
      </w:pPr>
      <w:r>
        <w:rPr>
          <w:rFonts w:ascii="宋体" w:hAnsi="宋体" w:cs="仿宋_GB2312"/>
          <w:b/>
          <w:bCs/>
          <w:sz w:val="24"/>
        </w:rPr>
        <w:t>12.2</w:t>
      </w:r>
      <w:r>
        <w:rPr>
          <w:rFonts w:hint="eastAsia" w:ascii="宋体" w:hAnsi="宋体" w:cs="仿宋_GB2312"/>
          <w:b/>
          <w:bCs/>
          <w:sz w:val="24"/>
        </w:rPr>
        <w:t>磋商响应书包装袋上必须清楚写明项目的名称、项目编号、供应商全称。</w:t>
      </w:r>
    </w:p>
    <w:p>
      <w:pPr>
        <w:pStyle w:val="35"/>
        <w:snapToGrid w:val="0"/>
        <w:spacing w:line="360" w:lineRule="auto"/>
        <w:rPr>
          <w:rFonts w:ascii="宋体" w:hAnsi="宋体" w:cs="仿宋_GB2312"/>
          <w:b/>
          <w:sz w:val="24"/>
          <w:szCs w:val="24"/>
        </w:rPr>
      </w:pPr>
      <w:bookmarkStart w:id="8" w:name="_Toc383776347"/>
      <w:r>
        <w:rPr>
          <w:rFonts w:hint="eastAsia" w:ascii="宋体" w:hAnsi="宋体" w:cs="仿宋_GB2312"/>
          <w:b/>
          <w:sz w:val="24"/>
          <w:szCs w:val="24"/>
        </w:rPr>
        <w:t>（四）磋商响应书的递交</w:t>
      </w:r>
      <w:bookmarkEnd w:id="8"/>
    </w:p>
    <w:p>
      <w:pPr>
        <w:snapToGrid w:val="0"/>
        <w:spacing w:line="360" w:lineRule="auto"/>
        <w:ind w:firstLine="482" w:firstLineChars="200"/>
        <w:rPr>
          <w:rFonts w:ascii="宋体" w:hAnsi="宋体" w:cs="仿宋_GB2312"/>
          <w:b/>
          <w:sz w:val="24"/>
        </w:rPr>
      </w:pPr>
      <w:r>
        <w:rPr>
          <w:rFonts w:ascii="宋体" w:hAnsi="宋体" w:cs="仿宋_GB2312"/>
          <w:b/>
          <w:sz w:val="24"/>
        </w:rPr>
        <w:t>13</w:t>
      </w:r>
      <w:r>
        <w:rPr>
          <w:rFonts w:hint="eastAsia" w:ascii="宋体" w:hAnsi="宋体" w:cs="仿宋_GB2312"/>
          <w:b/>
          <w:sz w:val="24"/>
        </w:rPr>
        <w:t>．磋商响应书超过时间递交的将被拒绝。磋商响应书有下列情形之一的，采购人将不予受理：</w:t>
      </w:r>
    </w:p>
    <w:p>
      <w:pPr>
        <w:pStyle w:val="9"/>
        <w:snapToGrid w:val="0"/>
        <w:spacing w:line="360" w:lineRule="auto"/>
        <w:ind w:firstLine="477" w:firstLineChars="198"/>
        <w:rPr>
          <w:rFonts w:hAnsi="宋体" w:cs="仿宋_GB2312"/>
          <w:sz w:val="24"/>
          <w:szCs w:val="24"/>
        </w:rPr>
      </w:pPr>
      <w:r>
        <w:rPr>
          <w:rFonts w:hAnsi="宋体" w:cs="仿宋_GB2312"/>
          <w:b/>
          <w:sz w:val="24"/>
          <w:szCs w:val="24"/>
        </w:rPr>
        <w:t>13.1</w:t>
      </w:r>
      <w:r>
        <w:rPr>
          <w:rFonts w:hint="eastAsia" w:hAnsi="宋体" w:cs="仿宋_GB2312"/>
          <w:sz w:val="24"/>
          <w:szCs w:val="24"/>
        </w:rPr>
        <w:t>逾期送达的或者未送达指定地点的；</w:t>
      </w:r>
    </w:p>
    <w:p>
      <w:pPr>
        <w:pStyle w:val="9"/>
        <w:snapToGrid w:val="0"/>
        <w:spacing w:line="360" w:lineRule="auto"/>
        <w:ind w:firstLine="477" w:firstLineChars="198"/>
        <w:rPr>
          <w:rFonts w:hAnsi="宋体" w:cs="仿宋_GB2312"/>
          <w:b/>
          <w:sz w:val="24"/>
          <w:szCs w:val="24"/>
        </w:rPr>
      </w:pPr>
      <w:r>
        <w:rPr>
          <w:rFonts w:hAnsi="宋体" w:cs="仿宋_GB2312"/>
          <w:b/>
          <w:sz w:val="24"/>
          <w:szCs w:val="24"/>
        </w:rPr>
        <w:t>13.2</w:t>
      </w:r>
      <w:r>
        <w:rPr>
          <w:rFonts w:hint="eastAsia" w:hAnsi="宋体" w:cs="仿宋_GB2312"/>
          <w:sz w:val="24"/>
          <w:szCs w:val="24"/>
        </w:rPr>
        <w:t>未按磋商文件要求包装、密封和标记的。</w:t>
      </w:r>
    </w:p>
    <w:p>
      <w:pPr>
        <w:snapToGrid w:val="0"/>
        <w:spacing w:line="360" w:lineRule="auto"/>
        <w:ind w:firstLine="482" w:firstLineChars="200"/>
        <w:rPr>
          <w:rFonts w:ascii="宋体" w:hAnsi="宋体" w:cs="仿宋_GB2312"/>
          <w:sz w:val="24"/>
        </w:rPr>
      </w:pPr>
      <w:r>
        <w:rPr>
          <w:rFonts w:ascii="宋体" w:hAnsi="宋体" w:cs="仿宋_GB2312"/>
          <w:b/>
          <w:sz w:val="24"/>
        </w:rPr>
        <w:t>14</w:t>
      </w:r>
      <w:r>
        <w:rPr>
          <w:rFonts w:hint="eastAsia" w:ascii="宋体" w:hAnsi="宋体" w:cs="仿宋_GB2312"/>
          <w:b/>
          <w:sz w:val="24"/>
        </w:rPr>
        <w:t>．磋商响应书的修改和撤回</w:t>
      </w:r>
    </w:p>
    <w:p>
      <w:pPr>
        <w:snapToGrid w:val="0"/>
        <w:spacing w:line="360" w:lineRule="auto"/>
        <w:ind w:firstLine="480" w:firstLineChars="200"/>
        <w:rPr>
          <w:rFonts w:ascii="宋体" w:hAnsi="宋体" w:cs="仿宋_GB2312"/>
          <w:sz w:val="24"/>
        </w:rPr>
      </w:pPr>
      <w:r>
        <w:rPr>
          <w:rFonts w:ascii="宋体" w:hAnsi="宋体" w:cs="仿宋_GB2312"/>
          <w:sz w:val="24"/>
        </w:rPr>
        <w:t>14.1</w:t>
      </w:r>
      <w:r>
        <w:rPr>
          <w:rFonts w:hint="eastAsia" w:ascii="宋体" w:hAnsi="宋体" w:cs="仿宋_GB2312"/>
          <w:sz w:val="24"/>
        </w:rPr>
        <w:t>供应商递交磋商响应书后，可以在规定的磋商响应截止时间前修改或撤回其磋商响应书。但这种修改和撤回，必须以书面形式通知采购人和安徽阳光工程咨询有限公司。补充修改的内容与响应文件不一致的，以补充、修改的内容为准。</w:t>
      </w:r>
    </w:p>
    <w:p>
      <w:pPr>
        <w:snapToGrid w:val="0"/>
        <w:spacing w:line="360" w:lineRule="auto"/>
        <w:ind w:firstLine="480" w:firstLineChars="200"/>
        <w:rPr>
          <w:rFonts w:ascii="宋体" w:hAnsi="宋体" w:cs="仿宋_GB2312"/>
          <w:sz w:val="24"/>
        </w:rPr>
      </w:pPr>
      <w:r>
        <w:rPr>
          <w:rFonts w:ascii="宋体" w:hAnsi="宋体" w:cs="仿宋_GB2312"/>
          <w:sz w:val="24"/>
        </w:rPr>
        <w:t>14.2</w:t>
      </w:r>
      <w:r>
        <w:rPr>
          <w:rFonts w:hint="eastAsia" w:ascii="宋体" w:hAnsi="宋体" w:cs="仿宋_GB2312"/>
          <w:sz w:val="24"/>
        </w:rPr>
        <w:t>供应商修改书或撤回通知书，应由法定代表人或其授权代表签署，并按规定进行密封、标记和提交。</w:t>
      </w:r>
    </w:p>
    <w:p>
      <w:pPr>
        <w:pStyle w:val="7"/>
        <w:snapToGrid w:val="0"/>
        <w:spacing w:line="360" w:lineRule="auto"/>
        <w:ind w:firstLine="480" w:firstLineChars="200"/>
        <w:rPr>
          <w:rFonts w:ascii="宋体" w:hAnsi="宋体" w:cs="仿宋_GB2312"/>
          <w:bCs/>
          <w:sz w:val="24"/>
        </w:rPr>
      </w:pPr>
      <w:r>
        <w:rPr>
          <w:rFonts w:ascii="宋体" w:hAnsi="宋体" w:cs="仿宋_GB2312"/>
          <w:bCs/>
          <w:sz w:val="24"/>
        </w:rPr>
        <w:t>15</w:t>
      </w:r>
      <w:r>
        <w:rPr>
          <w:rFonts w:hint="eastAsia" w:ascii="宋体" w:hAnsi="宋体" w:cs="仿宋_GB2312"/>
          <w:bCs/>
          <w:sz w:val="24"/>
        </w:rPr>
        <w:t>．磋商现场</w:t>
      </w:r>
    </w:p>
    <w:p>
      <w:pPr>
        <w:pStyle w:val="7"/>
        <w:snapToGrid w:val="0"/>
        <w:spacing w:line="360" w:lineRule="auto"/>
        <w:ind w:firstLine="482" w:firstLineChars="200"/>
        <w:rPr>
          <w:rFonts w:ascii="宋体" w:hAnsi="宋体" w:cs="仿宋_GB2312"/>
          <w:b/>
          <w:bCs/>
          <w:kern w:val="0"/>
          <w:sz w:val="24"/>
        </w:rPr>
      </w:pPr>
      <w:r>
        <w:rPr>
          <w:rFonts w:hint="eastAsia" w:ascii="宋体" w:hAnsi="宋体" w:cs="仿宋_GB2312"/>
          <w:b/>
          <w:bCs/>
          <w:kern w:val="0"/>
          <w:sz w:val="24"/>
        </w:rPr>
        <w:t>铜陵学院和安徽阳光项目咨询有限公司将按照磋商响应供应商须知前附表载明的时间和地点举行磋商。</w:t>
      </w:r>
    </w:p>
    <w:p>
      <w:pPr>
        <w:snapToGrid w:val="0"/>
        <w:spacing w:line="360" w:lineRule="auto"/>
        <w:ind w:firstLine="482" w:firstLineChars="200"/>
        <w:rPr>
          <w:rFonts w:ascii="宋体" w:hAnsi="宋体" w:cs="仿宋_GB2312"/>
          <w:b/>
          <w:sz w:val="24"/>
        </w:rPr>
      </w:pPr>
      <w:r>
        <w:rPr>
          <w:rFonts w:ascii="宋体" w:hAnsi="宋体" w:cs="仿宋_GB2312"/>
          <w:b/>
          <w:bCs/>
          <w:kern w:val="0"/>
          <w:sz w:val="24"/>
        </w:rPr>
        <w:t>16</w:t>
      </w:r>
      <w:r>
        <w:rPr>
          <w:rFonts w:hint="eastAsia" w:ascii="宋体" w:hAnsi="宋体" w:cs="仿宋_GB2312"/>
          <w:b/>
          <w:bCs/>
          <w:kern w:val="0"/>
          <w:sz w:val="24"/>
        </w:rPr>
        <w:t>．</w:t>
      </w:r>
      <w:r>
        <w:rPr>
          <w:rFonts w:hint="eastAsia" w:ascii="宋体" w:hAnsi="宋体" w:cs="仿宋_GB2312"/>
          <w:b/>
          <w:sz w:val="24"/>
        </w:rPr>
        <w:t>磋商与评审</w:t>
      </w:r>
    </w:p>
    <w:p>
      <w:pPr>
        <w:snapToGrid w:val="0"/>
        <w:spacing w:line="360" w:lineRule="auto"/>
        <w:ind w:firstLine="482" w:firstLineChars="200"/>
        <w:rPr>
          <w:rFonts w:ascii="宋体" w:hAnsi="宋体" w:cs="仿宋_GB2312"/>
          <w:b/>
          <w:sz w:val="24"/>
        </w:rPr>
      </w:pPr>
      <w:r>
        <w:rPr>
          <w:rFonts w:ascii="宋体" w:hAnsi="宋体" w:cs="仿宋_GB2312"/>
          <w:b/>
          <w:sz w:val="24"/>
        </w:rPr>
        <w:t>16.1</w:t>
      </w:r>
      <w:r>
        <w:rPr>
          <w:rFonts w:hint="eastAsia" w:ascii="宋体" w:hAnsi="宋体" w:cs="仿宋_GB2312"/>
          <w:b/>
          <w:sz w:val="24"/>
        </w:rPr>
        <w:t>磋商与评审程序</w:t>
      </w:r>
    </w:p>
    <w:p>
      <w:pPr>
        <w:snapToGrid w:val="0"/>
        <w:spacing w:line="360" w:lineRule="auto"/>
        <w:ind w:left="480"/>
        <w:rPr>
          <w:rFonts w:ascii="宋体" w:hAnsi="宋体" w:cs="仿宋_GB2312"/>
          <w:bCs/>
          <w:kern w:val="0"/>
          <w:sz w:val="24"/>
        </w:rPr>
      </w:pPr>
      <w:r>
        <w:rPr>
          <w:rFonts w:hint="eastAsia" w:ascii="宋体" w:hAnsi="宋体" w:cs="仿宋_GB2312"/>
          <w:bCs/>
          <w:kern w:val="0"/>
          <w:sz w:val="24"/>
        </w:rPr>
        <w:t>1、磋商小组由采购人依法组建，成员人数为</w:t>
      </w:r>
      <w:r>
        <w:rPr>
          <w:rFonts w:ascii="宋体" w:hAnsi="宋体" w:cs="仿宋_GB2312"/>
          <w:bCs/>
          <w:kern w:val="0"/>
          <w:sz w:val="24"/>
        </w:rPr>
        <w:t>3</w:t>
      </w:r>
      <w:r>
        <w:rPr>
          <w:rFonts w:hint="eastAsia" w:ascii="宋体" w:hAnsi="宋体" w:cs="仿宋_GB2312"/>
          <w:bCs/>
          <w:kern w:val="0"/>
          <w:sz w:val="24"/>
        </w:rPr>
        <w:t>人及以上单数。</w:t>
      </w:r>
    </w:p>
    <w:p>
      <w:pPr>
        <w:snapToGrid w:val="0"/>
        <w:spacing w:line="360" w:lineRule="auto"/>
        <w:ind w:firstLine="480" w:firstLineChars="200"/>
        <w:rPr>
          <w:rFonts w:ascii="宋体" w:hAnsi="宋体" w:cs="仿宋_GB2312"/>
          <w:bCs/>
          <w:kern w:val="0"/>
          <w:sz w:val="24"/>
        </w:rPr>
      </w:pPr>
      <w:r>
        <w:rPr>
          <w:rFonts w:ascii="宋体" w:hAnsi="宋体" w:cs="仿宋_GB2312"/>
          <w:bCs/>
          <w:kern w:val="0"/>
          <w:sz w:val="24"/>
        </w:rPr>
        <w:t>2</w:t>
      </w:r>
      <w:r>
        <w:rPr>
          <w:rFonts w:hint="eastAsia" w:ascii="宋体" w:hAnsi="宋体" w:cs="仿宋_GB2312"/>
          <w:bCs/>
          <w:kern w:val="0"/>
          <w:sz w:val="24"/>
        </w:rPr>
        <w:t>、磋商小组首先对供应商的资格进行审查，资格审查不通过的，将不得进入磋商。</w:t>
      </w:r>
    </w:p>
    <w:p>
      <w:pPr>
        <w:snapToGrid w:val="0"/>
        <w:spacing w:line="360" w:lineRule="auto"/>
        <w:ind w:firstLine="480" w:firstLineChars="200"/>
        <w:rPr>
          <w:rFonts w:ascii="宋体" w:hAnsi="宋体" w:cs="仿宋_GB2312"/>
          <w:bCs/>
          <w:kern w:val="0"/>
          <w:sz w:val="24"/>
        </w:rPr>
      </w:pPr>
      <w:r>
        <w:rPr>
          <w:rFonts w:ascii="宋体" w:hAnsi="宋体" w:cs="仿宋_GB2312"/>
          <w:bCs/>
          <w:kern w:val="0"/>
          <w:sz w:val="24"/>
        </w:rPr>
        <w:t>3</w:t>
      </w:r>
      <w:r>
        <w:rPr>
          <w:rFonts w:hint="eastAsia" w:ascii="宋体" w:hAnsi="宋体" w:cs="仿宋_GB2312"/>
          <w:bCs/>
          <w:kern w:val="0"/>
          <w:sz w:val="24"/>
        </w:rPr>
        <w:t>、磋商小组对供应商提交的磋商响应书及样品（如有）进行审查，为磋商做好准备工作。</w:t>
      </w:r>
    </w:p>
    <w:p>
      <w:pPr>
        <w:snapToGrid w:val="0"/>
        <w:spacing w:line="360" w:lineRule="auto"/>
        <w:ind w:firstLine="480" w:firstLineChars="200"/>
        <w:rPr>
          <w:rFonts w:ascii="宋体" w:hAnsi="宋体" w:cs="仿宋_GB2312"/>
          <w:bCs/>
          <w:kern w:val="0"/>
          <w:sz w:val="24"/>
        </w:rPr>
      </w:pPr>
      <w:r>
        <w:rPr>
          <w:rFonts w:ascii="宋体" w:hAnsi="宋体" w:cs="仿宋_GB2312"/>
          <w:bCs/>
          <w:kern w:val="0"/>
          <w:sz w:val="24"/>
        </w:rPr>
        <w:t>4</w:t>
      </w:r>
      <w:r>
        <w:rPr>
          <w:rFonts w:hint="eastAsia" w:ascii="宋体" w:hAnsi="宋体" w:cs="仿宋_GB2312"/>
          <w:bCs/>
          <w:kern w:val="0"/>
          <w:sz w:val="24"/>
        </w:rPr>
        <w:t>、磋商小组所有成员集中与单一供应商进行逐一磋商。磋商过程中可对磋商文件规定的内容进行变动，变动内容须经采购人代表确认。</w:t>
      </w:r>
    </w:p>
    <w:p>
      <w:pPr>
        <w:snapToGrid w:val="0"/>
        <w:spacing w:line="360" w:lineRule="auto"/>
        <w:ind w:firstLine="480" w:firstLineChars="200"/>
        <w:rPr>
          <w:rFonts w:ascii="宋体" w:hAnsi="宋体" w:cs="仿宋_GB2312"/>
          <w:bCs/>
          <w:kern w:val="0"/>
          <w:sz w:val="24"/>
        </w:rPr>
      </w:pPr>
      <w:r>
        <w:rPr>
          <w:rFonts w:ascii="宋体" w:hAnsi="宋体" w:cs="仿宋_GB2312"/>
          <w:bCs/>
          <w:kern w:val="0"/>
          <w:sz w:val="24"/>
        </w:rPr>
        <w:t>5</w:t>
      </w:r>
      <w:r>
        <w:rPr>
          <w:rFonts w:hint="eastAsia" w:ascii="宋体" w:hAnsi="宋体" w:cs="仿宋_GB2312"/>
          <w:bCs/>
          <w:kern w:val="0"/>
          <w:sz w:val="24"/>
        </w:rPr>
        <w:t>、对否定的供应商，磋商小组要提出充足的否定理由，并填写在评审记录上；对评审结果持有异议的，按照少数服从多数的原则由评委采取投票方式表决确定并记录入评审记录。</w:t>
      </w:r>
    </w:p>
    <w:p>
      <w:pPr>
        <w:snapToGrid w:val="0"/>
        <w:spacing w:line="360" w:lineRule="auto"/>
        <w:ind w:firstLine="482" w:firstLineChars="200"/>
        <w:rPr>
          <w:rFonts w:ascii="宋体" w:hAnsi="宋体" w:cs="仿宋_GB2312"/>
          <w:b/>
          <w:sz w:val="24"/>
        </w:rPr>
      </w:pPr>
      <w:r>
        <w:rPr>
          <w:rFonts w:ascii="宋体" w:hAnsi="宋体" w:cs="仿宋_GB2312"/>
          <w:b/>
          <w:sz w:val="24"/>
        </w:rPr>
        <w:t>16.</w:t>
      </w:r>
      <w:r>
        <w:rPr>
          <w:rFonts w:hint="eastAsia" w:ascii="宋体" w:hAnsi="宋体" w:cs="仿宋_GB2312"/>
          <w:b/>
          <w:sz w:val="24"/>
        </w:rPr>
        <w:t>2资格审查</w:t>
      </w:r>
    </w:p>
    <w:p>
      <w:pPr>
        <w:snapToGrid w:val="0"/>
        <w:spacing w:line="360" w:lineRule="auto"/>
        <w:ind w:firstLine="480" w:firstLineChars="200"/>
        <w:rPr>
          <w:rFonts w:ascii="宋体" w:hAnsi="宋体" w:cs="仿宋_GB2312"/>
          <w:sz w:val="24"/>
        </w:rPr>
      </w:pPr>
      <w:r>
        <w:rPr>
          <w:rFonts w:hint="eastAsia" w:ascii="宋体" w:hAnsi="宋体" w:cs="仿宋_GB2312"/>
          <w:sz w:val="24"/>
        </w:rPr>
        <w:t>经磋商小组确定，以下情形的供应商属于无效响应：</w:t>
      </w:r>
    </w:p>
    <w:p>
      <w:pPr>
        <w:snapToGrid w:val="0"/>
        <w:spacing w:line="360" w:lineRule="auto"/>
        <w:ind w:firstLine="480" w:firstLineChars="200"/>
        <w:rPr>
          <w:rFonts w:ascii="宋体" w:hAnsi="宋体" w:cs="仿宋_GB2312"/>
          <w:sz w:val="24"/>
        </w:rPr>
      </w:pPr>
      <w:r>
        <w:rPr>
          <w:rFonts w:hint="eastAsia" w:ascii="宋体" w:hAnsi="宋体" w:cs="仿宋_GB2312"/>
          <w:sz w:val="24"/>
        </w:rPr>
        <w:t>未按本磋商文件要求提供营业执照以及相关资格证明材料或提供的材料不符合要求的、未按磋商文件要求提交磋商保证金的。</w:t>
      </w:r>
    </w:p>
    <w:p>
      <w:pPr>
        <w:snapToGrid w:val="0"/>
        <w:spacing w:line="360" w:lineRule="auto"/>
        <w:ind w:firstLine="482" w:firstLineChars="200"/>
        <w:rPr>
          <w:rFonts w:ascii="宋体" w:hAnsi="宋体" w:cs="仿宋_GB2312"/>
          <w:b/>
          <w:sz w:val="24"/>
        </w:rPr>
      </w:pPr>
      <w:r>
        <w:rPr>
          <w:rFonts w:ascii="宋体" w:hAnsi="宋体" w:cs="仿宋_GB2312"/>
          <w:b/>
          <w:sz w:val="24"/>
        </w:rPr>
        <w:t>16.</w:t>
      </w:r>
      <w:r>
        <w:rPr>
          <w:rFonts w:hint="eastAsia" w:ascii="宋体" w:hAnsi="宋体" w:cs="仿宋_GB2312"/>
          <w:b/>
          <w:sz w:val="24"/>
        </w:rPr>
        <w:t>3磋商响应书及样品（如有）</w:t>
      </w:r>
    </w:p>
    <w:p>
      <w:pPr>
        <w:snapToGrid w:val="0"/>
        <w:spacing w:line="360" w:lineRule="auto"/>
        <w:ind w:firstLine="480" w:firstLineChars="200"/>
        <w:rPr>
          <w:rFonts w:ascii="宋体" w:hAnsi="宋体" w:cs="仿宋_GB2312"/>
          <w:sz w:val="24"/>
        </w:rPr>
      </w:pPr>
      <w:r>
        <w:rPr>
          <w:rFonts w:hint="eastAsia" w:ascii="宋体" w:hAnsi="宋体" w:cs="仿宋_GB2312"/>
          <w:sz w:val="24"/>
        </w:rPr>
        <w:t>磋商开始前，磋商小组将认真审查供应商提交的磋商响应书，了解其与磋商文件要求是否有偏离，并对照本磋商文件规定评判供应商是否合格。审查完磋商响应书后，对合格供应商提供的样品</w:t>
      </w:r>
      <w:r>
        <w:rPr>
          <w:rFonts w:ascii="宋体" w:hAnsi="宋体" w:cs="仿宋_GB2312"/>
          <w:sz w:val="24"/>
        </w:rPr>
        <w:t>(</w:t>
      </w:r>
      <w:r>
        <w:rPr>
          <w:rFonts w:hint="eastAsia" w:ascii="宋体" w:hAnsi="宋体" w:cs="仿宋_GB2312"/>
          <w:sz w:val="24"/>
        </w:rPr>
        <w:t>如有</w:t>
      </w:r>
      <w:r>
        <w:rPr>
          <w:rFonts w:ascii="宋体" w:hAnsi="宋体" w:cs="仿宋_GB2312"/>
          <w:sz w:val="24"/>
        </w:rPr>
        <w:t>)</w:t>
      </w:r>
      <w:r>
        <w:rPr>
          <w:rFonts w:hint="eastAsia" w:ascii="宋体" w:hAnsi="宋体" w:cs="仿宋_GB2312"/>
          <w:sz w:val="24"/>
        </w:rPr>
        <w:t>进行检验。</w:t>
      </w:r>
    </w:p>
    <w:p>
      <w:pPr>
        <w:snapToGrid w:val="0"/>
        <w:spacing w:line="360" w:lineRule="auto"/>
        <w:ind w:firstLine="482" w:firstLineChars="200"/>
        <w:rPr>
          <w:rFonts w:ascii="宋体" w:hAnsi="宋体" w:cs="仿宋_GB2312"/>
          <w:b/>
          <w:sz w:val="24"/>
        </w:rPr>
      </w:pPr>
      <w:r>
        <w:rPr>
          <w:rFonts w:ascii="宋体" w:hAnsi="宋体" w:cs="仿宋_GB2312"/>
          <w:b/>
          <w:sz w:val="24"/>
        </w:rPr>
        <w:t>16.</w:t>
      </w:r>
      <w:r>
        <w:rPr>
          <w:rFonts w:hint="eastAsia" w:ascii="宋体" w:hAnsi="宋体" w:cs="仿宋_GB2312"/>
          <w:b/>
          <w:sz w:val="24"/>
        </w:rPr>
        <w:t>4磋商</w:t>
      </w:r>
    </w:p>
    <w:p>
      <w:pPr>
        <w:snapToGrid w:val="0"/>
        <w:spacing w:line="360" w:lineRule="auto"/>
        <w:ind w:firstLine="480" w:firstLineChars="200"/>
        <w:rPr>
          <w:rFonts w:ascii="宋体" w:hAnsi="宋体" w:cs="仿宋_GB2312"/>
          <w:sz w:val="24"/>
        </w:rPr>
      </w:pPr>
      <w:r>
        <w:rPr>
          <w:rFonts w:ascii="宋体" w:hAnsi="宋体" w:cs="仿宋_GB2312"/>
          <w:sz w:val="24"/>
        </w:rPr>
        <w:t>1</w:t>
      </w:r>
      <w:r>
        <w:rPr>
          <w:rFonts w:hint="eastAsia" w:ascii="宋体" w:hAnsi="宋体" w:cs="仿宋_GB2312"/>
          <w:sz w:val="24"/>
        </w:rPr>
        <w:t>、在掌握了供应商磋商响应书及样品的基本情况后，磋商小组将与供应商分别进行磋商。</w:t>
      </w:r>
    </w:p>
    <w:p>
      <w:pPr>
        <w:snapToGrid w:val="0"/>
        <w:spacing w:line="360" w:lineRule="auto"/>
        <w:ind w:firstLine="480" w:firstLineChars="200"/>
        <w:rPr>
          <w:rFonts w:ascii="宋体" w:hAnsi="宋体" w:cs="仿宋_GB2312"/>
          <w:sz w:val="24"/>
        </w:rPr>
      </w:pPr>
      <w:r>
        <w:rPr>
          <w:rFonts w:ascii="宋体" w:hAnsi="宋体" w:cs="仿宋_GB2312"/>
          <w:sz w:val="24"/>
        </w:rPr>
        <w:t>2</w:t>
      </w:r>
      <w:r>
        <w:rPr>
          <w:rFonts w:hint="eastAsia" w:ascii="宋体" w:hAnsi="宋体" w:cs="仿宋_GB2312"/>
          <w:sz w:val="24"/>
        </w:rPr>
        <w:t>、在磋商过程中，磋商小组可以根据磋商文件和磋商情况实质性变动采购需求中的技术、服务要求以及合同草案条款，实质性变动内容是磋商文件的有效组成部分。实质性变动的内容，经采购人代表确认。</w:t>
      </w:r>
    </w:p>
    <w:p>
      <w:pPr>
        <w:snapToGrid w:val="0"/>
        <w:spacing w:line="360" w:lineRule="auto"/>
        <w:ind w:firstLine="482" w:firstLineChars="200"/>
        <w:rPr>
          <w:rFonts w:ascii="宋体" w:hAnsi="宋体" w:cs="仿宋_GB2312"/>
          <w:b/>
          <w:sz w:val="24"/>
        </w:rPr>
      </w:pPr>
      <w:r>
        <w:rPr>
          <w:rFonts w:ascii="宋体" w:hAnsi="宋体" w:cs="仿宋_GB2312"/>
          <w:b/>
          <w:sz w:val="24"/>
        </w:rPr>
        <w:t>16.</w:t>
      </w:r>
      <w:r>
        <w:rPr>
          <w:rFonts w:hint="eastAsia" w:ascii="宋体" w:hAnsi="宋体" w:cs="仿宋_GB2312"/>
          <w:b/>
          <w:sz w:val="24"/>
        </w:rPr>
        <w:t>5报价</w:t>
      </w:r>
    </w:p>
    <w:p>
      <w:pPr>
        <w:numPr>
          <w:ilvl w:val="0"/>
          <w:numId w:val="1"/>
        </w:numPr>
        <w:snapToGrid w:val="0"/>
        <w:spacing w:line="360" w:lineRule="auto"/>
        <w:ind w:firstLine="480" w:firstLineChars="200"/>
        <w:rPr>
          <w:rFonts w:ascii="宋体" w:hAnsi="宋体" w:cs="仿宋_GB2312"/>
          <w:sz w:val="24"/>
        </w:rPr>
      </w:pPr>
      <w:r>
        <w:rPr>
          <w:rFonts w:hint="eastAsia" w:ascii="宋体" w:hAnsi="宋体" w:cs="仿宋_GB2312"/>
          <w:sz w:val="24"/>
        </w:rPr>
        <w:t>响应报价超过控制数或不按规定格式进行报价的属于无效响应。报价表应按要求填写并装订入响应文件内。</w:t>
      </w:r>
    </w:p>
    <w:p>
      <w:pPr>
        <w:snapToGrid w:val="0"/>
        <w:spacing w:line="360" w:lineRule="auto"/>
        <w:ind w:firstLine="482" w:firstLineChars="200"/>
        <w:rPr>
          <w:rFonts w:ascii="宋体" w:hAnsi="宋体" w:cs="仿宋_GB2312"/>
          <w:b/>
          <w:bCs/>
          <w:sz w:val="24"/>
        </w:rPr>
      </w:pPr>
      <w:r>
        <w:rPr>
          <w:rFonts w:ascii="宋体" w:hAnsi="宋体" w:cs="仿宋_GB2312"/>
          <w:b/>
          <w:bCs/>
          <w:sz w:val="24"/>
        </w:rPr>
        <w:t>2</w:t>
      </w:r>
      <w:r>
        <w:rPr>
          <w:rFonts w:hint="eastAsia" w:ascii="宋体" w:hAnsi="宋体" w:cs="仿宋_GB2312"/>
          <w:b/>
          <w:bCs/>
          <w:sz w:val="24"/>
        </w:rPr>
        <w:t>、磋商结束后，磋商小组要求所有继续参加磋商的响应人在规定的时间内提交最后报价（如磋商过程中没有增加服务、工程数量或服务要求的，则二次报价时不得高于磋商响应书中的报价）。现场二次报价或者最后报价时仅报出总价，中标后，其单价部分按最后报价总价下降幅度同比例下降。</w:t>
      </w:r>
    </w:p>
    <w:p>
      <w:pPr>
        <w:snapToGrid w:val="0"/>
        <w:spacing w:line="360" w:lineRule="auto"/>
        <w:ind w:firstLine="482" w:firstLineChars="200"/>
        <w:rPr>
          <w:rFonts w:ascii="宋体" w:hAnsi="宋体" w:cs="仿宋_GB2312"/>
          <w:b/>
          <w:sz w:val="24"/>
        </w:rPr>
      </w:pPr>
      <w:r>
        <w:rPr>
          <w:rFonts w:ascii="宋体" w:hAnsi="宋体" w:cs="仿宋_GB2312"/>
          <w:b/>
          <w:sz w:val="24"/>
        </w:rPr>
        <w:t>16.</w:t>
      </w:r>
      <w:r>
        <w:rPr>
          <w:rFonts w:hint="eastAsia" w:ascii="宋体" w:hAnsi="宋体" w:cs="仿宋_GB2312"/>
          <w:b/>
          <w:sz w:val="24"/>
        </w:rPr>
        <w:t>6成交候选人</w:t>
      </w:r>
    </w:p>
    <w:p>
      <w:pPr>
        <w:snapToGrid w:val="0"/>
        <w:spacing w:line="360" w:lineRule="auto"/>
        <w:ind w:firstLine="480" w:firstLineChars="200"/>
        <w:rPr>
          <w:rFonts w:ascii="宋体" w:hAnsi="宋体" w:cs="仿宋_GB2312"/>
          <w:sz w:val="24"/>
        </w:rPr>
      </w:pPr>
      <w:r>
        <w:rPr>
          <w:rFonts w:hint="eastAsia" w:ascii="宋体" w:hAnsi="宋体" w:cs="仿宋_GB2312"/>
          <w:sz w:val="24"/>
        </w:rPr>
        <w:t>磋商小组应当根据综合评分情况，按照评审得分由高到低顺序推荐</w:t>
      </w:r>
      <w:r>
        <w:rPr>
          <w:rFonts w:ascii="宋体" w:hAnsi="宋体" w:cs="仿宋_GB2312"/>
          <w:sz w:val="24"/>
        </w:rPr>
        <w:t>3</w:t>
      </w:r>
      <w:r>
        <w:rPr>
          <w:rFonts w:hint="eastAsia" w:ascii="宋体" w:hAnsi="宋体" w:cs="仿宋_GB2312"/>
          <w:sz w:val="24"/>
        </w:rPr>
        <w:t>名成交候选供应商，并编写评审报告。评审得分相同的，按照最后报价由低到高的顺序推荐。评审得分且最后报价相同的，由该两家（及两家以上）供应商在相关监督部门的监督下抽签决定预成交候选人顺序。</w:t>
      </w:r>
    </w:p>
    <w:p>
      <w:pPr>
        <w:snapToGrid w:val="0"/>
        <w:spacing w:line="360" w:lineRule="auto"/>
        <w:ind w:firstLine="482" w:firstLineChars="200"/>
        <w:rPr>
          <w:rFonts w:ascii="宋体" w:hAnsi="宋体" w:cs="仿宋_GB2312"/>
          <w:b/>
          <w:sz w:val="24"/>
        </w:rPr>
      </w:pPr>
      <w:r>
        <w:rPr>
          <w:rFonts w:hint="eastAsia" w:ascii="宋体" w:hAnsi="宋体" w:cs="仿宋_GB2312"/>
          <w:b/>
          <w:sz w:val="24"/>
        </w:rPr>
        <w:t>16.7 经磋商小组确定，有以下情形的供应商视为不合格供应商，其磋商响应将被否决：</w:t>
      </w:r>
    </w:p>
    <w:p>
      <w:pPr>
        <w:snapToGrid w:val="0"/>
        <w:spacing w:line="360" w:lineRule="auto"/>
        <w:ind w:firstLine="480" w:firstLineChars="200"/>
        <w:rPr>
          <w:rFonts w:ascii="宋体" w:hAnsi="宋体" w:cs="仿宋_GB2312"/>
          <w:kern w:val="0"/>
          <w:sz w:val="24"/>
        </w:rPr>
      </w:pPr>
      <w:r>
        <w:rPr>
          <w:rFonts w:ascii="宋体" w:hAnsi="宋体" w:cs="仿宋_GB2312"/>
          <w:sz w:val="24"/>
        </w:rPr>
        <w:t>1</w:t>
      </w:r>
      <w:r>
        <w:rPr>
          <w:rFonts w:hint="eastAsia" w:ascii="宋体" w:hAnsi="宋体" w:cs="仿宋_GB2312"/>
          <w:sz w:val="24"/>
        </w:rPr>
        <w:t>）</w:t>
      </w:r>
      <w:r>
        <w:rPr>
          <w:rFonts w:hint="eastAsia" w:ascii="宋体" w:hAnsi="宋体" w:cs="仿宋_GB2312"/>
          <w:kern w:val="0"/>
          <w:sz w:val="24"/>
        </w:rPr>
        <w:t>磋商响应书未加盖单位印章和法定代表人（或授权委托人）签字或盖章的；</w:t>
      </w:r>
    </w:p>
    <w:p>
      <w:pPr>
        <w:snapToGrid w:val="0"/>
        <w:spacing w:line="360" w:lineRule="auto"/>
        <w:ind w:firstLine="480" w:firstLineChars="200"/>
        <w:rPr>
          <w:rFonts w:ascii="宋体" w:hAnsi="宋体" w:cs="仿宋_GB2312"/>
          <w:sz w:val="24"/>
        </w:rPr>
      </w:pPr>
      <w:r>
        <w:rPr>
          <w:rFonts w:ascii="宋体" w:hAnsi="宋体" w:cs="仿宋_GB2312"/>
          <w:sz w:val="24"/>
        </w:rPr>
        <w:t xml:space="preserve">2) </w:t>
      </w:r>
      <w:r>
        <w:rPr>
          <w:rFonts w:hint="eastAsia" w:ascii="宋体" w:hAnsi="宋体" w:cs="仿宋_GB2312"/>
          <w:sz w:val="24"/>
        </w:rPr>
        <w:t>报价超过项目预算控制数或不按规定格式进行报价的属于无效报价。</w:t>
      </w:r>
    </w:p>
    <w:p>
      <w:pPr>
        <w:snapToGrid w:val="0"/>
        <w:spacing w:line="360" w:lineRule="auto"/>
        <w:ind w:firstLine="480" w:firstLineChars="200"/>
        <w:rPr>
          <w:rFonts w:ascii="宋体" w:hAnsi="宋体" w:cs="仿宋_GB2312"/>
          <w:sz w:val="24"/>
        </w:rPr>
      </w:pPr>
      <w:r>
        <w:rPr>
          <w:rFonts w:ascii="宋体" w:hAnsi="宋体" w:cs="仿宋_GB2312"/>
          <w:sz w:val="24"/>
        </w:rPr>
        <w:t>3</w:t>
      </w:r>
      <w:r>
        <w:rPr>
          <w:rFonts w:hint="eastAsia" w:ascii="宋体" w:hAnsi="宋体" w:cs="仿宋_GB2312"/>
          <w:sz w:val="24"/>
        </w:rPr>
        <w:t>）其它不满足本磋商文件要求和法定应当否决的情形。</w:t>
      </w:r>
    </w:p>
    <w:p>
      <w:pPr>
        <w:pStyle w:val="36"/>
        <w:adjustRightInd/>
        <w:jc w:val="center"/>
        <w:rPr>
          <w:rFonts w:cs="仿宋_GB2312"/>
          <w:b/>
        </w:rPr>
      </w:pPr>
      <w:r>
        <w:rPr>
          <w:rFonts w:hint="eastAsia" w:cs="仿宋_GB2312"/>
          <w:b/>
        </w:rPr>
        <w:t>（五）磋商办法</w:t>
      </w:r>
    </w:p>
    <w:p>
      <w:pPr>
        <w:pStyle w:val="36"/>
        <w:wordWrap w:val="0"/>
        <w:adjustRightInd/>
        <w:snapToGrid w:val="0"/>
        <w:spacing w:line="360" w:lineRule="auto"/>
        <w:ind w:firstLine="480" w:firstLineChars="200"/>
        <w:jc w:val="both"/>
      </w:pPr>
      <w:r>
        <w:rPr>
          <w:rFonts w:hint="eastAsia" w:cs="仿宋_GB2312"/>
        </w:rPr>
        <w:t>根据《政府采购竞争性磋商采购方式管理暂行办法》等法律法规的精神，并结合本项目实际制定本办法。综合评分法，是指响应文件满足磋商文件全部实质性要求且按评审因素的量化指标评审得分最高的供应商为成交候选供应商的评审方法。</w:t>
      </w:r>
    </w:p>
    <w:p>
      <w:pPr>
        <w:spacing w:line="360" w:lineRule="auto"/>
        <w:ind w:firstLine="480" w:firstLineChars="200"/>
        <w:rPr>
          <w:rFonts w:ascii="宋体" w:hAnsi="宋体"/>
          <w:sz w:val="24"/>
        </w:rPr>
      </w:pPr>
      <w:r>
        <w:rPr>
          <w:rFonts w:hint="eastAsia" w:ascii="宋体" w:hAnsi="宋体"/>
          <w:sz w:val="24"/>
        </w:rPr>
        <w:t>磋商小组首先进行符合性评审，评审通过后，然后对满足磋商文件实质性要求的投标文件，按照评分标准和二次商务报价打分，汇总最终商务报价得分和技术的分为各投标人的最终得分，并按得分由高到低顺序推荐排3名中标候选人。综合评分相等时，以技术分得分高的优先；技术分得分也相等时，在监管部门的现场监督下由采购人抽签确定排序。</w:t>
      </w:r>
    </w:p>
    <w:p>
      <w:pPr>
        <w:spacing w:line="360" w:lineRule="auto"/>
        <w:ind w:firstLine="480" w:firstLineChars="200"/>
        <w:rPr>
          <w:rFonts w:ascii="宋体" w:hAnsi="宋体"/>
          <w:sz w:val="24"/>
        </w:rPr>
      </w:pPr>
      <w:r>
        <w:rPr>
          <w:rFonts w:hint="eastAsia" w:ascii="宋体" w:hAnsi="宋体"/>
          <w:sz w:val="24"/>
        </w:rPr>
        <w:tab/>
      </w:r>
      <w:r>
        <w:rPr>
          <w:rFonts w:hint="eastAsia" w:ascii="宋体" w:hAnsi="宋体"/>
          <w:b/>
          <w:bCs/>
          <w:sz w:val="24"/>
        </w:rPr>
        <w:t>一、资格审查</w:t>
      </w:r>
    </w:p>
    <w:tbl>
      <w:tblPr>
        <w:tblStyle w:val="25"/>
        <w:tblpPr w:leftFromText="180" w:rightFromText="180" w:vertAnchor="text" w:horzAnchor="page" w:tblpX="1552" w:tblpY="588"/>
        <w:tblOverlap w:val="never"/>
        <w:tblW w:w="9472"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0"/>
        <w:gridCol w:w="1340"/>
        <w:gridCol w:w="2683"/>
        <w:gridCol w:w="2487"/>
        <w:gridCol w:w="2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trPr>
        <w:tc>
          <w:tcPr>
            <w:tcW w:w="660" w:type="dxa"/>
          </w:tcPr>
          <w:p>
            <w:pPr>
              <w:jc w:val="center"/>
              <w:rPr>
                <w:rFonts w:ascii="宋体" w:hAnsi="宋体" w:cs="宋体"/>
                <w:szCs w:val="21"/>
              </w:rPr>
            </w:pPr>
            <w:r>
              <w:rPr>
                <w:rFonts w:hint="eastAsia" w:ascii="宋体" w:hAnsi="宋体" w:cs="宋体"/>
                <w:szCs w:val="21"/>
              </w:rPr>
              <w:t>序</w:t>
            </w:r>
          </w:p>
          <w:p>
            <w:pPr>
              <w:jc w:val="center"/>
              <w:rPr>
                <w:rFonts w:ascii="宋体" w:hAnsi="宋体" w:cs="宋体"/>
                <w:szCs w:val="21"/>
              </w:rPr>
            </w:pPr>
            <w:r>
              <w:rPr>
                <w:rFonts w:hint="eastAsia" w:ascii="宋体" w:hAnsi="宋体" w:cs="宋体"/>
                <w:szCs w:val="21"/>
              </w:rPr>
              <w:t>号</w:t>
            </w:r>
          </w:p>
        </w:tc>
        <w:tc>
          <w:tcPr>
            <w:tcW w:w="1340" w:type="dxa"/>
          </w:tcPr>
          <w:p>
            <w:pPr>
              <w:jc w:val="center"/>
              <w:rPr>
                <w:rFonts w:ascii="宋体" w:hAnsi="宋体" w:cs="宋体"/>
                <w:szCs w:val="21"/>
              </w:rPr>
            </w:pPr>
            <w:r>
              <w:rPr>
                <w:rFonts w:hint="eastAsia" w:ascii="宋体" w:hAnsi="宋体" w:cs="宋体"/>
                <w:szCs w:val="21"/>
              </w:rPr>
              <w:t>合格条件</w:t>
            </w:r>
          </w:p>
        </w:tc>
        <w:tc>
          <w:tcPr>
            <w:tcW w:w="2683" w:type="dxa"/>
          </w:tcPr>
          <w:p>
            <w:pPr>
              <w:jc w:val="center"/>
              <w:rPr>
                <w:rFonts w:ascii="宋体" w:hAnsi="宋体" w:cs="宋体"/>
                <w:szCs w:val="21"/>
              </w:rPr>
            </w:pPr>
            <w:r>
              <w:rPr>
                <w:rFonts w:hint="eastAsia" w:ascii="宋体" w:hAnsi="宋体" w:cs="宋体"/>
                <w:szCs w:val="21"/>
              </w:rPr>
              <w:t>投标资格合格条件标准</w:t>
            </w:r>
          </w:p>
        </w:tc>
        <w:tc>
          <w:tcPr>
            <w:tcW w:w="2487" w:type="dxa"/>
          </w:tcPr>
          <w:p>
            <w:pPr>
              <w:jc w:val="center"/>
              <w:rPr>
                <w:rFonts w:ascii="宋体" w:hAnsi="宋体" w:cs="宋体"/>
                <w:szCs w:val="21"/>
              </w:rPr>
            </w:pPr>
            <w:r>
              <w:rPr>
                <w:rFonts w:hint="eastAsia" w:ascii="宋体" w:hAnsi="宋体" w:cs="宋体"/>
                <w:szCs w:val="21"/>
              </w:rPr>
              <w:t>有效证明材料</w:t>
            </w:r>
          </w:p>
        </w:tc>
        <w:tc>
          <w:tcPr>
            <w:tcW w:w="2302" w:type="dxa"/>
          </w:tcPr>
          <w:p>
            <w:pPr>
              <w:jc w:val="center"/>
              <w:rPr>
                <w:rFonts w:ascii="宋体" w:hAnsi="宋体" w:cs="宋体"/>
                <w:szCs w:val="21"/>
              </w:rPr>
            </w:pPr>
            <w:r>
              <w:rPr>
                <w:rFonts w:hint="eastAsia" w:ascii="宋体" w:hAnsi="宋体" w:cs="宋体"/>
                <w:szCs w:val="21"/>
              </w:rPr>
              <w:t>定性的结论以及</w:t>
            </w:r>
          </w:p>
          <w:p>
            <w:pPr>
              <w:jc w:val="center"/>
              <w:rPr>
                <w:rFonts w:ascii="宋体" w:hAnsi="宋体" w:cs="宋体"/>
                <w:szCs w:val="21"/>
              </w:rPr>
            </w:pPr>
            <w:r>
              <w:rPr>
                <w:rFonts w:hint="eastAsia" w:ascii="宋体" w:hAnsi="宋体" w:cs="宋体"/>
                <w:szCs w:val="21"/>
              </w:rPr>
              <w:t>相关情况说明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651" w:hRule="atLeast"/>
          <w:tblCellSpacing w:w="0" w:type="dxa"/>
        </w:trPr>
        <w:tc>
          <w:tcPr>
            <w:tcW w:w="660" w:type="dxa"/>
          </w:tcPr>
          <w:p>
            <w:pPr>
              <w:jc w:val="center"/>
              <w:rPr>
                <w:rFonts w:ascii="宋体" w:hAnsi="宋体" w:cs="宋体"/>
                <w:szCs w:val="21"/>
              </w:rPr>
            </w:pPr>
            <w:r>
              <w:rPr>
                <w:rFonts w:hint="eastAsia" w:ascii="宋体" w:hAnsi="宋体" w:cs="宋体"/>
                <w:szCs w:val="21"/>
              </w:rPr>
              <w:t>1</w:t>
            </w:r>
          </w:p>
        </w:tc>
        <w:tc>
          <w:tcPr>
            <w:tcW w:w="1340" w:type="dxa"/>
          </w:tcPr>
          <w:p>
            <w:pPr>
              <w:jc w:val="center"/>
              <w:rPr>
                <w:rFonts w:ascii="宋体" w:hAnsi="宋体" w:cs="宋体"/>
                <w:szCs w:val="21"/>
              </w:rPr>
            </w:pPr>
            <w:r>
              <w:rPr>
                <w:rFonts w:hint="eastAsia" w:ascii="宋体" w:hAnsi="宋体" w:cs="宋体"/>
                <w:szCs w:val="21"/>
              </w:rPr>
              <w:t>投标保证金</w:t>
            </w:r>
          </w:p>
        </w:tc>
        <w:tc>
          <w:tcPr>
            <w:tcW w:w="2683" w:type="dxa"/>
          </w:tcPr>
          <w:p>
            <w:pPr>
              <w:jc w:val="center"/>
              <w:rPr>
                <w:rFonts w:ascii="宋体" w:hAnsi="宋体" w:cs="宋体"/>
                <w:szCs w:val="21"/>
              </w:rPr>
            </w:pPr>
            <w:r>
              <w:rPr>
                <w:rFonts w:hint="eastAsia" w:ascii="宋体" w:hAnsi="宋体" w:cs="宋体"/>
                <w:szCs w:val="21"/>
              </w:rPr>
              <w:t>按招标文件规定的金额、账号、提交形式等要求从</w:t>
            </w:r>
            <w:r>
              <w:rPr>
                <w:rFonts w:hint="eastAsia" w:ascii="宋体" w:hAnsi="宋体" w:cs="宋体"/>
                <w:color w:val="000000"/>
                <w:szCs w:val="21"/>
              </w:rPr>
              <w:t>供应商基本账户转入</w:t>
            </w:r>
            <w:r>
              <w:rPr>
                <w:rFonts w:hint="eastAsia" w:ascii="宋体" w:hAnsi="宋体" w:cs="宋体"/>
                <w:szCs w:val="21"/>
              </w:rPr>
              <w:t>投标保证金并在投标截止时间前到达指定账户</w:t>
            </w:r>
          </w:p>
        </w:tc>
        <w:tc>
          <w:tcPr>
            <w:tcW w:w="2487" w:type="dxa"/>
          </w:tcPr>
          <w:p>
            <w:pPr>
              <w:numPr>
                <w:ilvl w:val="0"/>
                <w:numId w:val="2"/>
              </w:numPr>
              <w:jc w:val="center"/>
              <w:rPr>
                <w:rFonts w:ascii="宋体" w:hAnsi="宋体" w:cs="宋体"/>
                <w:szCs w:val="21"/>
              </w:rPr>
            </w:pPr>
            <w:r>
              <w:rPr>
                <w:rFonts w:hint="eastAsia" w:ascii="宋体" w:hAnsi="宋体" w:cs="宋体"/>
                <w:szCs w:val="21"/>
              </w:rPr>
              <w:t>提交投标保证金的回单。</w:t>
            </w:r>
          </w:p>
        </w:tc>
        <w:tc>
          <w:tcPr>
            <w:tcW w:w="2302" w:type="dxa"/>
          </w:tcPr>
          <w:p>
            <w:pPr>
              <w:jc w:val="center"/>
              <w:rPr>
                <w:rFonts w:ascii="宋体" w:hAnsi="宋体" w:cs="宋体"/>
                <w:szCs w:val="21"/>
              </w:rPr>
            </w:pPr>
            <w:r>
              <w:rPr>
                <w:rFonts w:hint="eastAsia" w:ascii="宋体" w:hAnsi="宋体" w:cs="宋体"/>
                <w:szCs w:val="21"/>
              </w:rPr>
              <w:t>投标人应按招标文件规定的金额、账号、提交形式等，在开标截止时间前缴纳保证金。(复印件加盖公章装订在标书内，原件备查)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trPr>
        <w:tc>
          <w:tcPr>
            <w:tcW w:w="660" w:type="dxa"/>
          </w:tcPr>
          <w:p>
            <w:pPr>
              <w:jc w:val="center"/>
              <w:rPr>
                <w:rFonts w:ascii="宋体" w:hAnsi="宋体" w:cs="宋体"/>
                <w:szCs w:val="21"/>
              </w:rPr>
            </w:pPr>
            <w:r>
              <w:rPr>
                <w:rFonts w:hint="eastAsia" w:ascii="宋体" w:hAnsi="宋体" w:cs="宋体"/>
                <w:szCs w:val="21"/>
              </w:rPr>
              <w:t>2</w:t>
            </w:r>
          </w:p>
        </w:tc>
        <w:tc>
          <w:tcPr>
            <w:tcW w:w="1340" w:type="dxa"/>
          </w:tcPr>
          <w:p>
            <w:pPr>
              <w:jc w:val="center"/>
              <w:rPr>
                <w:rFonts w:ascii="宋体" w:hAnsi="宋体" w:cs="宋体"/>
                <w:szCs w:val="21"/>
              </w:rPr>
            </w:pPr>
            <w:r>
              <w:rPr>
                <w:rFonts w:hint="eastAsia" w:ascii="宋体" w:hAnsi="宋体" w:cs="宋体"/>
                <w:szCs w:val="21"/>
              </w:rPr>
              <w:t>独立的法人营业资格</w:t>
            </w:r>
          </w:p>
        </w:tc>
        <w:tc>
          <w:tcPr>
            <w:tcW w:w="2683" w:type="dxa"/>
          </w:tcPr>
          <w:p>
            <w:pPr>
              <w:jc w:val="center"/>
              <w:rPr>
                <w:rFonts w:ascii="宋体" w:hAnsi="宋体" w:cs="宋体"/>
                <w:szCs w:val="21"/>
              </w:rPr>
            </w:pPr>
            <w:r>
              <w:rPr>
                <w:rFonts w:hint="eastAsia" w:ascii="宋体" w:hAnsi="宋体" w:cs="宋体"/>
                <w:szCs w:val="21"/>
              </w:rPr>
              <w:t>在中华人民共和国境内合法注册的独立法人资格，并具有相应的经营范围。</w:t>
            </w:r>
          </w:p>
        </w:tc>
        <w:tc>
          <w:tcPr>
            <w:tcW w:w="2487" w:type="dxa"/>
          </w:tcPr>
          <w:p>
            <w:pPr>
              <w:jc w:val="center"/>
              <w:rPr>
                <w:rFonts w:ascii="宋体" w:hAnsi="宋体" w:cs="宋体"/>
                <w:szCs w:val="21"/>
              </w:rPr>
            </w:pPr>
            <w:r>
              <w:rPr>
                <w:rFonts w:hint="eastAsia" w:ascii="宋体" w:hAnsi="宋体" w:cs="宋体"/>
                <w:szCs w:val="21"/>
              </w:rPr>
              <w:t>企业法人营业执照（副本）</w:t>
            </w:r>
          </w:p>
        </w:tc>
        <w:tc>
          <w:tcPr>
            <w:tcW w:w="2302" w:type="dxa"/>
          </w:tcPr>
          <w:p>
            <w:pPr>
              <w:jc w:val="center"/>
              <w:rPr>
                <w:rFonts w:ascii="宋体" w:hAnsi="宋体" w:cs="宋体"/>
                <w:szCs w:val="21"/>
              </w:rPr>
            </w:pPr>
            <w:r>
              <w:rPr>
                <w:rFonts w:hint="eastAsia" w:ascii="宋体" w:hAnsi="宋体" w:cs="宋体"/>
                <w:szCs w:val="21"/>
              </w:rPr>
              <w:t>复印件加盖公章装订在标书内，原件备查</w:t>
            </w:r>
          </w:p>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trPr>
        <w:tc>
          <w:tcPr>
            <w:tcW w:w="660" w:type="dxa"/>
          </w:tcPr>
          <w:p>
            <w:pPr>
              <w:jc w:val="center"/>
              <w:rPr>
                <w:rFonts w:ascii="宋体" w:hAnsi="宋体" w:cs="宋体"/>
                <w:szCs w:val="21"/>
              </w:rPr>
            </w:pPr>
            <w:r>
              <w:rPr>
                <w:rFonts w:hint="eastAsia" w:ascii="宋体" w:hAnsi="宋体" w:cs="宋体"/>
                <w:szCs w:val="21"/>
              </w:rPr>
              <w:t>3</w:t>
            </w:r>
          </w:p>
        </w:tc>
        <w:tc>
          <w:tcPr>
            <w:tcW w:w="1340" w:type="dxa"/>
          </w:tcPr>
          <w:p>
            <w:pPr>
              <w:jc w:val="center"/>
              <w:rPr>
                <w:rFonts w:ascii="宋体" w:hAnsi="宋体" w:cs="宋体"/>
                <w:szCs w:val="21"/>
              </w:rPr>
            </w:pPr>
            <w:r>
              <w:rPr>
                <w:rFonts w:hint="eastAsia" w:ascii="宋体" w:hAnsi="宋体" w:cs="宋体"/>
                <w:szCs w:val="21"/>
              </w:rPr>
              <w:t>授权委托书</w:t>
            </w:r>
          </w:p>
        </w:tc>
        <w:tc>
          <w:tcPr>
            <w:tcW w:w="2683" w:type="dxa"/>
          </w:tcPr>
          <w:p>
            <w:pPr>
              <w:jc w:val="center"/>
              <w:rPr>
                <w:rFonts w:ascii="宋体" w:hAnsi="宋体" w:cs="宋体"/>
                <w:szCs w:val="21"/>
              </w:rPr>
            </w:pPr>
            <w:r>
              <w:rPr>
                <w:rFonts w:hint="eastAsia" w:ascii="宋体" w:hAnsi="宋体" w:cs="宋体"/>
                <w:szCs w:val="21"/>
              </w:rPr>
              <w:t>按格式要求填写、签章</w:t>
            </w:r>
          </w:p>
        </w:tc>
        <w:tc>
          <w:tcPr>
            <w:tcW w:w="2487" w:type="dxa"/>
          </w:tcPr>
          <w:p>
            <w:pPr>
              <w:jc w:val="center"/>
              <w:rPr>
                <w:rFonts w:ascii="宋体" w:hAnsi="宋体" w:cs="宋体"/>
                <w:szCs w:val="21"/>
              </w:rPr>
            </w:pPr>
            <w:r>
              <w:rPr>
                <w:rFonts w:hint="eastAsia" w:ascii="宋体" w:hAnsi="宋体" w:cs="宋体"/>
                <w:szCs w:val="21"/>
              </w:rPr>
              <w:t>由法定代表人签署并加盖公章</w:t>
            </w:r>
          </w:p>
        </w:tc>
        <w:tc>
          <w:tcPr>
            <w:tcW w:w="2302" w:type="dxa"/>
          </w:tcPr>
          <w:p>
            <w:pPr>
              <w:jc w:val="center"/>
              <w:rPr>
                <w:rFonts w:ascii="宋体" w:hAnsi="宋体" w:cs="宋体"/>
                <w:szCs w:val="21"/>
              </w:rPr>
            </w:pPr>
            <w:r>
              <w:rPr>
                <w:rFonts w:hint="eastAsia" w:ascii="宋体" w:hAnsi="宋体" w:cs="宋体"/>
                <w:szCs w:val="21"/>
              </w:rPr>
              <w:t>必须原件装订在标书内。</w:t>
            </w:r>
          </w:p>
        </w:tc>
      </w:tr>
    </w:tbl>
    <w:p>
      <w:pPr>
        <w:spacing w:line="360" w:lineRule="auto"/>
        <w:ind w:firstLine="482" w:firstLineChars="200"/>
        <w:rPr>
          <w:rFonts w:ascii="宋体" w:hAnsi="宋体"/>
          <w:b/>
          <w:sz w:val="24"/>
        </w:rPr>
      </w:pPr>
      <w:bookmarkStart w:id="9" w:name="_Toc513623392"/>
      <w:bookmarkStart w:id="10" w:name="_Toc23778"/>
      <w:bookmarkStart w:id="11" w:name="_Toc23811"/>
      <w:bookmarkStart w:id="12" w:name="_Toc17631"/>
      <w:r>
        <w:rPr>
          <w:rStyle w:val="21"/>
          <w:rFonts w:hint="eastAsia" w:ascii="宋体" w:hAnsi="宋体"/>
          <w:sz w:val="24"/>
        </w:rPr>
        <w:t xml:space="preserve">17.1 </w:t>
      </w:r>
      <w:r>
        <w:rPr>
          <w:rFonts w:hint="eastAsia" w:ascii="宋体" w:hAnsi="宋体"/>
          <w:b/>
          <w:sz w:val="24"/>
        </w:rPr>
        <w:t>符合性评审内容（原件备查）</w:t>
      </w:r>
      <w:bookmarkEnd w:id="9"/>
      <w:bookmarkEnd w:id="10"/>
      <w:bookmarkEnd w:id="11"/>
      <w:bookmarkEnd w:id="12"/>
    </w:p>
    <w:p>
      <w:pPr>
        <w:tabs>
          <w:tab w:val="left" w:pos="945"/>
        </w:tabs>
        <w:snapToGrid w:val="0"/>
        <w:spacing w:line="360" w:lineRule="auto"/>
        <w:rPr>
          <w:rFonts w:ascii="宋体" w:hAnsi="宋体" w:cs="宋体"/>
          <w:sz w:val="24"/>
          <w:lang w:val="zh-CN"/>
        </w:rPr>
      </w:pPr>
      <w:r>
        <w:rPr>
          <w:rFonts w:hint="eastAsia" w:ascii="宋体" w:hAnsi="宋体" w:cs="宋体"/>
          <w:sz w:val="24"/>
        </w:rPr>
        <w:t xml:space="preserve">注: </w:t>
      </w:r>
      <w:r>
        <w:rPr>
          <w:rFonts w:hint="eastAsia" w:ascii="宋体" w:hAnsi="宋体" w:cs="宋体"/>
          <w:sz w:val="24"/>
          <w:lang w:val="zh-CN"/>
        </w:rPr>
        <w:t>1.以上条款中有一条不符合即为不合格。</w:t>
      </w:r>
    </w:p>
    <w:p>
      <w:pPr>
        <w:tabs>
          <w:tab w:val="left" w:pos="945"/>
        </w:tabs>
        <w:snapToGrid w:val="0"/>
        <w:spacing w:line="360" w:lineRule="auto"/>
        <w:ind w:firstLine="480" w:firstLineChars="200"/>
        <w:rPr>
          <w:rFonts w:ascii="宋体" w:hAnsi="宋体" w:cs="宋体"/>
          <w:sz w:val="24"/>
          <w:lang w:val="zh-CN"/>
        </w:rPr>
      </w:pPr>
      <w:r>
        <w:rPr>
          <w:rFonts w:hint="eastAsia" w:ascii="宋体" w:hAnsi="宋体" w:cs="宋体"/>
          <w:sz w:val="24"/>
          <w:lang w:val="zh-CN"/>
        </w:rPr>
        <w:t>2.经公证部门公证的复印件和原件具有同等效力。</w:t>
      </w:r>
    </w:p>
    <w:p>
      <w:pPr>
        <w:tabs>
          <w:tab w:val="left" w:pos="945"/>
        </w:tabs>
        <w:snapToGrid w:val="0"/>
        <w:spacing w:line="360" w:lineRule="auto"/>
        <w:ind w:firstLine="480" w:firstLineChars="200"/>
        <w:rPr>
          <w:rFonts w:ascii="宋体" w:hAnsi="宋体" w:cs="宋体"/>
          <w:sz w:val="24"/>
          <w:lang w:val="zh-CN"/>
        </w:rPr>
      </w:pPr>
      <w:r>
        <w:rPr>
          <w:rFonts w:hint="eastAsia" w:ascii="宋体" w:hAnsi="宋体" w:cs="宋体"/>
          <w:sz w:val="24"/>
          <w:lang w:val="zh-CN"/>
        </w:rPr>
        <w:t>3.以上评审内容均应在标书中体现。</w:t>
      </w:r>
    </w:p>
    <w:p>
      <w:pPr>
        <w:tabs>
          <w:tab w:val="left" w:pos="945"/>
        </w:tabs>
        <w:snapToGrid w:val="0"/>
        <w:spacing w:line="360" w:lineRule="auto"/>
        <w:ind w:firstLine="480" w:firstLineChars="200"/>
        <w:rPr>
          <w:rFonts w:ascii="宋体" w:hAnsi="宋体" w:cs="宋体"/>
          <w:sz w:val="24"/>
          <w:lang w:val="zh-CN"/>
        </w:rPr>
      </w:pPr>
      <w:r>
        <w:rPr>
          <w:rFonts w:hint="eastAsia" w:ascii="宋体" w:hAnsi="宋体" w:cs="宋体"/>
          <w:sz w:val="24"/>
        </w:rPr>
        <w:t>4.</w:t>
      </w:r>
      <w:r>
        <w:rPr>
          <w:rFonts w:hint="eastAsia" w:ascii="宋体" w:hAnsi="宋体" w:cs="宋体"/>
          <w:sz w:val="24"/>
          <w:lang w:val="zh-CN"/>
        </w:rPr>
        <w:t>以上所有证书原件与投标文件同一时间递交，超过投标规定截止时间外提交或补交的证书原件一律不再接收并评审。</w:t>
      </w:r>
    </w:p>
    <w:p>
      <w:pPr>
        <w:tabs>
          <w:tab w:val="left" w:pos="945"/>
        </w:tabs>
        <w:snapToGrid w:val="0"/>
        <w:spacing w:line="360" w:lineRule="auto"/>
        <w:ind w:firstLine="480" w:firstLineChars="200"/>
        <w:rPr>
          <w:rFonts w:ascii="宋体" w:hAnsi="宋体" w:cs="宋体"/>
          <w:b/>
          <w:bCs/>
          <w:sz w:val="24"/>
        </w:rPr>
      </w:pPr>
      <w:r>
        <w:rPr>
          <w:rFonts w:hint="eastAsia" w:ascii="宋体" w:hAnsi="宋体" w:cs="宋体"/>
          <w:sz w:val="24"/>
        </w:rPr>
        <w:t>5.以上评审有任何一项未通过的，资格审查不合格，投标文件按无效标处理。</w:t>
      </w:r>
    </w:p>
    <w:p>
      <w:pPr>
        <w:tabs>
          <w:tab w:val="left" w:pos="945"/>
        </w:tabs>
        <w:snapToGrid w:val="0"/>
        <w:spacing w:line="360" w:lineRule="auto"/>
        <w:ind w:firstLine="480" w:firstLineChars="200"/>
        <w:rPr>
          <w:rStyle w:val="21"/>
          <w:rFonts w:ascii="宋体" w:hAnsi="宋体"/>
          <w:sz w:val="24"/>
        </w:rPr>
      </w:pPr>
      <w:r>
        <w:rPr>
          <w:rFonts w:hint="eastAsia" w:ascii="宋体" w:hAnsi="宋体" w:cs="宋体"/>
          <w:sz w:val="24"/>
        </w:rPr>
        <w:t>6</w:t>
      </w:r>
      <w:r>
        <w:rPr>
          <w:rFonts w:hint="eastAsia" w:ascii="宋体" w:hAnsi="宋体" w:cs="宋体"/>
          <w:sz w:val="24"/>
          <w:lang w:val="zh-CN"/>
        </w:rPr>
        <w:t>.投标人原件如有虚假，一经查实，不予退还其投标保证金，并列入不良行为予以记录，是中标候选人的，取消其中标候选人资格。</w:t>
      </w:r>
    </w:p>
    <w:p>
      <w:pPr>
        <w:spacing w:line="520" w:lineRule="exact"/>
        <w:rPr>
          <w:rFonts w:ascii="宋体" w:hAnsi="宋体" w:cs="宋体"/>
          <w:b/>
          <w:sz w:val="24"/>
        </w:rPr>
      </w:pPr>
      <w:r>
        <w:rPr>
          <w:rStyle w:val="21"/>
          <w:rFonts w:hint="eastAsia" w:ascii="宋体" w:hAnsi="宋体"/>
          <w:sz w:val="24"/>
        </w:rPr>
        <w:t>17.2</w:t>
      </w:r>
      <w:r>
        <w:rPr>
          <w:rFonts w:hint="eastAsia" w:ascii="宋体" w:hAnsi="宋体" w:cs="宋体"/>
          <w:b/>
          <w:sz w:val="24"/>
        </w:rPr>
        <w:t>评分标准</w:t>
      </w:r>
    </w:p>
    <w:p>
      <w:pPr>
        <w:spacing w:line="360" w:lineRule="auto"/>
        <w:ind w:right="25" w:rightChars="12"/>
        <w:rPr>
          <w:rFonts w:ascii="宋体" w:hAnsi="宋体"/>
          <w:sz w:val="28"/>
          <w:szCs w:val="28"/>
        </w:rPr>
      </w:pPr>
      <w:r>
        <w:rPr>
          <w:rFonts w:hint="eastAsia" w:ascii="宋体" w:hAnsi="宋体"/>
          <w:sz w:val="28"/>
          <w:szCs w:val="28"/>
        </w:rPr>
        <w:t>综合评标法</w:t>
      </w:r>
    </w:p>
    <w:p>
      <w:pPr>
        <w:spacing w:line="360" w:lineRule="auto"/>
        <w:ind w:right="25" w:rightChars="12"/>
        <w:rPr>
          <w:rFonts w:ascii="宋体" w:hAnsi="宋体"/>
          <w:sz w:val="28"/>
          <w:szCs w:val="28"/>
        </w:rPr>
      </w:pPr>
      <w:r>
        <w:rPr>
          <w:rFonts w:hint="eastAsia" w:ascii="宋体" w:hAnsi="宋体"/>
          <w:sz w:val="28"/>
          <w:szCs w:val="28"/>
        </w:rPr>
        <w:t>（满分100分，计算过程和结果四舍五入，精确到小数点后两位。）</w:t>
      </w:r>
    </w:p>
    <w:p>
      <w:pPr>
        <w:spacing w:line="520" w:lineRule="exact"/>
        <w:rPr>
          <w:rFonts w:ascii="宋体" w:hAnsi="宋体" w:cs="宋体"/>
          <w:b/>
          <w:sz w:val="24"/>
        </w:rPr>
      </w:pPr>
    </w:p>
    <w:tbl>
      <w:tblPr>
        <w:tblStyle w:val="25"/>
        <w:tblW w:w="10442"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47"/>
        <w:gridCol w:w="1341"/>
        <w:gridCol w:w="4374"/>
        <w:gridCol w:w="1934"/>
        <w:gridCol w:w="94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1" w:hRule="atLeast"/>
          <w:jc w:val="center"/>
        </w:trPr>
        <w:tc>
          <w:tcPr>
            <w:tcW w:w="1847" w:type="dxa"/>
            <w:vAlign w:val="center"/>
          </w:tcPr>
          <w:p>
            <w:pPr>
              <w:adjustRightInd w:val="0"/>
              <w:snapToGrid w:val="0"/>
              <w:spacing w:before="100" w:beforeAutospacing="1" w:after="100" w:afterAutospacing="1"/>
              <w:jc w:val="center"/>
              <w:rPr>
                <w:rFonts w:ascii="宋体" w:hAnsi="宋体"/>
                <w:b/>
                <w:szCs w:val="21"/>
              </w:rPr>
            </w:pPr>
            <w:r>
              <w:rPr>
                <w:rFonts w:hint="eastAsia" w:ascii="宋体" w:hAnsi="宋体"/>
                <w:b/>
                <w:szCs w:val="21"/>
              </w:rPr>
              <w:t>评分标准</w:t>
            </w:r>
          </w:p>
        </w:tc>
        <w:tc>
          <w:tcPr>
            <w:tcW w:w="5715" w:type="dxa"/>
            <w:gridSpan w:val="2"/>
            <w:vAlign w:val="center"/>
          </w:tcPr>
          <w:p>
            <w:pPr>
              <w:adjustRightInd w:val="0"/>
              <w:snapToGrid w:val="0"/>
              <w:spacing w:before="100" w:beforeAutospacing="1" w:after="100" w:afterAutospacing="1"/>
              <w:jc w:val="center"/>
              <w:rPr>
                <w:rFonts w:ascii="宋体" w:hAnsi="宋体"/>
                <w:b/>
                <w:szCs w:val="21"/>
              </w:rPr>
            </w:pPr>
            <w:r>
              <w:rPr>
                <w:rFonts w:hint="eastAsia" w:ascii="宋体" w:hAnsi="宋体"/>
                <w:b/>
                <w:szCs w:val="21"/>
              </w:rPr>
              <w:t>评分因素</w:t>
            </w:r>
          </w:p>
        </w:tc>
        <w:tc>
          <w:tcPr>
            <w:tcW w:w="1934" w:type="dxa"/>
            <w:vAlign w:val="center"/>
          </w:tcPr>
          <w:p>
            <w:pPr>
              <w:adjustRightInd w:val="0"/>
              <w:snapToGrid w:val="0"/>
              <w:spacing w:before="100" w:beforeAutospacing="1" w:after="100" w:afterAutospacing="1"/>
              <w:jc w:val="center"/>
              <w:rPr>
                <w:rFonts w:ascii="宋体" w:hAnsi="宋体"/>
                <w:b/>
                <w:szCs w:val="21"/>
              </w:rPr>
            </w:pPr>
            <w:r>
              <w:rPr>
                <w:rFonts w:hint="eastAsia" w:ascii="宋体" w:hAnsi="宋体"/>
                <w:b/>
                <w:szCs w:val="21"/>
              </w:rPr>
              <w:t>所需提供材料</w:t>
            </w:r>
          </w:p>
        </w:tc>
        <w:tc>
          <w:tcPr>
            <w:tcW w:w="946" w:type="dxa"/>
            <w:vAlign w:val="center"/>
          </w:tcPr>
          <w:p>
            <w:pPr>
              <w:adjustRightInd w:val="0"/>
              <w:snapToGrid w:val="0"/>
              <w:spacing w:before="100" w:beforeAutospacing="1" w:after="100" w:afterAutospacing="1"/>
              <w:jc w:val="center"/>
              <w:rPr>
                <w:rFonts w:ascii="宋体" w:hAnsi="宋体"/>
                <w:b/>
                <w:szCs w:val="21"/>
              </w:rPr>
            </w:pPr>
            <w:r>
              <w:rPr>
                <w:rFonts w:hint="eastAsia" w:ascii="宋体" w:hAnsi="宋体"/>
                <w:b/>
                <w:szCs w:val="21"/>
              </w:rPr>
              <w:t>分值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1" w:hRule="atLeast"/>
          <w:jc w:val="center"/>
        </w:trPr>
        <w:tc>
          <w:tcPr>
            <w:tcW w:w="1847" w:type="dxa"/>
            <w:vMerge w:val="restart"/>
            <w:vAlign w:val="center"/>
          </w:tcPr>
          <w:p>
            <w:pPr>
              <w:spacing w:line="300" w:lineRule="exact"/>
              <w:jc w:val="center"/>
              <w:rPr>
                <w:rFonts w:ascii="宋体" w:hAnsi="宋体"/>
                <w:spacing w:val="-12"/>
                <w:szCs w:val="21"/>
              </w:rPr>
            </w:pPr>
            <w:r>
              <w:rPr>
                <w:rFonts w:hint="eastAsia" w:ascii="宋体" w:hAnsi="宋体"/>
                <w:spacing w:val="-12"/>
                <w:szCs w:val="21"/>
              </w:rPr>
              <w:t>技术部分标准</w:t>
            </w:r>
          </w:p>
          <w:p>
            <w:pPr>
              <w:spacing w:line="300" w:lineRule="exact"/>
              <w:jc w:val="center"/>
              <w:rPr>
                <w:rFonts w:ascii="宋体" w:hAnsi="宋体"/>
                <w:spacing w:val="-12"/>
                <w:szCs w:val="21"/>
              </w:rPr>
            </w:pPr>
          </w:p>
        </w:tc>
        <w:tc>
          <w:tcPr>
            <w:tcW w:w="1341" w:type="dxa"/>
            <w:vAlign w:val="center"/>
          </w:tcPr>
          <w:p>
            <w:pPr>
              <w:spacing w:line="300" w:lineRule="exact"/>
              <w:jc w:val="center"/>
              <w:rPr>
                <w:rFonts w:ascii="宋体" w:hAnsi="宋体"/>
                <w:bCs/>
                <w:szCs w:val="21"/>
              </w:rPr>
            </w:pPr>
            <w:r>
              <w:rPr>
                <w:rFonts w:hint="eastAsia" w:ascii="宋体" w:hAnsi="宋体"/>
                <w:bCs/>
                <w:szCs w:val="21"/>
              </w:rPr>
              <w:t>技术方案</w:t>
            </w:r>
          </w:p>
        </w:tc>
        <w:tc>
          <w:tcPr>
            <w:tcW w:w="4374" w:type="dxa"/>
            <w:vAlign w:val="center"/>
          </w:tcPr>
          <w:p>
            <w:pPr>
              <w:snapToGrid w:val="0"/>
              <w:spacing w:line="288" w:lineRule="auto"/>
              <w:rPr>
                <w:rFonts w:ascii="宋体" w:hAnsi="宋体"/>
                <w:szCs w:val="21"/>
              </w:rPr>
            </w:pPr>
            <w:r>
              <w:rPr>
                <w:rFonts w:hint="eastAsia" w:ascii="宋体" w:hAnsi="宋体"/>
                <w:szCs w:val="21"/>
              </w:rPr>
              <w:t>技术方案主要内容要求：保证项目实施的技术力量和实施人员安排，保证供货质量的措施，保证供货期的方案和措施，安装、调试、验收的方案和措施，对本项目有效的改进措施和合理化建议。综合比较所有投标人技术方案的先进性、合理性、全面性，优秀的得1</w:t>
            </w:r>
            <w:r>
              <w:rPr>
                <w:rFonts w:ascii="宋体" w:hAnsi="宋体"/>
                <w:szCs w:val="21"/>
              </w:rPr>
              <w:t>5</w:t>
            </w:r>
            <w:r>
              <w:rPr>
                <w:rFonts w:hint="eastAsia" w:ascii="宋体" w:hAnsi="宋体"/>
                <w:szCs w:val="21"/>
              </w:rPr>
              <w:t>-</w:t>
            </w:r>
            <w:r>
              <w:rPr>
                <w:rFonts w:ascii="宋体" w:hAnsi="宋体"/>
                <w:szCs w:val="21"/>
              </w:rPr>
              <w:t>10</w:t>
            </w:r>
            <w:r>
              <w:rPr>
                <w:rFonts w:hint="eastAsia" w:ascii="宋体" w:hAnsi="宋体"/>
                <w:szCs w:val="21"/>
              </w:rPr>
              <w:t>分；良好的得</w:t>
            </w:r>
            <w:r>
              <w:rPr>
                <w:rFonts w:ascii="宋体" w:hAnsi="宋体"/>
                <w:szCs w:val="21"/>
              </w:rPr>
              <w:t>9</w:t>
            </w:r>
            <w:r>
              <w:rPr>
                <w:rFonts w:hint="eastAsia" w:ascii="宋体" w:hAnsi="宋体"/>
                <w:szCs w:val="21"/>
              </w:rPr>
              <w:t>-</w:t>
            </w:r>
            <w:r>
              <w:rPr>
                <w:rFonts w:ascii="宋体" w:hAnsi="宋体"/>
                <w:szCs w:val="21"/>
              </w:rPr>
              <w:t>5</w:t>
            </w:r>
            <w:r>
              <w:rPr>
                <w:rFonts w:hint="eastAsia" w:ascii="宋体" w:hAnsi="宋体"/>
                <w:szCs w:val="21"/>
              </w:rPr>
              <w:t>分；一般或有欠缺的得4-0分。</w:t>
            </w:r>
          </w:p>
        </w:tc>
        <w:tc>
          <w:tcPr>
            <w:tcW w:w="1934" w:type="dxa"/>
            <w:vAlign w:val="center"/>
          </w:tcPr>
          <w:p>
            <w:pPr>
              <w:spacing w:line="300" w:lineRule="exact"/>
              <w:jc w:val="center"/>
              <w:rPr>
                <w:rFonts w:ascii="宋体" w:hAnsi="宋体"/>
                <w:szCs w:val="21"/>
              </w:rPr>
            </w:pPr>
            <w:r>
              <w:rPr>
                <w:rFonts w:hint="eastAsia" w:ascii="宋体" w:hAnsi="宋体"/>
                <w:szCs w:val="21"/>
              </w:rPr>
              <w:t>提供技术方案装订入投标文件，未提供技术方案的不得分。</w:t>
            </w:r>
          </w:p>
        </w:tc>
        <w:tc>
          <w:tcPr>
            <w:tcW w:w="946" w:type="dxa"/>
            <w:vAlign w:val="center"/>
          </w:tcPr>
          <w:p>
            <w:pPr>
              <w:spacing w:line="300" w:lineRule="exact"/>
              <w:jc w:val="center"/>
              <w:rPr>
                <w:rFonts w:ascii="宋体" w:hAnsi="宋体"/>
                <w:szCs w:val="21"/>
              </w:rPr>
            </w:pPr>
            <w:r>
              <w:rPr>
                <w:rFonts w:hint="eastAsia" w:ascii="宋体" w:hAnsi="宋体"/>
                <w:szCs w:val="21"/>
              </w:rPr>
              <w:t>1</w:t>
            </w:r>
            <w:r>
              <w:rPr>
                <w:rFonts w:ascii="宋体" w:hAnsi="宋体"/>
                <w:szCs w:val="21"/>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1" w:hRule="atLeast"/>
          <w:jc w:val="center"/>
        </w:trPr>
        <w:tc>
          <w:tcPr>
            <w:tcW w:w="1847" w:type="dxa"/>
            <w:vMerge w:val="continue"/>
            <w:vAlign w:val="center"/>
          </w:tcPr>
          <w:p>
            <w:pPr>
              <w:spacing w:line="300" w:lineRule="exact"/>
              <w:jc w:val="center"/>
              <w:rPr>
                <w:rFonts w:ascii="宋体" w:hAnsi="宋体"/>
                <w:spacing w:val="-12"/>
                <w:szCs w:val="21"/>
              </w:rPr>
            </w:pPr>
          </w:p>
        </w:tc>
        <w:tc>
          <w:tcPr>
            <w:tcW w:w="1341" w:type="dxa"/>
            <w:vAlign w:val="center"/>
          </w:tcPr>
          <w:p>
            <w:pPr>
              <w:spacing w:line="276" w:lineRule="auto"/>
              <w:jc w:val="center"/>
              <w:rPr>
                <w:rFonts w:ascii="宋体" w:hAnsi="宋体"/>
                <w:szCs w:val="21"/>
              </w:rPr>
            </w:pPr>
            <w:r>
              <w:rPr>
                <w:rFonts w:hint="eastAsia" w:ascii="宋体" w:hAnsi="宋体"/>
                <w:szCs w:val="21"/>
              </w:rPr>
              <w:t>技术参数响应情况</w:t>
            </w:r>
          </w:p>
        </w:tc>
        <w:tc>
          <w:tcPr>
            <w:tcW w:w="4374" w:type="dxa"/>
            <w:vAlign w:val="center"/>
          </w:tcPr>
          <w:p>
            <w:pPr>
              <w:spacing w:line="276" w:lineRule="auto"/>
              <w:rPr>
                <w:rFonts w:ascii="宋体" w:hAnsi="宋体"/>
                <w:szCs w:val="21"/>
              </w:rPr>
            </w:pPr>
            <w:r>
              <w:rPr>
                <w:rFonts w:hint="eastAsia" w:ascii="宋体" w:hAnsi="宋体"/>
                <w:szCs w:val="21"/>
              </w:rPr>
              <w:t>根据需求表中技术参数响应情况进行评分：</w:t>
            </w:r>
          </w:p>
          <w:p>
            <w:pPr>
              <w:spacing w:line="276" w:lineRule="auto"/>
              <w:rPr>
                <w:rFonts w:ascii="宋体" w:hAnsi="宋体"/>
                <w:szCs w:val="21"/>
              </w:rPr>
            </w:pPr>
            <w:r>
              <w:rPr>
                <w:rFonts w:ascii="宋体" w:hAnsi="宋体"/>
                <w:szCs w:val="21"/>
              </w:rPr>
              <w:t>1、完全满足招标文件参数要求的得</w:t>
            </w:r>
            <w:r>
              <w:rPr>
                <w:rFonts w:hint="eastAsia" w:ascii="宋体" w:hAnsi="宋体"/>
                <w:szCs w:val="21"/>
              </w:rPr>
              <w:t>24</w:t>
            </w:r>
            <w:r>
              <w:rPr>
                <w:rFonts w:ascii="宋体" w:hAnsi="宋体"/>
                <w:szCs w:val="21"/>
              </w:rPr>
              <w:t>分；</w:t>
            </w:r>
          </w:p>
          <w:p>
            <w:pPr>
              <w:spacing w:line="276" w:lineRule="auto"/>
              <w:rPr>
                <w:rFonts w:ascii="宋体" w:hAnsi="宋体"/>
                <w:szCs w:val="21"/>
              </w:rPr>
            </w:pPr>
            <w:r>
              <w:rPr>
                <w:rFonts w:ascii="宋体" w:hAnsi="宋体"/>
                <w:szCs w:val="21"/>
              </w:rPr>
              <w:t>2、加“★”参数每有一项负偏离扣</w:t>
            </w:r>
            <w:r>
              <w:rPr>
                <w:rFonts w:hint="eastAsia" w:ascii="宋体" w:hAnsi="宋体"/>
                <w:szCs w:val="21"/>
              </w:rPr>
              <w:t>3</w:t>
            </w:r>
            <w:r>
              <w:rPr>
                <w:rFonts w:ascii="宋体" w:hAnsi="宋体"/>
                <w:szCs w:val="21"/>
              </w:rPr>
              <w:t>分，扣完为止；</w:t>
            </w:r>
          </w:p>
          <w:p>
            <w:pPr>
              <w:snapToGrid w:val="0"/>
              <w:spacing w:line="320" w:lineRule="exact"/>
              <w:rPr>
                <w:rFonts w:ascii="宋体" w:hAnsi="宋体" w:cs="宋体"/>
                <w:szCs w:val="21"/>
              </w:rPr>
            </w:pPr>
            <w:r>
              <w:rPr>
                <w:rFonts w:ascii="宋体" w:hAnsi="宋体"/>
                <w:szCs w:val="21"/>
              </w:rPr>
              <w:t>3、非“★”参数每有一项负偏离扣</w:t>
            </w:r>
            <w:r>
              <w:rPr>
                <w:rFonts w:hint="eastAsia" w:ascii="宋体" w:hAnsi="宋体"/>
                <w:szCs w:val="21"/>
              </w:rPr>
              <w:t>2</w:t>
            </w:r>
            <w:r>
              <w:rPr>
                <w:rFonts w:ascii="宋体" w:hAnsi="宋体"/>
                <w:szCs w:val="21"/>
              </w:rPr>
              <w:t>分，扣完为止。</w:t>
            </w:r>
          </w:p>
        </w:tc>
        <w:tc>
          <w:tcPr>
            <w:tcW w:w="1934" w:type="dxa"/>
            <w:vAlign w:val="center"/>
          </w:tcPr>
          <w:p>
            <w:pPr>
              <w:spacing w:line="300" w:lineRule="exact"/>
              <w:jc w:val="center"/>
              <w:rPr>
                <w:rFonts w:ascii="宋体" w:hAnsi="宋体"/>
                <w:szCs w:val="21"/>
              </w:rPr>
            </w:pPr>
            <w:r>
              <w:rPr>
                <w:rFonts w:hint="eastAsia" w:ascii="宋体" w:hAnsi="宋体"/>
                <w:szCs w:val="21"/>
              </w:rPr>
              <w:t>提供技术参数响应表装订入投标文件</w:t>
            </w:r>
          </w:p>
        </w:tc>
        <w:tc>
          <w:tcPr>
            <w:tcW w:w="946" w:type="dxa"/>
            <w:vAlign w:val="center"/>
          </w:tcPr>
          <w:p>
            <w:pPr>
              <w:spacing w:line="300" w:lineRule="exact"/>
              <w:jc w:val="center"/>
              <w:rPr>
                <w:rFonts w:ascii="宋体" w:hAnsi="宋体"/>
                <w:szCs w:val="21"/>
              </w:rPr>
            </w:pPr>
            <w:r>
              <w:rPr>
                <w:rFonts w:hint="eastAsia" w:ascii="宋体" w:hAnsi="宋体"/>
                <w:szCs w:val="21"/>
              </w:rPr>
              <w:t>24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1" w:hRule="atLeast"/>
          <w:jc w:val="center"/>
        </w:trPr>
        <w:tc>
          <w:tcPr>
            <w:tcW w:w="1847" w:type="dxa"/>
            <w:vMerge w:val="continue"/>
            <w:vAlign w:val="center"/>
          </w:tcPr>
          <w:p>
            <w:pPr>
              <w:spacing w:line="300" w:lineRule="exact"/>
              <w:jc w:val="center"/>
              <w:rPr>
                <w:rFonts w:ascii="宋体" w:hAnsi="宋体"/>
                <w:spacing w:val="-12"/>
                <w:szCs w:val="21"/>
              </w:rPr>
            </w:pPr>
          </w:p>
        </w:tc>
        <w:tc>
          <w:tcPr>
            <w:tcW w:w="1341" w:type="dxa"/>
            <w:vAlign w:val="center"/>
          </w:tcPr>
          <w:p>
            <w:pPr>
              <w:spacing w:line="300" w:lineRule="exact"/>
              <w:jc w:val="center"/>
              <w:rPr>
                <w:rFonts w:ascii="宋体" w:hAnsi="宋体"/>
                <w:bCs/>
                <w:szCs w:val="21"/>
              </w:rPr>
            </w:pPr>
            <w:r>
              <w:rPr>
                <w:rFonts w:hint="eastAsia" w:ascii="宋体" w:hAnsi="宋体"/>
                <w:bCs/>
                <w:szCs w:val="21"/>
              </w:rPr>
              <w:t>售后服务优惠承诺</w:t>
            </w:r>
          </w:p>
        </w:tc>
        <w:tc>
          <w:tcPr>
            <w:tcW w:w="4374" w:type="dxa"/>
            <w:vAlign w:val="center"/>
          </w:tcPr>
          <w:p>
            <w:pPr>
              <w:snapToGrid w:val="0"/>
              <w:spacing w:line="320" w:lineRule="exact"/>
              <w:rPr>
                <w:rFonts w:ascii="宋体" w:hAnsi="宋体"/>
                <w:szCs w:val="21"/>
              </w:rPr>
            </w:pPr>
            <w:r>
              <w:rPr>
                <w:rFonts w:hint="eastAsia" w:ascii="宋体" w:hAnsi="宋体"/>
              </w:rPr>
              <w:t>综合比较所有投标人的售后服务承诺和培训计划，主要内容为在项目需求中售后服务要求的基础上进行更好响应的，优的得9-12分；良好得5-8分，一般得0-4分。</w:t>
            </w:r>
          </w:p>
        </w:tc>
        <w:tc>
          <w:tcPr>
            <w:tcW w:w="1934" w:type="dxa"/>
            <w:vAlign w:val="center"/>
          </w:tcPr>
          <w:p>
            <w:pPr>
              <w:spacing w:line="300" w:lineRule="exact"/>
              <w:jc w:val="center"/>
              <w:rPr>
                <w:rFonts w:ascii="宋体" w:hAnsi="宋体"/>
                <w:szCs w:val="21"/>
              </w:rPr>
            </w:pPr>
            <w:r>
              <w:rPr>
                <w:rFonts w:hint="eastAsia" w:ascii="宋体" w:hAnsi="宋体"/>
                <w:szCs w:val="21"/>
              </w:rPr>
              <w:t>提供售后服务方案装订入投标文件，未提供售后服务方案的不得分。</w:t>
            </w:r>
          </w:p>
        </w:tc>
        <w:tc>
          <w:tcPr>
            <w:tcW w:w="946" w:type="dxa"/>
            <w:vAlign w:val="center"/>
          </w:tcPr>
          <w:p>
            <w:pPr>
              <w:spacing w:line="300" w:lineRule="exact"/>
              <w:jc w:val="center"/>
              <w:rPr>
                <w:rFonts w:ascii="宋体" w:hAnsi="宋体"/>
                <w:szCs w:val="21"/>
              </w:rPr>
            </w:pPr>
            <w:r>
              <w:rPr>
                <w:rFonts w:hint="eastAsia" w:ascii="宋体" w:hAnsi="宋体"/>
                <w:szCs w:val="21"/>
              </w:rPr>
              <w:t>12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1" w:hRule="atLeast"/>
          <w:jc w:val="center"/>
        </w:trPr>
        <w:tc>
          <w:tcPr>
            <w:tcW w:w="1847" w:type="dxa"/>
            <w:vMerge w:val="continue"/>
            <w:vAlign w:val="center"/>
          </w:tcPr>
          <w:p>
            <w:pPr>
              <w:spacing w:line="300" w:lineRule="exact"/>
              <w:jc w:val="center"/>
              <w:rPr>
                <w:rFonts w:ascii="宋体" w:hAnsi="宋体"/>
                <w:spacing w:val="-12"/>
                <w:szCs w:val="21"/>
              </w:rPr>
            </w:pPr>
          </w:p>
        </w:tc>
        <w:tc>
          <w:tcPr>
            <w:tcW w:w="1341" w:type="dxa"/>
            <w:vAlign w:val="center"/>
          </w:tcPr>
          <w:p>
            <w:pPr>
              <w:spacing w:line="300" w:lineRule="exact"/>
              <w:jc w:val="center"/>
              <w:rPr>
                <w:rFonts w:ascii="宋体" w:hAnsi="宋体"/>
                <w:bCs/>
                <w:spacing w:val="-12"/>
                <w:szCs w:val="21"/>
              </w:rPr>
            </w:pPr>
            <w:r>
              <w:rPr>
                <w:rFonts w:hint="eastAsia" w:ascii="宋体" w:hAnsi="宋体"/>
                <w:szCs w:val="21"/>
              </w:rPr>
              <w:t>检测报告</w:t>
            </w:r>
          </w:p>
        </w:tc>
        <w:tc>
          <w:tcPr>
            <w:tcW w:w="4374" w:type="dxa"/>
            <w:vAlign w:val="center"/>
          </w:tcPr>
          <w:p>
            <w:pPr>
              <w:snapToGrid w:val="0"/>
              <w:spacing w:line="320" w:lineRule="exact"/>
              <w:rPr>
                <w:rFonts w:ascii="宋体" w:hAnsi="宋体"/>
                <w:szCs w:val="21"/>
              </w:rPr>
            </w:pPr>
            <w:r>
              <w:rPr>
                <w:rFonts w:hint="eastAsia" w:ascii="宋体" w:hAnsi="宋体"/>
                <w:szCs w:val="21"/>
              </w:rPr>
              <w:t>提供省级或省级以上软件评测中心出具的检测报告复印件，</w:t>
            </w:r>
            <w:r>
              <w:rPr>
                <w:rFonts w:hint="eastAsia" w:ascii="宋体" w:hAnsi="宋体" w:cs="宋体"/>
                <w:szCs w:val="21"/>
              </w:rPr>
              <w:t>提供得3分，不提供得0分。</w:t>
            </w:r>
          </w:p>
        </w:tc>
        <w:tc>
          <w:tcPr>
            <w:tcW w:w="1934" w:type="dxa"/>
            <w:vAlign w:val="center"/>
          </w:tcPr>
          <w:p>
            <w:pPr>
              <w:autoSpaceDE w:val="0"/>
              <w:autoSpaceDN w:val="0"/>
              <w:adjustRightInd w:val="0"/>
              <w:spacing w:line="300" w:lineRule="exact"/>
              <w:jc w:val="center"/>
              <w:rPr>
                <w:rFonts w:ascii="宋体" w:hAnsi="宋体"/>
                <w:szCs w:val="21"/>
              </w:rPr>
            </w:pPr>
            <w:r>
              <w:rPr>
                <w:rFonts w:hint="eastAsia" w:ascii="宋体" w:hAnsi="宋体"/>
                <w:szCs w:val="21"/>
              </w:rPr>
              <w:t>提供检测报告复印件装订入投标文件</w:t>
            </w:r>
          </w:p>
        </w:tc>
        <w:tc>
          <w:tcPr>
            <w:tcW w:w="946" w:type="dxa"/>
            <w:vAlign w:val="center"/>
          </w:tcPr>
          <w:p>
            <w:pPr>
              <w:autoSpaceDE w:val="0"/>
              <w:autoSpaceDN w:val="0"/>
              <w:adjustRightInd w:val="0"/>
              <w:spacing w:line="300" w:lineRule="exact"/>
              <w:jc w:val="center"/>
              <w:rPr>
                <w:rFonts w:ascii="宋体" w:hAnsi="宋体"/>
                <w:szCs w:val="21"/>
              </w:rPr>
            </w:pPr>
            <w:r>
              <w:rPr>
                <w:rFonts w:hint="eastAsia" w:ascii="宋体" w:hAnsi="宋体"/>
                <w:szCs w:val="21"/>
              </w:rPr>
              <w:t>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15" w:hRule="atLeast"/>
          <w:jc w:val="center"/>
        </w:trPr>
        <w:tc>
          <w:tcPr>
            <w:tcW w:w="1847" w:type="dxa"/>
            <w:vMerge w:val="continue"/>
            <w:vAlign w:val="center"/>
          </w:tcPr>
          <w:p>
            <w:pPr>
              <w:autoSpaceDE w:val="0"/>
              <w:autoSpaceDN w:val="0"/>
              <w:adjustRightInd w:val="0"/>
              <w:spacing w:line="300" w:lineRule="exact"/>
              <w:rPr>
                <w:rFonts w:ascii="宋体" w:hAnsi="宋体"/>
                <w:spacing w:val="-12"/>
                <w:szCs w:val="21"/>
              </w:rPr>
            </w:pPr>
          </w:p>
        </w:tc>
        <w:tc>
          <w:tcPr>
            <w:tcW w:w="1341" w:type="dxa"/>
            <w:vAlign w:val="center"/>
          </w:tcPr>
          <w:p>
            <w:pPr>
              <w:spacing w:line="300" w:lineRule="exact"/>
              <w:jc w:val="center"/>
              <w:rPr>
                <w:rFonts w:ascii="宋体" w:hAnsi="宋体" w:cs="Arial"/>
                <w:bCs/>
                <w:szCs w:val="21"/>
              </w:rPr>
            </w:pPr>
            <w:r>
              <w:rPr>
                <w:rFonts w:hint="eastAsia" w:ascii="宋体" w:hAnsi="宋体"/>
                <w:bCs/>
                <w:szCs w:val="21"/>
              </w:rPr>
              <w:t>软件产品证书</w:t>
            </w:r>
          </w:p>
        </w:tc>
        <w:tc>
          <w:tcPr>
            <w:tcW w:w="4374" w:type="dxa"/>
            <w:vAlign w:val="center"/>
          </w:tcPr>
          <w:p>
            <w:pPr>
              <w:spacing w:line="300" w:lineRule="exact"/>
              <w:rPr>
                <w:rFonts w:ascii="宋体" w:hAnsi="宋体" w:cs="Arial"/>
                <w:szCs w:val="21"/>
              </w:rPr>
            </w:pPr>
            <w:r>
              <w:rPr>
                <w:rFonts w:hint="eastAsia" w:ascii="宋体" w:hAnsi="宋体"/>
                <w:szCs w:val="21"/>
              </w:rPr>
              <w:t>提供省级或省级以上软件行业协会出具的软件产品证书复印件，</w:t>
            </w:r>
            <w:r>
              <w:rPr>
                <w:rFonts w:hint="eastAsia" w:ascii="宋体" w:hAnsi="宋体" w:cs="宋体"/>
                <w:szCs w:val="21"/>
              </w:rPr>
              <w:t>提供得3分，不提供得0分。</w:t>
            </w:r>
          </w:p>
        </w:tc>
        <w:tc>
          <w:tcPr>
            <w:tcW w:w="1934" w:type="dxa"/>
            <w:vAlign w:val="center"/>
          </w:tcPr>
          <w:p>
            <w:pPr>
              <w:autoSpaceDE w:val="0"/>
              <w:autoSpaceDN w:val="0"/>
              <w:adjustRightInd w:val="0"/>
              <w:spacing w:line="300" w:lineRule="exact"/>
              <w:jc w:val="center"/>
              <w:rPr>
                <w:rFonts w:ascii="宋体" w:hAnsi="宋体"/>
                <w:szCs w:val="21"/>
              </w:rPr>
            </w:pPr>
            <w:r>
              <w:rPr>
                <w:rFonts w:hint="eastAsia" w:ascii="宋体" w:hAnsi="宋体"/>
                <w:szCs w:val="21"/>
              </w:rPr>
              <w:t>提供复印件装订入投标文件</w:t>
            </w:r>
          </w:p>
        </w:tc>
        <w:tc>
          <w:tcPr>
            <w:tcW w:w="946" w:type="dxa"/>
            <w:vAlign w:val="center"/>
          </w:tcPr>
          <w:p>
            <w:pPr>
              <w:autoSpaceDE w:val="0"/>
              <w:autoSpaceDN w:val="0"/>
              <w:adjustRightInd w:val="0"/>
              <w:spacing w:line="300" w:lineRule="exact"/>
              <w:jc w:val="center"/>
              <w:rPr>
                <w:rFonts w:ascii="宋体" w:hAnsi="宋体"/>
                <w:szCs w:val="21"/>
              </w:rPr>
            </w:pPr>
            <w:r>
              <w:rPr>
                <w:rFonts w:hint="eastAsia" w:ascii="宋体" w:hAnsi="宋体"/>
                <w:szCs w:val="21"/>
              </w:rPr>
              <w:t>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15" w:hRule="atLeast"/>
          <w:jc w:val="center"/>
        </w:trPr>
        <w:tc>
          <w:tcPr>
            <w:tcW w:w="1847" w:type="dxa"/>
            <w:vMerge w:val="continue"/>
            <w:vAlign w:val="center"/>
          </w:tcPr>
          <w:p>
            <w:pPr>
              <w:autoSpaceDE w:val="0"/>
              <w:autoSpaceDN w:val="0"/>
              <w:adjustRightInd w:val="0"/>
              <w:spacing w:line="300" w:lineRule="exact"/>
              <w:rPr>
                <w:rFonts w:ascii="宋体" w:hAnsi="宋体"/>
                <w:spacing w:val="-12"/>
                <w:szCs w:val="21"/>
              </w:rPr>
            </w:pPr>
          </w:p>
        </w:tc>
        <w:tc>
          <w:tcPr>
            <w:tcW w:w="1341" w:type="dxa"/>
            <w:vAlign w:val="center"/>
          </w:tcPr>
          <w:p>
            <w:pPr>
              <w:spacing w:line="300" w:lineRule="exact"/>
              <w:jc w:val="center"/>
              <w:rPr>
                <w:rFonts w:ascii="宋体" w:hAnsi="宋体"/>
                <w:bCs/>
                <w:szCs w:val="21"/>
              </w:rPr>
            </w:pPr>
            <w:r>
              <w:rPr>
                <w:rFonts w:hint="eastAsia" w:ascii="宋体" w:hAnsi="宋体"/>
                <w:szCs w:val="21"/>
              </w:rPr>
              <w:t>著作权登记证书</w:t>
            </w:r>
          </w:p>
        </w:tc>
        <w:tc>
          <w:tcPr>
            <w:tcW w:w="4374" w:type="dxa"/>
            <w:vAlign w:val="center"/>
          </w:tcPr>
          <w:p>
            <w:pPr>
              <w:spacing w:line="300" w:lineRule="exact"/>
              <w:rPr>
                <w:rFonts w:ascii="宋体" w:hAnsi="宋体" w:cs="Arial"/>
                <w:szCs w:val="21"/>
              </w:rPr>
            </w:pPr>
            <w:r>
              <w:rPr>
                <w:rFonts w:hint="eastAsia" w:ascii="宋体" w:hAnsi="宋体"/>
                <w:szCs w:val="21"/>
              </w:rPr>
              <w:t>提供国家版权局颁发的软件著作权登记证书复印件，</w:t>
            </w:r>
            <w:r>
              <w:rPr>
                <w:rFonts w:hint="eastAsia" w:ascii="宋体" w:hAnsi="宋体" w:cs="宋体"/>
                <w:szCs w:val="21"/>
              </w:rPr>
              <w:t>提供得3分，不提供得0分。</w:t>
            </w:r>
          </w:p>
        </w:tc>
        <w:tc>
          <w:tcPr>
            <w:tcW w:w="1934" w:type="dxa"/>
            <w:vAlign w:val="center"/>
          </w:tcPr>
          <w:p>
            <w:pPr>
              <w:autoSpaceDE w:val="0"/>
              <w:autoSpaceDN w:val="0"/>
              <w:adjustRightInd w:val="0"/>
              <w:spacing w:line="300" w:lineRule="exact"/>
              <w:jc w:val="center"/>
              <w:rPr>
                <w:rFonts w:ascii="宋体" w:hAnsi="宋体" w:cs="Arial"/>
                <w:szCs w:val="21"/>
              </w:rPr>
            </w:pPr>
            <w:r>
              <w:rPr>
                <w:rFonts w:hint="eastAsia" w:ascii="宋体" w:hAnsi="宋体"/>
                <w:szCs w:val="21"/>
              </w:rPr>
              <w:t>提供复印件装订入投标文件</w:t>
            </w:r>
          </w:p>
        </w:tc>
        <w:tc>
          <w:tcPr>
            <w:tcW w:w="946" w:type="dxa"/>
            <w:vAlign w:val="center"/>
          </w:tcPr>
          <w:p>
            <w:pPr>
              <w:autoSpaceDE w:val="0"/>
              <w:autoSpaceDN w:val="0"/>
              <w:adjustRightInd w:val="0"/>
              <w:spacing w:line="300" w:lineRule="exact"/>
              <w:jc w:val="center"/>
              <w:rPr>
                <w:rFonts w:ascii="宋体" w:hAnsi="宋体"/>
                <w:szCs w:val="21"/>
              </w:rPr>
            </w:pPr>
            <w:r>
              <w:rPr>
                <w:rFonts w:hint="eastAsia" w:ascii="宋体" w:hAnsi="宋体"/>
                <w:szCs w:val="21"/>
              </w:rPr>
              <w:t>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15" w:hRule="atLeast"/>
          <w:jc w:val="center"/>
        </w:trPr>
        <w:tc>
          <w:tcPr>
            <w:tcW w:w="1847" w:type="dxa"/>
            <w:vAlign w:val="center"/>
          </w:tcPr>
          <w:p>
            <w:pPr>
              <w:autoSpaceDE w:val="0"/>
              <w:autoSpaceDN w:val="0"/>
              <w:adjustRightInd w:val="0"/>
              <w:spacing w:line="300" w:lineRule="exact"/>
              <w:jc w:val="center"/>
              <w:rPr>
                <w:rFonts w:ascii="宋体" w:hAnsi="宋体"/>
                <w:spacing w:val="-12"/>
                <w:szCs w:val="21"/>
              </w:rPr>
            </w:pPr>
            <w:r>
              <w:rPr>
                <w:rFonts w:hint="eastAsia" w:ascii="宋体" w:hAnsi="宋体"/>
                <w:spacing w:val="-12"/>
                <w:szCs w:val="21"/>
              </w:rPr>
              <w:t>报价部分评分</w:t>
            </w:r>
          </w:p>
        </w:tc>
        <w:tc>
          <w:tcPr>
            <w:tcW w:w="5715" w:type="dxa"/>
            <w:gridSpan w:val="2"/>
            <w:vAlign w:val="center"/>
          </w:tcPr>
          <w:p>
            <w:pPr>
              <w:spacing w:line="300" w:lineRule="exact"/>
              <w:ind w:firstLine="420" w:firstLineChars="200"/>
              <w:rPr>
                <w:rFonts w:ascii="宋体" w:hAnsi="宋体" w:cs="Arial"/>
                <w:szCs w:val="21"/>
              </w:rPr>
            </w:pPr>
            <w:r>
              <w:rPr>
                <w:rFonts w:hint="eastAsia" w:ascii="宋体" w:hAnsi="宋体" w:cs="Arial"/>
                <w:szCs w:val="21"/>
              </w:rPr>
              <w:t>根据各投标人的最终有效投标报价，以满足招标文件要求且最终有效投标价格最低的投标报价为评标基准价，其价格分为满分40分。其它投标人的价格分统一按照下列公式计算：投标报价得分=(评标基准价／投标报价)×40（四舍五入，精确到小数点后二位）。</w:t>
            </w:r>
          </w:p>
        </w:tc>
        <w:tc>
          <w:tcPr>
            <w:tcW w:w="1934" w:type="dxa"/>
            <w:vAlign w:val="center"/>
          </w:tcPr>
          <w:p>
            <w:pPr>
              <w:autoSpaceDE w:val="0"/>
              <w:autoSpaceDN w:val="0"/>
              <w:adjustRightInd w:val="0"/>
              <w:spacing w:line="300" w:lineRule="exact"/>
              <w:jc w:val="center"/>
              <w:rPr>
                <w:rFonts w:ascii="宋体" w:hAnsi="宋体"/>
                <w:szCs w:val="21"/>
              </w:rPr>
            </w:pPr>
            <w:r>
              <w:rPr>
                <w:rFonts w:hint="eastAsia" w:ascii="宋体" w:hAnsi="宋体"/>
                <w:szCs w:val="21"/>
              </w:rPr>
              <w:t>以报价表中的金额为准</w:t>
            </w:r>
          </w:p>
        </w:tc>
        <w:tc>
          <w:tcPr>
            <w:tcW w:w="946" w:type="dxa"/>
            <w:vAlign w:val="center"/>
          </w:tcPr>
          <w:p>
            <w:pPr>
              <w:autoSpaceDE w:val="0"/>
              <w:autoSpaceDN w:val="0"/>
              <w:adjustRightInd w:val="0"/>
              <w:spacing w:line="300" w:lineRule="exact"/>
              <w:jc w:val="center"/>
              <w:rPr>
                <w:rFonts w:ascii="宋体" w:hAnsi="宋体"/>
                <w:szCs w:val="21"/>
              </w:rPr>
            </w:pPr>
            <w:r>
              <w:rPr>
                <w:rFonts w:hint="eastAsia" w:ascii="宋体" w:hAnsi="宋体"/>
                <w:szCs w:val="21"/>
              </w:rPr>
              <w:t>40</w:t>
            </w:r>
          </w:p>
        </w:tc>
      </w:tr>
    </w:tbl>
    <w:p>
      <w:pPr>
        <w:spacing w:line="520" w:lineRule="exact"/>
        <w:rPr>
          <w:rFonts w:ascii="宋体" w:hAnsi="宋体" w:cs="宋体"/>
          <w:b/>
          <w:sz w:val="24"/>
        </w:rPr>
      </w:pPr>
    </w:p>
    <w:p>
      <w:pPr>
        <w:spacing w:line="360" w:lineRule="auto"/>
        <w:ind w:firstLine="562" w:firstLineChars="200"/>
        <w:rPr>
          <w:rFonts w:ascii="宋体" w:hAnsi="宋体" w:cs="华文仿宋"/>
          <w:b/>
          <w:sz w:val="28"/>
          <w:szCs w:val="28"/>
        </w:rPr>
      </w:pPr>
      <w:r>
        <w:rPr>
          <w:rFonts w:hint="eastAsia" w:ascii="宋体" w:hAnsi="宋体" w:cs="华文仿宋"/>
          <w:b/>
          <w:sz w:val="28"/>
          <w:szCs w:val="28"/>
        </w:rPr>
        <w:t>注：以上评分细则中无原件的复印件不得分；计算过程和结果四舍五入，精确到小数点后两位。</w:t>
      </w:r>
    </w:p>
    <w:p>
      <w:pPr>
        <w:snapToGrid w:val="0"/>
        <w:spacing w:line="440" w:lineRule="exact"/>
        <w:ind w:left="482"/>
        <w:jc w:val="center"/>
        <w:rPr>
          <w:rFonts w:ascii="宋体" w:hAnsi="宋体" w:cs="仿宋_GB2312"/>
          <w:b/>
          <w:bCs/>
          <w:sz w:val="24"/>
        </w:rPr>
      </w:pPr>
      <w:r>
        <w:rPr>
          <w:rFonts w:hint="eastAsia" w:ascii="宋体" w:hAnsi="宋体" w:cs="仿宋_GB2312"/>
          <w:b/>
          <w:bCs/>
          <w:sz w:val="24"/>
        </w:rPr>
        <w:t>四、项目需求</w:t>
      </w:r>
    </w:p>
    <w:p>
      <w:pPr>
        <w:spacing w:line="360" w:lineRule="auto"/>
        <w:rPr>
          <w:rFonts w:ascii="宋体" w:hAnsi="宋体"/>
          <w:b/>
          <w:bCs/>
          <w:sz w:val="24"/>
        </w:rPr>
      </w:pPr>
      <w:r>
        <w:rPr>
          <w:rFonts w:hint="eastAsia" w:ascii="宋体" w:hAnsi="宋体"/>
          <w:b/>
          <w:bCs/>
          <w:sz w:val="24"/>
        </w:rPr>
        <w:t>一、项目概况</w:t>
      </w:r>
    </w:p>
    <w:p>
      <w:pPr>
        <w:adjustRightInd w:val="0"/>
        <w:snapToGrid w:val="0"/>
        <w:spacing w:line="360" w:lineRule="auto"/>
        <w:rPr>
          <w:rFonts w:ascii="宋体" w:hAnsi="宋体"/>
          <w:b/>
          <w:bCs/>
          <w:sz w:val="24"/>
        </w:rPr>
      </w:pPr>
      <w:r>
        <w:rPr>
          <w:rFonts w:hint="eastAsia" w:ascii="宋体" w:hAnsi="宋体"/>
          <w:b/>
          <w:bCs/>
          <w:sz w:val="24"/>
        </w:rPr>
        <w:t>1、基本情况</w:t>
      </w:r>
    </w:p>
    <w:tbl>
      <w:tblPr>
        <w:tblStyle w:val="25"/>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049"/>
        <w:gridCol w:w="5548"/>
        <w:gridCol w:w="512"/>
        <w:gridCol w:w="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ascii="宋体" w:eastAsia="Courier New"/>
                <w:b/>
                <w:bCs/>
                <w:szCs w:val="21"/>
              </w:rPr>
            </w:pPr>
            <w:r>
              <w:rPr>
                <w:rFonts w:hint="eastAsia" w:ascii="宋体" w:hAnsi="宋体"/>
                <w:b/>
                <w:bCs/>
                <w:szCs w:val="21"/>
              </w:rPr>
              <w:t>品目号</w:t>
            </w:r>
          </w:p>
        </w:tc>
        <w:tc>
          <w:tcPr>
            <w:tcW w:w="1049" w:type="dxa"/>
            <w:tcBorders>
              <w:top w:val="single" w:color="auto" w:sz="4" w:space="0"/>
              <w:left w:val="single" w:color="auto" w:sz="4" w:space="0"/>
              <w:bottom w:val="single" w:color="auto" w:sz="4" w:space="0"/>
              <w:right w:val="single" w:color="auto" w:sz="4" w:space="0"/>
            </w:tcBorders>
            <w:vAlign w:val="center"/>
          </w:tcPr>
          <w:p>
            <w:pPr>
              <w:jc w:val="center"/>
              <w:rPr>
                <w:rFonts w:ascii="宋体" w:eastAsia="Courier New"/>
                <w:b/>
                <w:bCs/>
                <w:szCs w:val="21"/>
              </w:rPr>
            </w:pPr>
            <w:r>
              <w:rPr>
                <w:rFonts w:hint="eastAsia" w:ascii="宋体" w:hAnsi="宋体"/>
                <w:b/>
                <w:bCs/>
                <w:szCs w:val="21"/>
              </w:rPr>
              <w:t>品目名称</w:t>
            </w:r>
          </w:p>
        </w:tc>
        <w:tc>
          <w:tcPr>
            <w:tcW w:w="5548" w:type="dxa"/>
            <w:tcBorders>
              <w:top w:val="single" w:color="auto" w:sz="4" w:space="0"/>
              <w:left w:val="single" w:color="auto" w:sz="4" w:space="0"/>
              <w:bottom w:val="single" w:color="auto" w:sz="4" w:space="0"/>
              <w:right w:val="single" w:color="auto" w:sz="4" w:space="0"/>
            </w:tcBorders>
            <w:vAlign w:val="center"/>
          </w:tcPr>
          <w:p>
            <w:pPr>
              <w:jc w:val="center"/>
              <w:rPr>
                <w:rFonts w:ascii="宋体" w:eastAsia="Courier New"/>
                <w:b/>
                <w:bCs/>
                <w:szCs w:val="21"/>
              </w:rPr>
            </w:pPr>
            <w:r>
              <w:rPr>
                <w:rFonts w:hint="eastAsia" w:ascii="宋体" w:hAnsi="宋体"/>
                <w:b/>
                <w:bCs/>
                <w:szCs w:val="21"/>
              </w:rPr>
              <w:t>技术参数要求</w:t>
            </w:r>
          </w:p>
        </w:tc>
        <w:tc>
          <w:tcPr>
            <w:tcW w:w="512" w:type="dxa"/>
            <w:tcBorders>
              <w:top w:val="single" w:color="auto" w:sz="4" w:space="0"/>
              <w:left w:val="single" w:color="auto" w:sz="4" w:space="0"/>
              <w:bottom w:val="single" w:color="auto" w:sz="4" w:space="0"/>
              <w:right w:val="single" w:color="auto" w:sz="4" w:space="0"/>
            </w:tcBorders>
            <w:vAlign w:val="center"/>
          </w:tcPr>
          <w:p>
            <w:pPr>
              <w:jc w:val="center"/>
              <w:rPr>
                <w:rFonts w:ascii="宋体" w:eastAsia="Courier New"/>
                <w:b/>
                <w:bCs/>
                <w:szCs w:val="21"/>
              </w:rPr>
            </w:pPr>
            <w:r>
              <w:rPr>
                <w:rFonts w:hint="eastAsia" w:ascii="宋体" w:hAnsi="宋体"/>
                <w:b/>
                <w:bCs/>
                <w:szCs w:val="21"/>
              </w:rPr>
              <w:t>数量</w:t>
            </w:r>
          </w:p>
        </w:tc>
        <w:tc>
          <w:tcPr>
            <w:tcW w:w="716" w:type="dxa"/>
            <w:tcBorders>
              <w:top w:val="single" w:color="auto" w:sz="4" w:space="0"/>
              <w:left w:val="single" w:color="auto" w:sz="4" w:space="0"/>
              <w:bottom w:val="single" w:color="auto" w:sz="4" w:space="0"/>
              <w:right w:val="single" w:color="auto" w:sz="4" w:space="0"/>
            </w:tcBorders>
            <w:vAlign w:val="center"/>
          </w:tcPr>
          <w:p>
            <w:pPr>
              <w:jc w:val="center"/>
              <w:rPr>
                <w:rFonts w:ascii="宋体" w:eastAsia="Courier New"/>
                <w:b/>
                <w:bCs/>
                <w:szCs w:val="21"/>
              </w:rPr>
            </w:pPr>
            <w:r>
              <w:rPr>
                <w:rFonts w:hint="eastAsia" w:ascii="宋体" w:hAnsi="宋体"/>
                <w:b/>
                <w:bCs/>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3" w:hRule="atLeast"/>
        </w:trPr>
        <w:tc>
          <w:tcPr>
            <w:tcW w:w="817"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ascii="宋体" w:hAnsi="宋体" w:cs="宋体"/>
                <w:color w:val="000000"/>
                <w:szCs w:val="21"/>
              </w:rPr>
            </w:pPr>
            <w:r>
              <w:rPr>
                <w:rFonts w:hint="eastAsia" w:ascii="宋体" w:hAnsi="宋体" w:cs="宋体"/>
                <w:color w:val="000000"/>
                <w:kern w:val="0"/>
                <w:szCs w:val="21"/>
              </w:rPr>
              <w:t>1</w:t>
            </w:r>
          </w:p>
        </w:tc>
        <w:tc>
          <w:tcPr>
            <w:tcW w:w="1049"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ascii="宋体" w:hAnsi="宋体" w:cs="宋体"/>
                <w:color w:val="000000"/>
                <w:szCs w:val="21"/>
              </w:rPr>
            </w:pPr>
            <w:r>
              <w:rPr>
                <w:rFonts w:hint="eastAsia" w:ascii="宋体" w:hAnsi="宋体" w:cs="宋体"/>
                <w:color w:val="000000"/>
                <w:kern w:val="0"/>
                <w:szCs w:val="21"/>
              </w:rPr>
              <w:t>道路交通辅助设计系统</w:t>
            </w:r>
          </w:p>
        </w:tc>
        <w:tc>
          <w:tcPr>
            <w:tcW w:w="5548"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新宋体" w:hAnsi="新宋体" w:eastAsia="新宋体"/>
                <w:szCs w:val="21"/>
              </w:rPr>
            </w:pPr>
            <w:r>
              <w:rPr>
                <w:rFonts w:hint="eastAsia" w:ascii="新宋体" w:hAnsi="新宋体" w:eastAsia="新宋体"/>
                <w:szCs w:val="21"/>
              </w:rPr>
              <w:t>1、软件按照我国现行规范和标准研发和编制,可直接投入各设计阶段进行应用。可大幅度提高设计质量和效率，从而达到缩短设计周期，减少造价的目的。</w:t>
            </w:r>
          </w:p>
          <w:p>
            <w:pPr>
              <w:spacing w:line="360" w:lineRule="exact"/>
              <w:rPr>
                <w:rFonts w:ascii="新宋体" w:hAnsi="新宋体" w:eastAsia="新宋体"/>
                <w:szCs w:val="21"/>
              </w:rPr>
            </w:pPr>
            <w:r>
              <w:rPr>
                <w:rFonts w:hint="eastAsia" w:ascii="宋体" w:hAnsi="宋体" w:cs="宋体"/>
                <w:szCs w:val="21"/>
              </w:rPr>
              <w:t>★</w:t>
            </w:r>
            <w:r>
              <w:rPr>
                <w:rFonts w:hint="eastAsia" w:ascii="新宋体" w:hAnsi="新宋体" w:eastAsia="新宋体"/>
                <w:szCs w:val="21"/>
              </w:rPr>
              <w:t>2、软件具有道路路线平纵面线形设计常规计算和反算的各种模式，可完成各种常见线形的计算和绘制，同时须集成动态拖动技术，可快速实现交点、变坡点、曲线半径、长度及坡度的设置与修改，并可快速输出符合现行规范要求的平纵设计图纸。可辅助设计完成各种等级公路、市政、厂矿等道路。</w:t>
            </w:r>
          </w:p>
          <w:p>
            <w:pPr>
              <w:spacing w:line="360" w:lineRule="exact"/>
              <w:rPr>
                <w:rFonts w:ascii="新宋体" w:hAnsi="新宋体" w:eastAsia="新宋体"/>
                <w:szCs w:val="21"/>
              </w:rPr>
            </w:pPr>
            <w:r>
              <w:rPr>
                <w:rFonts w:hint="eastAsia" w:ascii="宋体" w:hAnsi="宋体" w:cs="宋体"/>
                <w:szCs w:val="21"/>
              </w:rPr>
              <w:t>★</w:t>
            </w:r>
            <w:r>
              <w:rPr>
                <w:rFonts w:hint="eastAsia" w:ascii="新宋体" w:hAnsi="新宋体" w:eastAsia="新宋体"/>
                <w:szCs w:val="21"/>
              </w:rPr>
              <w:t>3、软件具有参数化横断面设计绘图功能，可完成各种横断面型式设计及出图。可快速设计并绘制出符合标准和规范的横断面设计图，同时计算输出土方量数据。</w:t>
            </w:r>
          </w:p>
          <w:p>
            <w:pPr>
              <w:spacing w:line="360" w:lineRule="exact"/>
              <w:rPr>
                <w:rFonts w:ascii="新宋体" w:hAnsi="新宋体" w:eastAsia="新宋体"/>
                <w:szCs w:val="21"/>
              </w:rPr>
            </w:pPr>
            <w:r>
              <w:rPr>
                <w:rFonts w:hint="eastAsia" w:ascii="宋体" w:hAnsi="宋体" w:cs="宋体"/>
                <w:szCs w:val="21"/>
              </w:rPr>
              <w:t>★</w:t>
            </w:r>
            <w:r>
              <w:rPr>
                <w:rFonts w:hint="eastAsia" w:ascii="新宋体" w:hAnsi="新宋体" w:eastAsia="新宋体"/>
                <w:szCs w:val="21"/>
              </w:rPr>
              <w:t>4、软件根据项目平纵数据及规范要求，结合各项控制参数的设置，可自动快速批量地计算完成各种超高加宽过渡段的设置，通过项目中心可实时对数据和图形进行快速对照检查及修改完善。</w:t>
            </w:r>
          </w:p>
          <w:p>
            <w:pPr>
              <w:spacing w:line="360" w:lineRule="exact"/>
              <w:rPr>
                <w:rFonts w:ascii="新宋体" w:hAnsi="新宋体" w:eastAsia="新宋体"/>
                <w:szCs w:val="21"/>
              </w:rPr>
            </w:pPr>
            <w:r>
              <w:rPr>
                <w:rFonts w:hint="eastAsia" w:ascii="宋体" w:hAnsi="宋体" w:cs="宋体"/>
                <w:szCs w:val="21"/>
              </w:rPr>
              <w:t>★</w:t>
            </w:r>
            <w:r>
              <w:rPr>
                <w:rFonts w:hint="eastAsia" w:ascii="新宋体" w:hAnsi="新宋体" w:eastAsia="新宋体"/>
                <w:szCs w:val="21"/>
              </w:rPr>
              <w:t>5、软件提供各种外业测设数据输入转换的接口，能够兼容现在主流的各种习惯的数据格式，同时也提供了专业的沟底拉坡和快速支挡构造物处理模块，能够快速完成相应的计算并输出对应的设计图纸。</w:t>
            </w:r>
          </w:p>
          <w:p>
            <w:pPr>
              <w:spacing w:line="360" w:lineRule="exact"/>
              <w:rPr>
                <w:rFonts w:ascii="新宋体" w:hAnsi="新宋体" w:eastAsia="新宋体"/>
                <w:szCs w:val="21"/>
              </w:rPr>
            </w:pPr>
            <w:r>
              <w:rPr>
                <w:rFonts w:hint="eastAsia" w:ascii="新宋体" w:hAnsi="新宋体" w:eastAsia="新宋体"/>
                <w:szCs w:val="21"/>
              </w:rPr>
              <w:t>6、软件提供各种图表的菜单输出命令，可以将平面的绘图、分图与打印分离。软件针对平、纵、横及表格的不同出图方式，可以设置不同的快速分图和批量打印方法及工具。</w:t>
            </w:r>
          </w:p>
          <w:p>
            <w:pPr>
              <w:spacing w:line="360" w:lineRule="exact"/>
              <w:rPr>
                <w:rFonts w:ascii="新宋体" w:hAnsi="新宋体" w:eastAsia="新宋体"/>
                <w:szCs w:val="21"/>
              </w:rPr>
            </w:pPr>
            <w:r>
              <w:rPr>
                <w:rFonts w:hint="eastAsia" w:ascii="宋体" w:hAnsi="宋体" w:cs="宋体"/>
                <w:szCs w:val="21"/>
              </w:rPr>
              <w:t>★</w:t>
            </w:r>
            <w:r>
              <w:rPr>
                <w:rFonts w:hint="eastAsia" w:ascii="新宋体" w:hAnsi="新宋体" w:eastAsia="新宋体"/>
                <w:szCs w:val="21"/>
              </w:rPr>
              <w:t>7、软件提供了路线几何设计自动审核功能。软件须根据我国公路行业标准规范《公路工程技术标准》（JTG B01-2014）和《公路路线设计规范》（2016版，总校稿）相关修订而变化，具有“路线几何设计自动审核”模块，可以自动进行路线设计中“7大类120余项专业内容的审核与检查”，并一键式输出“项目审核检查报告”（含图表），准确发现并统计项目相关设计参数与标准规范规定要求之间的符合性，为项目总体设计和安全性评价等提供详实的数据支撑。</w:t>
            </w:r>
          </w:p>
          <w:p>
            <w:pPr>
              <w:widowControl/>
              <w:spacing w:line="360" w:lineRule="exact"/>
              <w:jc w:val="left"/>
              <w:textAlignment w:val="center"/>
              <w:rPr>
                <w:rFonts w:ascii="宋体" w:hAnsi="宋体" w:cs="宋体"/>
                <w:color w:val="000000"/>
                <w:kern w:val="0"/>
                <w:szCs w:val="21"/>
              </w:rPr>
            </w:pPr>
            <w:r>
              <w:rPr>
                <w:rFonts w:hint="eastAsia" w:ascii="宋体" w:hAnsi="宋体" w:cs="宋体"/>
                <w:color w:val="000000"/>
                <w:kern w:val="0"/>
                <w:szCs w:val="21"/>
              </w:rPr>
              <w:t>8、软件绘制坐标网格至少有两种方式，可直接绘制系统默认的坐标网格样式，也可以采用坐标网格的模板进行绘制，模板可以由用户自行编辑定义绘制任意样式的坐标网格、坐标值标注的样式和标注间距。</w:t>
            </w:r>
          </w:p>
          <w:p>
            <w:pPr>
              <w:widowControl/>
              <w:spacing w:line="360" w:lineRule="exact"/>
              <w:jc w:val="left"/>
              <w:textAlignment w:val="center"/>
              <w:rPr>
                <w:rFonts w:ascii="宋体" w:hAnsi="宋体" w:cs="宋体"/>
                <w:color w:val="000000"/>
                <w:kern w:val="0"/>
                <w:szCs w:val="21"/>
              </w:rPr>
            </w:pPr>
            <w:r>
              <w:rPr>
                <w:rFonts w:hint="eastAsia" w:ascii="宋体" w:hAnsi="宋体" w:cs="宋体"/>
                <w:color w:val="000000"/>
                <w:kern w:val="0"/>
                <w:szCs w:val="21"/>
              </w:rPr>
              <w:t>9、软件提供了至少两套平行的横断面设计功能，包括“横断面模板设计功能”和“横断面设计绘图”。</w:t>
            </w:r>
          </w:p>
          <w:p>
            <w:pPr>
              <w:widowControl/>
              <w:spacing w:line="360" w:lineRule="exact"/>
              <w:jc w:val="left"/>
              <w:textAlignment w:val="center"/>
              <w:rPr>
                <w:rFonts w:ascii="宋体" w:hAnsi="宋体" w:cs="宋体"/>
                <w:color w:val="000000"/>
                <w:kern w:val="0"/>
                <w:szCs w:val="21"/>
              </w:rPr>
            </w:pPr>
            <w:r>
              <w:rPr>
                <w:rFonts w:hint="eastAsia" w:ascii="宋体" w:hAnsi="宋体" w:cs="宋体"/>
                <w:szCs w:val="21"/>
              </w:rPr>
              <w:t>★</w:t>
            </w:r>
            <w:r>
              <w:rPr>
                <w:rFonts w:hint="eastAsia" w:ascii="宋体" w:hAnsi="宋体" w:cs="宋体"/>
                <w:color w:val="000000"/>
                <w:kern w:val="0"/>
                <w:szCs w:val="21"/>
              </w:rPr>
              <w:t>10、网络版50节点。</w:t>
            </w:r>
          </w:p>
          <w:p>
            <w:pPr>
              <w:widowControl/>
              <w:spacing w:line="360" w:lineRule="exact"/>
              <w:jc w:val="left"/>
              <w:textAlignment w:val="center"/>
              <w:rPr>
                <w:rFonts w:ascii="宋体" w:hAnsi="宋体" w:cs="宋体"/>
                <w:color w:val="000000"/>
                <w:kern w:val="0"/>
                <w:szCs w:val="21"/>
              </w:rPr>
            </w:pPr>
            <w:r>
              <w:rPr>
                <w:rFonts w:hint="eastAsia" w:ascii="宋体" w:hAnsi="宋体"/>
                <w:szCs w:val="21"/>
              </w:rPr>
              <w:t>合同签订前</w:t>
            </w:r>
            <w:r>
              <w:rPr>
                <w:rFonts w:ascii="宋体" w:hAnsi="宋体"/>
                <w:szCs w:val="21"/>
              </w:rPr>
              <w:t>成交供应商须将</w:t>
            </w:r>
            <w:r>
              <w:rPr>
                <w:rFonts w:hint="eastAsia" w:ascii="宋体" w:hAnsi="宋体"/>
                <w:szCs w:val="21"/>
              </w:rPr>
              <w:t>软件送达采购人指定地点进行演示，演示不满足招标文件或投标文件要求的，以虚假应标处理，</w:t>
            </w:r>
            <w:r>
              <w:rPr>
                <w:rFonts w:ascii="宋体" w:hAnsi="宋体"/>
                <w:szCs w:val="21"/>
              </w:rPr>
              <w:t>采购人</w:t>
            </w:r>
            <w:r>
              <w:rPr>
                <w:rFonts w:hint="eastAsia" w:ascii="宋体" w:hAnsi="宋体"/>
                <w:szCs w:val="21"/>
              </w:rPr>
              <w:t>将上报相关部门处理。</w:t>
            </w:r>
          </w:p>
        </w:tc>
        <w:tc>
          <w:tcPr>
            <w:tcW w:w="512"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1</w:t>
            </w:r>
          </w:p>
        </w:tc>
        <w:tc>
          <w:tcPr>
            <w:tcW w:w="716" w:type="dxa"/>
            <w:tcBorders>
              <w:top w:val="single" w:color="auto" w:sz="4" w:space="0"/>
              <w:left w:val="single" w:color="auto" w:sz="4" w:space="0"/>
              <w:bottom w:val="single" w:color="auto" w:sz="4" w:space="0"/>
              <w:right w:val="single" w:color="auto" w:sz="4" w:space="0"/>
            </w:tcBorders>
            <w:vAlign w:val="center"/>
          </w:tcPr>
          <w:p>
            <w:pPr>
              <w:jc w:val="center"/>
              <w:rPr>
                <w:rFonts w:eastAsia="Courier New"/>
                <w:szCs w:val="21"/>
              </w:rPr>
            </w:pPr>
            <w:r>
              <w:rPr>
                <w:rFonts w:hint="eastAsia" w:ascii="宋体" w:hAnsi="宋体"/>
                <w:szCs w:val="21"/>
              </w:rPr>
              <w:t>套</w:t>
            </w:r>
          </w:p>
        </w:tc>
      </w:tr>
    </w:tbl>
    <w:p>
      <w:pPr>
        <w:spacing w:line="440" w:lineRule="exact"/>
        <w:ind w:left="10" w:leftChars="5" w:firstLine="540" w:firstLineChars="225"/>
        <w:rPr>
          <w:rFonts w:ascii="宋体" w:hAnsi="宋体" w:cs="宋体"/>
          <w:sz w:val="24"/>
          <w:szCs w:val="28"/>
        </w:rPr>
      </w:pPr>
      <w:r>
        <w:rPr>
          <w:rFonts w:hint="eastAsia" w:ascii="宋体" w:hAnsi="宋体" w:cs="宋体"/>
          <w:sz w:val="24"/>
          <w:szCs w:val="28"/>
        </w:rPr>
        <w:t>2、售后服务要求：</w:t>
      </w:r>
    </w:p>
    <w:p>
      <w:pPr>
        <w:adjustRightInd w:val="0"/>
        <w:snapToGrid w:val="0"/>
        <w:spacing w:line="360" w:lineRule="auto"/>
        <w:ind w:firstLine="480" w:firstLineChars="200"/>
        <w:rPr>
          <w:rFonts w:ascii="宋体" w:hAnsi="宋体"/>
          <w:color w:val="000000"/>
          <w:sz w:val="24"/>
        </w:rPr>
      </w:pPr>
      <w:r>
        <w:rPr>
          <w:rFonts w:hint="eastAsia" w:ascii="宋体" w:hAnsi="宋体"/>
          <w:color w:val="000000"/>
          <w:sz w:val="24"/>
        </w:rPr>
        <w:t>（1）、人员培训：成交供应商负责免费对采购人提供使用、维护人员安装、操作、维修培训。</w:t>
      </w:r>
    </w:p>
    <w:p>
      <w:pPr>
        <w:spacing w:line="360" w:lineRule="auto"/>
        <w:ind w:firstLine="540" w:firstLineChars="225"/>
        <w:rPr>
          <w:rFonts w:ascii="宋体" w:hAnsi="宋体"/>
          <w:sz w:val="24"/>
          <w:szCs w:val="28"/>
        </w:rPr>
      </w:pPr>
      <w:r>
        <w:rPr>
          <w:rFonts w:hint="eastAsia" w:ascii="宋体" w:hAnsi="宋体"/>
          <w:color w:val="000000"/>
          <w:sz w:val="24"/>
        </w:rPr>
        <w:t>（2）、质保期内免费提供“</w:t>
      </w:r>
      <w:r>
        <w:rPr>
          <w:rFonts w:ascii="宋体" w:hAnsi="宋体"/>
          <w:color w:val="000000"/>
          <w:sz w:val="24"/>
        </w:rPr>
        <w:t>7</w:t>
      </w:r>
      <w:r>
        <w:rPr>
          <w:rFonts w:hint="eastAsia" w:ascii="宋体" w:hAnsi="宋体"/>
          <w:color w:val="000000"/>
          <w:sz w:val="24"/>
        </w:rPr>
        <w:t>×</w:t>
      </w:r>
      <w:r>
        <w:rPr>
          <w:rFonts w:ascii="宋体" w:hAnsi="宋体"/>
          <w:color w:val="000000"/>
          <w:sz w:val="24"/>
        </w:rPr>
        <w:t>24</w:t>
      </w:r>
      <w:r>
        <w:rPr>
          <w:rFonts w:hint="eastAsia" w:ascii="宋体" w:hAnsi="宋体"/>
          <w:color w:val="000000"/>
          <w:sz w:val="24"/>
        </w:rPr>
        <w:t>小时”的专门电话技术支持服务。在工作时间将即时响应，且在</w:t>
      </w:r>
      <w:r>
        <w:rPr>
          <w:rFonts w:ascii="宋体" w:hAnsi="宋体"/>
          <w:color w:val="000000"/>
          <w:sz w:val="24"/>
        </w:rPr>
        <w:t>1</w:t>
      </w:r>
      <w:r>
        <w:rPr>
          <w:rFonts w:hint="eastAsia" w:ascii="宋体" w:hAnsi="宋体"/>
          <w:color w:val="000000"/>
          <w:sz w:val="24"/>
        </w:rPr>
        <w:t>小时内对采购人所提出的维修要求做出实质性反应通过远程技术支持，仍不能解决的，</w:t>
      </w:r>
      <w:r>
        <w:rPr>
          <w:rFonts w:ascii="宋体" w:hAnsi="宋体"/>
          <w:color w:val="000000"/>
          <w:sz w:val="24"/>
        </w:rPr>
        <w:t>4</w:t>
      </w:r>
      <w:r>
        <w:rPr>
          <w:rFonts w:hint="eastAsia" w:ascii="宋体" w:hAnsi="宋体"/>
          <w:color w:val="000000"/>
          <w:sz w:val="24"/>
        </w:rPr>
        <w:t>小时内上门解决。</w:t>
      </w:r>
    </w:p>
    <w:p>
      <w:pPr>
        <w:shd w:val="solid" w:color="FFFFFF" w:fill="auto"/>
        <w:autoSpaceDN w:val="0"/>
        <w:spacing w:before="100" w:line="360" w:lineRule="auto"/>
        <w:ind w:firstLine="480" w:firstLineChars="200"/>
        <w:rPr>
          <w:rFonts w:ascii="宋体" w:hAnsi="宋体"/>
        </w:rPr>
      </w:pPr>
      <w:r>
        <w:rPr>
          <w:rFonts w:hint="eastAsia" w:ascii="宋体" w:hAnsi="宋体" w:cs="宋体"/>
          <w:sz w:val="24"/>
        </w:rPr>
        <w:t>（3）、</w:t>
      </w:r>
      <w:r>
        <w:rPr>
          <w:rFonts w:hint="eastAsia" w:ascii="宋体" w:hAnsi="宋体"/>
          <w:sz w:val="24"/>
        </w:rPr>
        <w:t>对提供的产品免费保修期（质保期）为壹年，终身维护，保修期从项目验收合格之日起开始计算，提供的软件产品，提供终身免费升级。</w:t>
      </w:r>
    </w:p>
    <w:p>
      <w:pPr>
        <w:spacing w:line="360" w:lineRule="auto"/>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八、现场勘察</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项目技术和业务咨询联系：建筑工程学院孙老师，联系电话：0562-5882036（15805629163）</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项目负责人：殷老师，联系电话：0562-5882086</w:t>
      </w:r>
    </w:p>
    <w:p>
      <w:pPr>
        <w:spacing w:line="440" w:lineRule="exact"/>
        <w:ind w:firstLine="480" w:firstLineChars="200"/>
        <w:jc w:val="left"/>
        <w:rPr>
          <w:rFonts w:ascii="宋体" w:hAnsi="宋体" w:cs="仿宋"/>
          <w:sz w:val="24"/>
        </w:rPr>
      </w:pPr>
      <w:bookmarkStart w:id="18" w:name="_GoBack"/>
      <w:bookmarkEnd w:id="18"/>
    </w:p>
    <w:p>
      <w:pPr>
        <w:spacing w:line="520" w:lineRule="exact"/>
        <w:jc w:val="center"/>
        <w:rPr>
          <w:rStyle w:val="26"/>
          <w:rFonts w:ascii="宋体" w:hAnsi="宋体"/>
        </w:rPr>
      </w:pPr>
      <w:bookmarkStart w:id="13" w:name="_Toc518667428"/>
    </w:p>
    <w:p>
      <w:pPr>
        <w:spacing w:line="520" w:lineRule="exact"/>
        <w:jc w:val="center"/>
        <w:rPr>
          <w:rStyle w:val="26"/>
          <w:rFonts w:ascii="宋体" w:hAnsi="宋体"/>
        </w:rPr>
      </w:pPr>
    </w:p>
    <w:p>
      <w:pPr>
        <w:spacing w:line="520" w:lineRule="exact"/>
        <w:rPr>
          <w:rStyle w:val="26"/>
          <w:rFonts w:ascii="宋体" w:hAnsi="宋体"/>
        </w:rPr>
      </w:pPr>
    </w:p>
    <w:p>
      <w:pPr>
        <w:spacing w:line="520" w:lineRule="exact"/>
        <w:jc w:val="center"/>
        <w:rPr>
          <w:rStyle w:val="26"/>
          <w:rFonts w:ascii="宋体" w:hAnsi="宋体"/>
        </w:rPr>
      </w:pPr>
      <w:r>
        <w:rPr>
          <w:rStyle w:val="26"/>
          <w:rFonts w:hint="eastAsia" w:ascii="宋体" w:hAnsi="宋体"/>
        </w:rPr>
        <w:br w:type="page"/>
      </w:r>
    </w:p>
    <w:p>
      <w:pPr>
        <w:spacing w:line="520" w:lineRule="exact"/>
        <w:jc w:val="center"/>
        <w:rPr>
          <w:rFonts w:ascii="宋体" w:hAnsi="宋体" w:cs="Arial"/>
          <w:b/>
          <w:sz w:val="36"/>
          <w:szCs w:val="36"/>
        </w:rPr>
      </w:pPr>
      <w:r>
        <w:rPr>
          <w:rStyle w:val="26"/>
          <w:rFonts w:hint="eastAsia" w:ascii="宋体" w:hAnsi="宋体"/>
        </w:rPr>
        <w:t>第二章 磋商响应书格式</w:t>
      </w:r>
      <w:bookmarkEnd w:id="13"/>
    </w:p>
    <w:p>
      <w:pPr>
        <w:pStyle w:val="9"/>
        <w:snapToGrid w:val="0"/>
        <w:jc w:val="left"/>
        <w:outlineLvl w:val="1"/>
        <w:rPr>
          <w:rFonts w:hAnsi="宋体"/>
          <w:b/>
          <w:bCs/>
        </w:rPr>
      </w:pPr>
      <w:bookmarkStart w:id="14" w:name="_Toc491945167"/>
      <w:bookmarkStart w:id="15" w:name="_Hlk450146465"/>
    </w:p>
    <w:bookmarkEnd w:id="14"/>
    <w:bookmarkEnd w:id="15"/>
    <w:p>
      <w:pPr>
        <w:jc w:val="center"/>
        <w:rPr>
          <w:rFonts w:ascii="宋体" w:hAnsi="宋体" w:cs="宋体"/>
          <w:b/>
          <w:bCs/>
          <w:sz w:val="24"/>
        </w:rPr>
      </w:pPr>
    </w:p>
    <w:p>
      <w:pPr>
        <w:jc w:val="center"/>
        <w:rPr>
          <w:rFonts w:ascii="宋体" w:hAnsi="宋体" w:cs="宋体"/>
          <w:b/>
          <w:color w:val="000000"/>
          <w:sz w:val="24"/>
        </w:rPr>
      </w:pPr>
      <w:r>
        <w:rPr>
          <w:rFonts w:hint="eastAsia" w:ascii="宋体" w:hAnsi="宋体" w:cs="宋体"/>
          <w:b/>
          <w:bCs/>
          <w:sz w:val="24"/>
        </w:rPr>
        <w:t>{铜陵学院道路交通辅助设计系统采购项目}竞争性磋商</w:t>
      </w:r>
    </w:p>
    <w:p>
      <w:pPr>
        <w:jc w:val="center"/>
        <w:rPr>
          <w:rFonts w:ascii="宋体" w:hAnsi="宋体" w:cs="宋体"/>
          <w:b/>
          <w:color w:val="000000"/>
          <w:sz w:val="24"/>
        </w:rPr>
      </w:pPr>
    </w:p>
    <w:p>
      <w:pPr>
        <w:jc w:val="center"/>
        <w:rPr>
          <w:rFonts w:ascii="宋体" w:hAnsi="宋体" w:cs="宋体"/>
          <w:b/>
          <w:color w:val="000000"/>
          <w:sz w:val="24"/>
        </w:rPr>
      </w:pPr>
    </w:p>
    <w:p>
      <w:pPr>
        <w:jc w:val="center"/>
        <w:rPr>
          <w:rFonts w:ascii="宋体" w:hAnsi="宋体" w:cs="宋体"/>
          <w:b/>
          <w:bCs/>
          <w:sz w:val="24"/>
        </w:rPr>
      </w:pPr>
      <w:r>
        <w:rPr>
          <w:rFonts w:hint="eastAsia" w:ascii="宋体" w:hAnsi="宋体" w:cs="宋体"/>
          <w:b/>
          <w:bCs/>
          <w:sz w:val="24"/>
        </w:rPr>
        <w:t>磋商响应书</w:t>
      </w:r>
    </w:p>
    <w:p>
      <w:pPr>
        <w:jc w:val="center"/>
        <w:rPr>
          <w:rFonts w:ascii="宋体" w:hAnsi="宋体" w:cs="宋体"/>
          <w:b/>
          <w:color w:val="000000"/>
          <w:sz w:val="24"/>
        </w:rPr>
      </w:pPr>
    </w:p>
    <w:p>
      <w:pPr>
        <w:spacing w:line="360" w:lineRule="auto"/>
        <w:ind w:right="57" w:firstLine="1783" w:firstLineChars="740"/>
        <w:outlineLvl w:val="0"/>
        <w:rPr>
          <w:rFonts w:ascii="宋体" w:hAnsi="宋体" w:cs="宋体"/>
          <w:b/>
          <w:color w:val="000000"/>
          <w:sz w:val="24"/>
          <w:u w:val="single"/>
        </w:rPr>
      </w:pPr>
      <w:bookmarkStart w:id="16" w:name="_Toc18831"/>
      <w:bookmarkStart w:id="17" w:name="_Toc3692"/>
      <w:r>
        <w:rPr>
          <w:rFonts w:hint="eastAsia" w:ascii="宋体" w:hAnsi="宋体" w:cs="宋体"/>
          <w:b/>
          <w:color w:val="000000"/>
          <w:sz w:val="24"/>
        </w:rPr>
        <w:t>项目编号：</w:t>
      </w:r>
      <w:bookmarkEnd w:id="16"/>
      <w:bookmarkEnd w:id="17"/>
    </w:p>
    <w:p>
      <w:pPr>
        <w:spacing w:line="360" w:lineRule="auto"/>
        <w:ind w:right="57"/>
        <w:outlineLvl w:val="0"/>
        <w:rPr>
          <w:rFonts w:ascii="宋体" w:hAnsi="宋体" w:cs="宋体"/>
          <w:b/>
          <w:color w:val="000000"/>
          <w:sz w:val="24"/>
          <w:u w:val="single"/>
        </w:rPr>
      </w:pPr>
    </w:p>
    <w:p>
      <w:pPr>
        <w:jc w:val="center"/>
        <w:rPr>
          <w:rFonts w:ascii="宋体" w:hAnsi="宋体" w:cs="宋体"/>
          <w:b/>
          <w:color w:val="000000"/>
          <w:sz w:val="24"/>
        </w:rPr>
      </w:pPr>
    </w:p>
    <w:p>
      <w:pPr>
        <w:snapToGrid w:val="0"/>
        <w:spacing w:line="480" w:lineRule="auto"/>
        <w:rPr>
          <w:rFonts w:ascii="宋体" w:hAnsi="宋体" w:cs="宋体"/>
          <w:b/>
          <w:color w:val="000000"/>
          <w:sz w:val="24"/>
          <w:u w:val="single"/>
        </w:rPr>
      </w:pPr>
      <w:r>
        <w:rPr>
          <w:rFonts w:hint="eastAsia" w:ascii="宋体" w:hAnsi="宋体" w:cs="宋体"/>
          <w:b/>
          <w:bCs/>
          <w:sz w:val="24"/>
        </w:rPr>
        <w:t>项 目 名 称：</w:t>
      </w:r>
      <w:r>
        <w:rPr>
          <w:rFonts w:hint="eastAsia" w:ascii="宋体" w:hAnsi="宋体" w:cs="宋体"/>
          <w:b/>
          <w:color w:val="000000"/>
          <w:sz w:val="24"/>
          <w:u w:val="single"/>
        </w:rPr>
        <w:t xml:space="preserve"> 铜陵学院道路交通辅助设计系统采购项目项目  </w:t>
      </w:r>
    </w:p>
    <w:p>
      <w:pPr>
        <w:snapToGrid w:val="0"/>
        <w:spacing w:line="480" w:lineRule="auto"/>
        <w:rPr>
          <w:rFonts w:ascii="宋体" w:hAnsi="宋体" w:cs="宋体"/>
          <w:b/>
          <w:color w:val="000000"/>
          <w:sz w:val="24"/>
          <w:u w:val="single"/>
        </w:rPr>
      </w:pPr>
      <w:r>
        <w:rPr>
          <w:rFonts w:hint="eastAsia" w:ascii="宋体" w:hAnsi="宋体" w:cs="宋体"/>
          <w:b/>
          <w:color w:val="000000"/>
          <w:sz w:val="24"/>
        </w:rPr>
        <w:t>招标  人：</w:t>
      </w:r>
      <w:r>
        <w:rPr>
          <w:rFonts w:hint="eastAsia" w:ascii="宋体" w:hAnsi="宋体" w:cs="宋体"/>
          <w:b/>
          <w:color w:val="000000"/>
          <w:sz w:val="24"/>
          <w:u w:val="single"/>
        </w:rPr>
        <w:tab/>
      </w:r>
      <w:r>
        <w:rPr>
          <w:rFonts w:hint="eastAsia" w:ascii="宋体" w:hAnsi="宋体" w:cs="宋体"/>
          <w:b/>
          <w:color w:val="000000"/>
          <w:sz w:val="24"/>
          <w:u w:val="single"/>
        </w:rPr>
        <w:tab/>
      </w:r>
      <w:r>
        <w:rPr>
          <w:rFonts w:hint="eastAsia" w:ascii="宋体" w:hAnsi="宋体" w:cs="宋体"/>
          <w:b/>
          <w:color w:val="000000"/>
          <w:sz w:val="24"/>
          <w:u w:val="single"/>
        </w:rPr>
        <w:tab/>
      </w:r>
      <w:r>
        <w:rPr>
          <w:rFonts w:hint="eastAsia" w:ascii="宋体" w:hAnsi="宋体" w:cs="宋体"/>
          <w:b/>
          <w:color w:val="000000"/>
          <w:sz w:val="24"/>
          <w:u w:val="single"/>
        </w:rPr>
        <w:tab/>
      </w:r>
    </w:p>
    <w:p>
      <w:pPr>
        <w:snapToGrid w:val="0"/>
        <w:spacing w:line="480" w:lineRule="auto"/>
        <w:rPr>
          <w:rFonts w:ascii="宋体" w:hAnsi="宋体" w:cs="宋体"/>
          <w:b/>
          <w:color w:val="000000"/>
          <w:sz w:val="24"/>
        </w:rPr>
      </w:pPr>
      <w:r>
        <w:rPr>
          <w:rFonts w:hint="eastAsia" w:ascii="宋体" w:hAnsi="宋体" w:cs="宋体"/>
          <w:b/>
          <w:color w:val="000000"/>
          <w:sz w:val="24"/>
        </w:rPr>
        <w:t>投标  人：</w:t>
      </w:r>
      <w:r>
        <w:rPr>
          <w:rFonts w:hint="eastAsia" w:ascii="宋体" w:hAnsi="宋体" w:cs="宋体"/>
          <w:b/>
          <w:color w:val="000000"/>
          <w:sz w:val="24"/>
          <w:u w:val="single"/>
        </w:rPr>
        <w:tab/>
      </w:r>
      <w:r>
        <w:rPr>
          <w:rFonts w:hint="eastAsia" w:ascii="宋体" w:hAnsi="宋体" w:cs="宋体"/>
          <w:b/>
          <w:color w:val="000000"/>
          <w:sz w:val="24"/>
          <w:u w:val="single"/>
        </w:rPr>
        <w:tab/>
      </w:r>
      <w:r>
        <w:rPr>
          <w:rFonts w:hint="eastAsia" w:ascii="宋体" w:hAnsi="宋体" w:cs="宋体"/>
          <w:b/>
          <w:color w:val="000000"/>
          <w:sz w:val="24"/>
          <w:u w:val="single"/>
        </w:rPr>
        <w:t xml:space="preserve">      （盖公章）</w:t>
      </w:r>
    </w:p>
    <w:p>
      <w:pPr>
        <w:snapToGrid w:val="0"/>
        <w:rPr>
          <w:rFonts w:ascii="宋体" w:hAnsi="宋体" w:cs="宋体"/>
          <w:b/>
          <w:color w:val="000000"/>
          <w:sz w:val="24"/>
        </w:rPr>
      </w:pPr>
      <w:r>
        <w:rPr>
          <w:rFonts w:hint="eastAsia" w:ascii="宋体" w:hAnsi="宋体" w:cs="宋体"/>
          <w:b/>
          <w:color w:val="000000"/>
          <w:sz w:val="24"/>
        </w:rPr>
        <w:t>法 定 代 表 人</w:t>
      </w:r>
    </w:p>
    <w:p>
      <w:pPr>
        <w:snapToGrid w:val="0"/>
        <w:rPr>
          <w:rFonts w:ascii="宋体" w:hAnsi="宋体" w:cs="宋体"/>
          <w:b/>
          <w:color w:val="000000"/>
          <w:sz w:val="24"/>
        </w:rPr>
      </w:pPr>
      <w:r>
        <w:rPr>
          <w:rFonts w:hint="eastAsia" w:ascii="宋体" w:hAnsi="宋体" w:cs="宋体"/>
          <w:b/>
          <w:color w:val="000000"/>
          <w:sz w:val="24"/>
        </w:rPr>
        <w:t>或其委托代理人：</w:t>
      </w:r>
      <w:r>
        <w:rPr>
          <w:rFonts w:hint="eastAsia" w:ascii="宋体" w:hAnsi="宋体" w:cs="宋体"/>
          <w:b/>
          <w:color w:val="000000"/>
          <w:sz w:val="24"/>
          <w:u w:val="single"/>
        </w:rPr>
        <w:tab/>
      </w:r>
      <w:r>
        <w:rPr>
          <w:rFonts w:hint="eastAsia" w:ascii="宋体" w:hAnsi="宋体" w:cs="宋体"/>
          <w:b/>
          <w:color w:val="000000"/>
          <w:sz w:val="24"/>
          <w:u w:val="single"/>
        </w:rPr>
        <w:t xml:space="preserve">            （签字或盖章）</w:t>
      </w:r>
    </w:p>
    <w:p>
      <w:pPr>
        <w:snapToGrid w:val="0"/>
        <w:spacing w:before="480" w:line="360" w:lineRule="auto"/>
        <w:ind w:firstLine="477" w:firstLineChars="198"/>
        <w:rPr>
          <w:rFonts w:ascii="宋体" w:hAnsi="宋体" w:cs="宋体"/>
          <w:b/>
          <w:color w:val="000000"/>
          <w:sz w:val="24"/>
        </w:rPr>
      </w:pPr>
      <w:r>
        <w:rPr>
          <w:rFonts w:hint="eastAsia" w:ascii="宋体" w:hAnsi="宋体" w:cs="宋体"/>
          <w:b/>
          <w:color w:val="000000"/>
          <w:sz w:val="24"/>
        </w:rPr>
        <w:t>日      期： 年 月日</w:t>
      </w:r>
    </w:p>
    <w:p>
      <w:pPr>
        <w:tabs>
          <w:tab w:val="left" w:pos="420"/>
          <w:tab w:val="left" w:pos="525"/>
        </w:tabs>
        <w:snapToGrid w:val="0"/>
        <w:spacing w:afterLines="50" w:line="440" w:lineRule="exact"/>
        <w:ind w:firstLine="43" w:firstLineChars="18"/>
        <w:rPr>
          <w:rFonts w:ascii="宋体" w:hAnsi="宋体" w:cs="宋体"/>
          <w:b/>
          <w:sz w:val="24"/>
        </w:rPr>
      </w:pPr>
    </w:p>
    <w:p>
      <w:pPr>
        <w:tabs>
          <w:tab w:val="left" w:pos="420"/>
          <w:tab w:val="left" w:pos="525"/>
        </w:tabs>
        <w:snapToGrid w:val="0"/>
        <w:spacing w:afterLines="50" w:line="440" w:lineRule="exact"/>
        <w:ind w:firstLine="43" w:firstLineChars="18"/>
        <w:rPr>
          <w:rFonts w:ascii="宋体" w:hAnsi="宋体" w:cs="宋体"/>
          <w:b/>
          <w:sz w:val="24"/>
        </w:rPr>
      </w:pPr>
    </w:p>
    <w:p>
      <w:pPr>
        <w:tabs>
          <w:tab w:val="left" w:pos="720"/>
        </w:tabs>
        <w:spacing w:beforeLines="100" w:afterLines="100" w:line="360" w:lineRule="auto"/>
        <w:jc w:val="center"/>
        <w:rPr>
          <w:rFonts w:ascii="宋体" w:hAnsi="宋体" w:cs="宋体"/>
          <w:b/>
          <w:sz w:val="24"/>
        </w:rPr>
      </w:pPr>
      <w:r>
        <w:rPr>
          <w:rFonts w:hint="eastAsia" w:ascii="宋体" w:hAnsi="宋体" w:cs="宋体"/>
          <w:b/>
          <w:sz w:val="24"/>
        </w:rPr>
        <w:br w:type="page"/>
      </w:r>
      <w:r>
        <w:rPr>
          <w:rFonts w:hint="eastAsia" w:ascii="宋体" w:hAnsi="宋体" w:cs="宋体"/>
          <w:b/>
          <w:sz w:val="24"/>
        </w:rPr>
        <w:t>目  录</w:t>
      </w:r>
    </w:p>
    <w:p>
      <w:pPr>
        <w:snapToGrid w:val="0"/>
        <w:spacing w:line="500" w:lineRule="exact"/>
        <w:ind w:firstLine="482" w:firstLineChars="200"/>
        <w:rPr>
          <w:rFonts w:ascii="宋体" w:hAnsi="宋体" w:cs="宋体"/>
          <w:b/>
          <w:bCs/>
          <w:sz w:val="24"/>
        </w:rPr>
      </w:pPr>
      <w:r>
        <w:rPr>
          <w:rFonts w:hint="eastAsia" w:ascii="宋体" w:hAnsi="宋体" w:cs="宋体"/>
          <w:b/>
          <w:bCs/>
          <w:sz w:val="24"/>
        </w:rPr>
        <w:t>一、资格审查部分</w:t>
      </w:r>
    </w:p>
    <w:p>
      <w:pPr>
        <w:snapToGrid w:val="0"/>
        <w:spacing w:line="500" w:lineRule="exact"/>
        <w:ind w:firstLine="480" w:firstLineChars="200"/>
        <w:rPr>
          <w:rFonts w:ascii="宋体" w:hAnsi="宋体" w:cs="宋体"/>
          <w:sz w:val="24"/>
        </w:rPr>
      </w:pPr>
      <w:r>
        <w:rPr>
          <w:rFonts w:hint="eastAsia" w:ascii="宋体" w:hAnsi="宋体" w:cs="宋体"/>
          <w:sz w:val="24"/>
        </w:rPr>
        <w:t>1、投标保证金收据或银行回单</w:t>
      </w:r>
    </w:p>
    <w:p>
      <w:pPr>
        <w:snapToGrid w:val="0"/>
        <w:spacing w:line="500" w:lineRule="exact"/>
        <w:ind w:firstLine="480" w:firstLineChars="200"/>
        <w:rPr>
          <w:rFonts w:ascii="宋体" w:hAnsi="宋体" w:cs="宋体"/>
          <w:b/>
          <w:bCs/>
          <w:sz w:val="24"/>
        </w:rPr>
      </w:pPr>
      <w:r>
        <w:rPr>
          <w:rFonts w:hint="eastAsia" w:ascii="宋体" w:hAnsi="宋体" w:cs="宋体"/>
          <w:sz w:val="24"/>
        </w:rPr>
        <w:t>2、法人授权委托书（参考格式附后）</w:t>
      </w:r>
    </w:p>
    <w:p>
      <w:pPr>
        <w:snapToGrid w:val="0"/>
        <w:spacing w:line="500" w:lineRule="exact"/>
        <w:ind w:firstLine="480" w:firstLineChars="200"/>
        <w:rPr>
          <w:rFonts w:ascii="宋体" w:hAnsi="宋体" w:cs="宋体"/>
          <w:b/>
          <w:bCs/>
          <w:sz w:val="24"/>
        </w:rPr>
      </w:pPr>
      <w:r>
        <w:rPr>
          <w:rFonts w:hint="eastAsia" w:ascii="宋体" w:hAnsi="宋体" w:cs="宋体"/>
          <w:sz w:val="24"/>
        </w:rPr>
        <w:t>3、企业法人营业执照副本</w:t>
      </w:r>
    </w:p>
    <w:p>
      <w:pPr>
        <w:snapToGrid w:val="0"/>
        <w:spacing w:line="500" w:lineRule="exact"/>
        <w:ind w:firstLine="480" w:firstLineChars="200"/>
        <w:rPr>
          <w:rFonts w:ascii="宋体" w:hAnsi="宋体" w:cs="宋体"/>
          <w:sz w:val="24"/>
        </w:rPr>
      </w:pPr>
      <w:r>
        <w:rPr>
          <w:rFonts w:hint="eastAsia" w:ascii="宋体" w:hAnsi="宋体" w:cs="宋体"/>
          <w:sz w:val="24"/>
        </w:rPr>
        <w:t>4、区域销售代理商授权书</w:t>
      </w:r>
    </w:p>
    <w:p>
      <w:pPr>
        <w:snapToGrid w:val="0"/>
        <w:spacing w:line="500" w:lineRule="exact"/>
        <w:ind w:firstLine="480" w:firstLineChars="200"/>
        <w:rPr>
          <w:rFonts w:ascii="宋体" w:hAnsi="宋体" w:cs="宋体"/>
          <w:sz w:val="24"/>
        </w:rPr>
      </w:pPr>
      <w:r>
        <w:rPr>
          <w:rFonts w:hint="eastAsia" w:ascii="宋体" w:hAnsi="宋体" w:cs="宋体"/>
          <w:sz w:val="24"/>
        </w:rPr>
        <w:t>6、投标人需要提供的其他文件</w:t>
      </w:r>
    </w:p>
    <w:p>
      <w:pPr>
        <w:snapToGrid w:val="0"/>
        <w:spacing w:line="500" w:lineRule="exact"/>
        <w:ind w:firstLine="482" w:firstLineChars="200"/>
        <w:rPr>
          <w:rFonts w:ascii="宋体" w:hAnsi="宋体" w:cs="宋体"/>
          <w:sz w:val="24"/>
        </w:rPr>
      </w:pPr>
      <w:r>
        <w:rPr>
          <w:rFonts w:hint="eastAsia" w:ascii="宋体" w:hAnsi="宋体" w:cs="宋体"/>
          <w:b/>
          <w:bCs/>
          <w:sz w:val="24"/>
        </w:rPr>
        <w:t>二、技术部分</w:t>
      </w:r>
    </w:p>
    <w:p>
      <w:pPr>
        <w:snapToGrid w:val="0"/>
        <w:spacing w:line="500" w:lineRule="exact"/>
        <w:ind w:firstLine="480" w:firstLineChars="200"/>
        <w:rPr>
          <w:rFonts w:ascii="宋体" w:hAnsi="宋体" w:cs="宋体"/>
          <w:sz w:val="24"/>
        </w:rPr>
      </w:pPr>
      <w:r>
        <w:rPr>
          <w:rFonts w:hint="eastAsia" w:ascii="宋体" w:hAnsi="宋体" w:cs="宋体"/>
          <w:sz w:val="24"/>
        </w:rPr>
        <w:t>1、投标函（参考格式附后）</w:t>
      </w:r>
    </w:p>
    <w:p>
      <w:pPr>
        <w:snapToGrid w:val="0"/>
        <w:spacing w:line="500" w:lineRule="exact"/>
        <w:ind w:firstLine="480" w:firstLineChars="200"/>
        <w:rPr>
          <w:rFonts w:ascii="宋体" w:hAnsi="宋体" w:cs="宋体"/>
          <w:sz w:val="24"/>
        </w:rPr>
      </w:pPr>
      <w:r>
        <w:rPr>
          <w:rFonts w:hint="eastAsia" w:ascii="宋体" w:hAnsi="宋体" w:cs="宋体"/>
          <w:sz w:val="24"/>
        </w:rPr>
        <w:t>2、投标人服务承诺函（参考格式附后）</w:t>
      </w:r>
    </w:p>
    <w:p>
      <w:pPr>
        <w:snapToGrid w:val="0"/>
        <w:spacing w:line="500" w:lineRule="exact"/>
        <w:ind w:firstLine="480" w:firstLineChars="200"/>
        <w:rPr>
          <w:rFonts w:ascii="宋体" w:hAnsi="宋体" w:cs="宋体"/>
          <w:sz w:val="24"/>
        </w:rPr>
      </w:pPr>
      <w:r>
        <w:rPr>
          <w:rFonts w:hint="eastAsia" w:ascii="宋体" w:hAnsi="宋体" w:cs="宋体"/>
          <w:sz w:val="24"/>
        </w:rPr>
        <w:t>3、技术指标要求响应表（参考格式附后）</w:t>
      </w:r>
    </w:p>
    <w:p>
      <w:pPr>
        <w:snapToGrid w:val="0"/>
        <w:spacing w:line="500" w:lineRule="exact"/>
        <w:ind w:firstLine="480" w:firstLineChars="200"/>
        <w:rPr>
          <w:rFonts w:ascii="宋体" w:hAnsi="宋体" w:cs="宋体"/>
          <w:sz w:val="24"/>
        </w:rPr>
      </w:pPr>
      <w:r>
        <w:rPr>
          <w:rFonts w:hint="eastAsia" w:ascii="宋体" w:hAnsi="宋体" w:cs="宋体"/>
          <w:sz w:val="24"/>
        </w:rPr>
        <w:t>4、投标人需要说明的其他文件</w:t>
      </w:r>
    </w:p>
    <w:p>
      <w:pPr>
        <w:snapToGrid w:val="0"/>
        <w:spacing w:line="500" w:lineRule="exact"/>
        <w:ind w:firstLine="482" w:firstLineChars="200"/>
        <w:rPr>
          <w:rFonts w:ascii="宋体" w:hAnsi="宋体" w:cs="宋体"/>
          <w:b/>
          <w:bCs/>
          <w:sz w:val="24"/>
        </w:rPr>
      </w:pPr>
      <w:r>
        <w:rPr>
          <w:rFonts w:hint="eastAsia" w:ascii="宋体" w:hAnsi="宋体" w:cs="宋体"/>
          <w:b/>
          <w:bCs/>
          <w:sz w:val="24"/>
        </w:rPr>
        <w:t>三、商务部分</w:t>
      </w:r>
    </w:p>
    <w:p>
      <w:pPr>
        <w:pStyle w:val="9"/>
        <w:spacing w:line="360" w:lineRule="auto"/>
        <w:ind w:firstLine="720" w:firstLineChars="300"/>
        <w:rPr>
          <w:rFonts w:hAnsi="宋体" w:cs="宋体"/>
          <w:color w:val="000000"/>
          <w:sz w:val="24"/>
          <w:szCs w:val="24"/>
        </w:rPr>
      </w:pPr>
      <w:r>
        <w:rPr>
          <w:rFonts w:hint="eastAsia" w:hAnsi="宋体" w:cs="宋体"/>
          <w:color w:val="000000"/>
          <w:sz w:val="24"/>
          <w:szCs w:val="24"/>
        </w:rPr>
        <w:t>1、投标报价表</w:t>
      </w:r>
    </w:p>
    <w:p>
      <w:pPr>
        <w:tabs>
          <w:tab w:val="left" w:pos="420"/>
          <w:tab w:val="left" w:pos="525"/>
        </w:tabs>
        <w:snapToGrid w:val="0"/>
        <w:spacing w:afterLines="50" w:line="440" w:lineRule="exact"/>
        <w:rPr>
          <w:rFonts w:ascii="宋体" w:hAnsi="宋体" w:cs="宋体"/>
          <w:b/>
          <w:sz w:val="24"/>
        </w:rPr>
      </w:pPr>
    </w:p>
    <w:p>
      <w:pPr>
        <w:tabs>
          <w:tab w:val="left" w:pos="420"/>
          <w:tab w:val="left" w:pos="525"/>
        </w:tabs>
        <w:snapToGrid w:val="0"/>
        <w:spacing w:afterLines="50" w:line="440" w:lineRule="exact"/>
        <w:rPr>
          <w:rFonts w:ascii="宋体" w:hAnsi="宋体" w:cs="宋体"/>
          <w:b/>
          <w:sz w:val="24"/>
        </w:rPr>
      </w:pPr>
    </w:p>
    <w:p>
      <w:pPr>
        <w:tabs>
          <w:tab w:val="left" w:pos="420"/>
          <w:tab w:val="left" w:pos="525"/>
        </w:tabs>
        <w:snapToGrid w:val="0"/>
        <w:spacing w:afterLines="50" w:line="440" w:lineRule="exact"/>
        <w:rPr>
          <w:rFonts w:ascii="宋体" w:hAnsi="宋体" w:cs="宋体"/>
          <w:b/>
          <w:sz w:val="24"/>
        </w:rPr>
      </w:pPr>
      <w:r>
        <w:rPr>
          <w:rFonts w:hint="eastAsia" w:ascii="宋体" w:hAnsi="宋体" w:cs="宋体"/>
          <w:b/>
          <w:sz w:val="24"/>
        </w:rPr>
        <w:br w:type="textWrapping"/>
      </w:r>
      <w:r>
        <w:rPr>
          <w:rFonts w:hint="eastAsia" w:ascii="宋体" w:hAnsi="宋体" w:cs="宋体"/>
          <w:b/>
          <w:sz w:val="24"/>
        </w:rPr>
        <w:br w:type="textWrapping"/>
      </w:r>
      <w:r>
        <w:rPr>
          <w:rFonts w:hint="eastAsia" w:ascii="宋体" w:hAnsi="宋体" w:cs="宋体"/>
          <w:b/>
          <w:sz w:val="24"/>
        </w:rPr>
        <w:br w:type="textWrapping"/>
      </w:r>
      <w:r>
        <w:rPr>
          <w:rFonts w:hint="eastAsia" w:ascii="宋体" w:hAnsi="宋体" w:cs="宋体"/>
          <w:b/>
          <w:sz w:val="24"/>
        </w:rPr>
        <w:br w:type="textWrapping"/>
      </w:r>
    </w:p>
    <w:p>
      <w:pPr>
        <w:tabs>
          <w:tab w:val="left" w:pos="420"/>
          <w:tab w:val="left" w:pos="525"/>
        </w:tabs>
        <w:snapToGrid w:val="0"/>
        <w:spacing w:afterLines="50" w:line="440" w:lineRule="exact"/>
        <w:rPr>
          <w:rFonts w:ascii="宋体" w:hAnsi="宋体" w:cs="宋体"/>
          <w:b/>
          <w:sz w:val="24"/>
        </w:rPr>
      </w:pPr>
    </w:p>
    <w:p>
      <w:pPr>
        <w:tabs>
          <w:tab w:val="left" w:pos="420"/>
          <w:tab w:val="left" w:pos="525"/>
        </w:tabs>
        <w:snapToGrid w:val="0"/>
        <w:spacing w:afterLines="50" w:line="440" w:lineRule="exact"/>
        <w:rPr>
          <w:rFonts w:ascii="宋体" w:hAnsi="宋体" w:cs="宋体"/>
          <w:b/>
          <w:bCs/>
          <w:sz w:val="24"/>
        </w:rPr>
      </w:pPr>
      <w:r>
        <w:rPr>
          <w:rFonts w:hint="eastAsia" w:ascii="宋体" w:hAnsi="宋体" w:cs="宋体"/>
          <w:b/>
          <w:sz w:val="24"/>
        </w:rPr>
        <w:br w:type="page"/>
      </w:r>
    </w:p>
    <w:p>
      <w:pPr>
        <w:tabs>
          <w:tab w:val="left" w:pos="420"/>
          <w:tab w:val="left" w:pos="525"/>
        </w:tabs>
        <w:snapToGrid w:val="0"/>
        <w:spacing w:afterLines="50" w:line="440" w:lineRule="exact"/>
        <w:rPr>
          <w:rFonts w:ascii="宋体" w:hAnsi="宋体" w:cs="宋体"/>
          <w:b/>
          <w:sz w:val="24"/>
        </w:rPr>
      </w:pPr>
      <w:r>
        <w:rPr>
          <w:rFonts w:hint="eastAsia" w:ascii="宋体" w:hAnsi="宋体" w:cs="宋体"/>
          <w:b/>
          <w:sz w:val="24"/>
        </w:rPr>
        <w:t>附件一</w:t>
      </w:r>
    </w:p>
    <w:p>
      <w:pPr>
        <w:tabs>
          <w:tab w:val="left" w:pos="420"/>
          <w:tab w:val="left" w:pos="525"/>
        </w:tabs>
        <w:snapToGrid w:val="0"/>
        <w:spacing w:afterLines="50" w:line="380" w:lineRule="exact"/>
        <w:ind w:firstLine="1080" w:firstLineChars="450"/>
        <w:rPr>
          <w:rFonts w:ascii="宋体" w:hAnsi="宋体" w:cs="宋体"/>
          <w:sz w:val="24"/>
        </w:rPr>
      </w:pPr>
    </w:p>
    <w:p>
      <w:pPr>
        <w:spacing w:line="240" w:lineRule="atLeast"/>
        <w:jc w:val="center"/>
        <w:rPr>
          <w:rFonts w:ascii="宋体" w:hAnsi="宋体" w:cs="宋体"/>
          <w:b/>
          <w:sz w:val="24"/>
        </w:rPr>
      </w:pPr>
      <w:r>
        <w:rPr>
          <w:rFonts w:hint="eastAsia" w:ascii="宋体" w:hAnsi="宋体" w:cs="宋体"/>
          <w:b/>
          <w:sz w:val="24"/>
        </w:rPr>
        <w:t>法定代表人授权书</w:t>
      </w:r>
    </w:p>
    <w:p>
      <w:pPr>
        <w:rPr>
          <w:rFonts w:ascii="宋体" w:hAnsi="宋体" w:cs="宋体"/>
          <w:sz w:val="24"/>
          <w:u w:val="single"/>
        </w:rPr>
      </w:pPr>
    </w:p>
    <w:p>
      <w:pPr>
        <w:tabs>
          <w:tab w:val="left" w:pos="525"/>
        </w:tabs>
        <w:adjustRightInd w:val="0"/>
        <w:snapToGrid w:val="0"/>
        <w:spacing w:line="480" w:lineRule="atLeast"/>
        <w:ind w:left="-3"/>
        <w:rPr>
          <w:rFonts w:ascii="宋体" w:hAnsi="宋体" w:cs="宋体"/>
          <w:sz w:val="24"/>
        </w:rPr>
      </w:pPr>
      <w:r>
        <w:rPr>
          <w:rFonts w:hint="eastAsia" w:ascii="宋体" w:hAnsi="宋体" w:cs="宋体"/>
          <w:sz w:val="24"/>
        </w:rPr>
        <w:t>致：（招标人）</w:t>
      </w:r>
    </w:p>
    <w:p>
      <w:pPr>
        <w:spacing w:line="360" w:lineRule="auto"/>
        <w:ind w:firstLine="480" w:firstLineChars="200"/>
        <w:rPr>
          <w:rFonts w:ascii="宋体" w:hAnsi="宋体" w:cs="宋体"/>
          <w:sz w:val="24"/>
        </w:rPr>
      </w:pPr>
    </w:p>
    <w:p>
      <w:pPr>
        <w:ind w:firstLine="480" w:firstLineChars="200"/>
        <w:rPr>
          <w:rFonts w:ascii="宋体" w:hAnsi="宋体" w:cs="宋体"/>
          <w:sz w:val="24"/>
        </w:rPr>
      </w:pPr>
      <w:r>
        <w:rPr>
          <w:rFonts w:hint="eastAsia" w:ascii="宋体" w:hAnsi="宋体" w:cs="宋体"/>
          <w:sz w:val="24"/>
        </w:rPr>
        <w:t>本授权书声明：（供应商名称）的（法人代表姓名、职</w:t>
      </w:r>
    </w:p>
    <w:p>
      <w:pPr>
        <w:ind w:firstLine="480" w:firstLineChars="200"/>
        <w:rPr>
          <w:rFonts w:ascii="宋体" w:hAnsi="宋体" w:cs="宋体"/>
          <w:sz w:val="24"/>
        </w:rPr>
      </w:pPr>
    </w:p>
    <w:p>
      <w:pPr>
        <w:rPr>
          <w:rFonts w:ascii="宋体" w:hAnsi="宋体" w:cs="宋体"/>
          <w:sz w:val="24"/>
        </w:rPr>
      </w:pPr>
      <w:r>
        <w:rPr>
          <w:rFonts w:hint="eastAsia" w:ascii="宋体" w:hAnsi="宋体" w:cs="宋体"/>
          <w:sz w:val="24"/>
        </w:rPr>
        <w:t>务）授权（被授权人的姓名、职务）为我方就号＂</w:t>
      </w:r>
      <w:r>
        <w:rPr>
          <w:rFonts w:hint="eastAsia" w:ascii="宋体" w:hAnsi="宋体" w:cs="宋体"/>
          <w:sz w:val="24"/>
          <w:u w:val="single"/>
        </w:rPr>
        <w:t>（项目全称）</w:t>
      </w:r>
      <w:r>
        <w:rPr>
          <w:rFonts w:hint="eastAsia" w:ascii="宋体" w:hAnsi="宋体" w:cs="宋体"/>
          <w:sz w:val="24"/>
        </w:rPr>
        <w:t>＂</w:t>
      </w:r>
    </w:p>
    <w:p>
      <w:pPr>
        <w:ind w:firstLine="480" w:firstLineChars="200"/>
        <w:rPr>
          <w:rFonts w:ascii="宋体" w:hAnsi="宋体" w:cs="宋体"/>
          <w:sz w:val="24"/>
        </w:rPr>
      </w:pPr>
    </w:p>
    <w:p>
      <w:pPr>
        <w:rPr>
          <w:rFonts w:ascii="宋体" w:hAnsi="宋体" w:cs="宋体"/>
          <w:sz w:val="24"/>
        </w:rPr>
      </w:pPr>
      <w:r>
        <w:rPr>
          <w:rFonts w:hint="eastAsia" w:ascii="宋体" w:hAnsi="宋体" w:cs="宋体"/>
          <w:sz w:val="24"/>
        </w:rPr>
        <w:t>项目竞争性磋商活动的合法代理人，以我方名义全权处理与该项目响应、磋</w:t>
      </w:r>
    </w:p>
    <w:p>
      <w:pPr>
        <w:ind w:firstLine="480" w:firstLineChars="200"/>
        <w:rPr>
          <w:rFonts w:ascii="宋体" w:hAnsi="宋体" w:cs="宋体"/>
          <w:sz w:val="24"/>
        </w:rPr>
      </w:pPr>
    </w:p>
    <w:p>
      <w:pPr>
        <w:rPr>
          <w:rFonts w:ascii="宋体"/>
          <w:sz w:val="28"/>
          <w:szCs w:val="28"/>
        </w:rPr>
      </w:pPr>
      <w:r>
        <w:rPr>
          <w:rFonts w:hint="eastAsia" w:ascii="宋体" w:hAnsi="宋体" w:cs="宋体"/>
          <w:sz w:val="24"/>
        </w:rPr>
        <w:t>商、签订合同以及合同执行有关的一切事务。</w:t>
      </w:r>
    </w:p>
    <w:p>
      <w:pPr>
        <w:spacing w:line="360" w:lineRule="auto"/>
        <w:ind w:firstLine="540"/>
        <w:rPr>
          <w:rFonts w:ascii="宋体" w:hAnsi="宋体" w:cs="宋体"/>
          <w:sz w:val="24"/>
        </w:rPr>
      </w:pPr>
    </w:p>
    <w:p>
      <w:pPr>
        <w:spacing w:line="360" w:lineRule="auto"/>
        <w:ind w:firstLine="720" w:firstLineChars="300"/>
        <w:rPr>
          <w:rFonts w:ascii="宋体" w:hAnsi="宋体" w:cs="宋体"/>
          <w:sz w:val="24"/>
        </w:rPr>
      </w:pPr>
      <w:r>
        <w:rPr>
          <w:rFonts w:hint="eastAsia" w:ascii="宋体" w:hAnsi="宋体" w:cs="宋体"/>
          <w:sz w:val="24"/>
        </w:rPr>
        <w:t>特此声明</w:t>
      </w:r>
    </w:p>
    <w:p>
      <w:pPr>
        <w:spacing w:line="360" w:lineRule="auto"/>
        <w:ind w:firstLine="720" w:firstLineChars="300"/>
        <w:rPr>
          <w:rFonts w:ascii="宋体" w:hAnsi="宋体" w:cs="宋体"/>
          <w:sz w:val="24"/>
        </w:rPr>
      </w:pPr>
    </w:p>
    <w:p>
      <w:pPr>
        <w:spacing w:line="360" w:lineRule="auto"/>
        <w:rPr>
          <w:rFonts w:ascii="宋体" w:hAnsi="宋体" w:cs="宋体"/>
          <w:sz w:val="24"/>
          <w:u w:val="single"/>
        </w:rPr>
      </w:pPr>
      <w:r>
        <w:rPr>
          <w:rFonts w:hint="eastAsia" w:ascii="宋体" w:hAnsi="宋体" w:cs="宋体"/>
          <w:sz w:val="24"/>
        </w:rPr>
        <w:t>法定代表人签字盖章：-----------------------------------------</w:t>
      </w:r>
    </w:p>
    <w:p>
      <w:pPr>
        <w:spacing w:line="360" w:lineRule="auto"/>
        <w:ind w:firstLine="720" w:firstLineChars="300"/>
        <w:rPr>
          <w:rFonts w:ascii="宋体" w:hAnsi="宋体" w:cs="宋体"/>
          <w:sz w:val="24"/>
        </w:rPr>
      </w:pPr>
      <w:r>
        <w:rPr>
          <w:rFonts w:hint="eastAsia" w:ascii="宋体" w:hAnsi="宋体" w:cs="宋体"/>
          <w:sz w:val="24"/>
        </w:rPr>
        <w:t>职    务：------------------------------------------------</w:t>
      </w:r>
    </w:p>
    <w:p>
      <w:pPr>
        <w:spacing w:line="360" w:lineRule="auto"/>
        <w:ind w:firstLine="720" w:firstLineChars="300"/>
        <w:rPr>
          <w:rFonts w:ascii="宋体" w:hAnsi="宋体" w:cs="宋体"/>
          <w:sz w:val="24"/>
        </w:rPr>
      </w:pPr>
      <w:r>
        <w:rPr>
          <w:rFonts w:hint="eastAsia" w:ascii="宋体" w:hAnsi="宋体" w:cs="宋体"/>
          <w:sz w:val="24"/>
        </w:rPr>
        <w:t>单位名称：------------------------------------------------</w:t>
      </w:r>
    </w:p>
    <w:p>
      <w:pPr>
        <w:spacing w:line="360" w:lineRule="auto"/>
        <w:ind w:firstLine="720" w:firstLineChars="300"/>
        <w:rPr>
          <w:rFonts w:ascii="宋体" w:hAnsi="宋体" w:cs="宋体"/>
          <w:sz w:val="24"/>
        </w:rPr>
      </w:pPr>
    </w:p>
    <w:p>
      <w:pPr>
        <w:spacing w:line="360" w:lineRule="auto"/>
        <w:rPr>
          <w:rFonts w:ascii="宋体" w:hAnsi="宋体" w:cs="宋体"/>
          <w:sz w:val="24"/>
        </w:rPr>
      </w:pPr>
      <w:r>
        <w:rPr>
          <w:rFonts w:hint="eastAsia" w:ascii="宋体" w:hAnsi="宋体" w:cs="宋体"/>
          <w:sz w:val="24"/>
        </w:rPr>
        <w:t>代理人（被授权人）签字盖章：------------------------------------</w:t>
      </w:r>
    </w:p>
    <w:p>
      <w:pPr>
        <w:spacing w:line="360" w:lineRule="auto"/>
        <w:ind w:firstLine="720" w:firstLineChars="300"/>
        <w:rPr>
          <w:rFonts w:ascii="宋体" w:hAnsi="宋体" w:cs="宋体"/>
          <w:sz w:val="24"/>
        </w:rPr>
      </w:pPr>
      <w:r>
        <w:rPr>
          <w:rFonts w:hint="eastAsia" w:ascii="宋体" w:hAnsi="宋体" w:cs="宋体"/>
          <w:sz w:val="24"/>
        </w:rPr>
        <w:t>职    务：------------------------------------------------</w:t>
      </w:r>
    </w:p>
    <w:p>
      <w:pPr>
        <w:spacing w:line="360" w:lineRule="auto"/>
        <w:ind w:firstLine="720" w:firstLineChars="300"/>
        <w:rPr>
          <w:rFonts w:ascii="宋体" w:hAnsi="宋体" w:cs="宋体"/>
          <w:sz w:val="24"/>
        </w:rPr>
      </w:pPr>
      <w:r>
        <w:rPr>
          <w:rFonts w:hint="eastAsia" w:ascii="宋体" w:hAnsi="宋体" w:cs="宋体"/>
          <w:sz w:val="24"/>
        </w:rPr>
        <w:t>单位名称：------------------------------------------------</w:t>
      </w:r>
    </w:p>
    <w:p>
      <w:pPr>
        <w:spacing w:line="360" w:lineRule="auto"/>
        <w:ind w:firstLine="720" w:firstLineChars="300"/>
        <w:rPr>
          <w:rFonts w:ascii="宋体" w:hAnsi="宋体" w:cs="宋体"/>
          <w:sz w:val="24"/>
        </w:rPr>
      </w:pPr>
    </w:p>
    <w:p>
      <w:pPr>
        <w:spacing w:line="360" w:lineRule="auto"/>
        <w:ind w:firstLine="600" w:firstLineChars="250"/>
        <w:rPr>
          <w:rFonts w:ascii="宋体" w:hAnsi="宋体" w:cs="宋体"/>
          <w:sz w:val="24"/>
        </w:rPr>
      </w:pPr>
      <w:r>
        <w:rPr>
          <w:rFonts w:hint="eastAsia" w:ascii="宋体" w:hAnsi="宋体" w:cs="宋体"/>
          <w:sz w:val="24"/>
        </w:rPr>
        <w:t>日    期：</w:t>
      </w:r>
    </w:p>
    <w:p>
      <w:pPr>
        <w:pStyle w:val="9"/>
        <w:snapToGrid w:val="0"/>
        <w:rPr>
          <w:rFonts w:hAnsi="宋体" w:cs="宋体"/>
          <w:sz w:val="24"/>
          <w:szCs w:val="24"/>
          <w:u w:val="single"/>
        </w:rPr>
      </w:pPr>
    </w:p>
    <w:p>
      <w:pPr>
        <w:tabs>
          <w:tab w:val="left" w:pos="420"/>
          <w:tab w:val="left" w:pos="525"/>
        </w:tabs>
        <w:snapToGrid w:val="0"/>
        <w:spacing w:beforeLines="50" w:line="440" w:lineRule="exact"/>
        <w:rPr>
          <w:rFonts w:ascii="宋体" w:hAnsi="宋体" w:cs="宋体"/>
          <w:b/>
          <w:sz w:val="24"/>
        </w:rPr>
      </w:pPr>
    </w:p>
    <w:p>
      <w:pPr>
        <w:tabs>
          <w:tab w:val="left" w:pos="420"/>
          <w:tab w:val="left" w:pos="525"/>
        </w:tabs>
        <w:snapToGrid w:val="0"/>
        <w:spacing w:beforeLines="50" w:line="440" w:lineRule="exact"/>
        <w:rPr>
          <w:rFonts w:ascii="宋体" w:hAnsi="宋体" w:cs="宋体"/>
          <w:b/>
          <w:sz w:val="24"/>
        </w:rPr>
      </w:pPr>
    </w:p>
    <w:p>
      <w:pPr>
        <w:tabs>
          <w:tab w:val="left" w:pos="420"/>
          <w:tab w:val="left" w:pos="525"/>
        </w:tabs>
        <w:snapToGrid w:val="0"/>
        <w:spacing w:beforeLines="50" w:line="440" w:lineRule="exact"/>
        <w:rPr>
          <w:rFonts w:ascii="宋体" w:hAnsi="宋体" w:cs="宋体"/>
          <w:b/>
          <w:sz w:val="24"/>
        </w:rPr>
      </w:pPr>
    </w:p>
    <w:p>
      <w:pPr>
        <w:tabs>
          <w:tab w:val="left" w:pos="420"/>
          <w:tab w:val="left" w:pos="525"/>
        </w:tabs>
        <w:snapToGrid w:val="0"/>
        <w:spacing w:beforeLines="50" w:line="440" w:lineRule="exact"/>
        <w:rPr>
          <w:rFonts w:ascii="宋体" w:hAnsi="宋体" w:cs="宋体"/>
          <w:b/>
          <w:sz w:val="24"/>
        </w:rPr>
      </w:pPr>
      <w:r>
        <w:rPr>
          <w:rFonts w:hint="eastAsia" w:ascii="宋体" w:hAnsi="宋体" w:cs="宋体"/>
          <w:b/>
          <w:sz w:val="24"/>
        </w:rPr>
        <w:br w:type="page"/>
      </w:r>
    </w:p>
    <w:p>
      <w:pPr>
        <w:tabs>
          <w:tab w:val="left" w:pos="420"/>
          <w:tab w:val="left" w:pos="525"/>
        </w:tabs>
        <w:snapToGrid w:val="0"/>
        <w:spacing w:beforeLines="50" w:line="440" w:lineRule="exact"/>
        <w:rPr>
          <w:rFonts w:ascii="宋体" w:hAnsi="宋体" w:cs="宋体"/>
          <w:b/>
          <w:sz w:val="24"/>
        </w:rPr>
      </w:pPr>
      <w:r>
        <w:rPr>
          <w:rFonts w:hint="eastAsia" w:ascii="宋体" w:hAnsi="宋体" w:cs="宋体"/>
          <w:b/>
          <w:sz w:val="24"/>
        </w:rPr>
        <w:t>附件二</w:t>
      </w:r>
    </w:p>
    <w:p>
      <w:pPr>
        <w:tabs>
          <w:tab w:val="left" w:pos="420"/>
          <w:tab w:val="left" w:pos="525"/>
        </w:tabs>
        <w:snapToGrid w:val="0"/>
        <w:spacing w:afterLines="50" w:line="440" w:lineRule="exact"/>
        <w:jc w:val="center"/>
        <w:rPr>
          <w:rFonts w:ascii="宋体" w:hAnsi="宋体" w:cs="宋体"/>
          <w:b/>
          <w:sz w:val="24"/>
        </w:rPr>
      </w:pPr>
      <w:r>
        <w:rPr>
          <w:rFonts w:hint="eastAsia" w:ascii="宋体" w:hAnsi="宋体" w:cs="宋体"/>
          <w:b/>
          <w:sz w:val="24"/>
        </w:rPr>
        <w:t>投  标  函</w:t>
      </w:r>
    </w:p>
    <w:p>
      <w:pPr>
        <w:tabs>
          <w:tab w:val="left" w:pos="420"/>
          <w:tab w:val="left" w:pos="525"/>
        </w:tabs>
        <w:snapToGrid w:val="0"/>
        <w:spacing w:afterLines="50" w:line="380" w:lineRule="exact"/>
        <w:rPr>
          <w:rFonts w:ascii="宋体" w:hAnsi="宋体" w:cs="宋体"/>
          <w:sz w:val="24"/>
          <w:u w:val="single"/>
        </w:rPr>
      </w:pPr>
      <w:r>
        <w:rPr>
          <w:rFonts w:hint="eastAsia" w:ascii="宋体" w:hAnsi="宋体" w:cs="宋体"/>
          <w:sz w:val="24"/>
        </w:rPr>
        <w:t>致：</w:t>
      </w:r>
      <w:r>
        <w:rPr>
          <w:rFonts w:hint="eastAsia" w:ascii="宋体" w:hAnsi="宋体" w:cs="宋体"/>
          <w:sz w:val="24"/>
          <w:u w:val="single"/>
        </w:rPr>
        <w:t xml:space="preserve">           </w:t>
      </w:r>
      <w:r>
        <w:rPr>
          <w:rFonts w:hint="eastAsia" w:ascii="宋体" w:hAnsi="宋体" w:cs="宋体"/>
          <w:sz w:val="24"/>
        </w:rPr>
        <w:t>（招标人）</w:t>
      </w:r>
    </w:p>
    <w:p>
      <w:pPr>
        <w:tabs>
          <w:tab w:val="left" w:pos="420"/>
          <w:tab w:val="left" w:pos="525"/>
        </w:tabs>
        <w:snapToGrid w:val="0"/>
        <w:spacing w:afterLines="50" w:line="380" w:lineRule="exact"/>
        <w:ind w:firstLine="480" w:firstLineChars="200"/>
        <w:rPr>
          <w:rFonts w:ascii="宋体" w:hAnsi="宋体" w:cs="宋体"/>
          <w:sz w:val="24"/>
        </w:rPr>
      </w:pPr>
      <w:r>
        <w:rPr>
          <w:rFonts w:hint="eastAsia" w:ascii="宋体" w:hAnsi="宋体" w:cs="宋体"/>
          <w:sz w:val="24"/>
        </w:rPr>
        <w:t>1、根据你方招标项目招标文件，遵照《中华人民共和国招标投标法》等有关规定，经踏勘项目现场和研究上述招标文件的投标须知、合同条款及其他有关文件后，我方愿以人民币(大写)元、（小写）元的投标报价并按你方提供的合同条款、招标文件的条件要求承包上述项目承担任何质量缺陷保修责任。</w:t>
      </w:r>
    </w:p>
    <w:p>
      <w:pPr>
        <w:tabs>
          <w:tab w:val="left" w:pos="420"/>
          <w:tab w:val="left" w:pos="525"/>
        </w:tabs>
        <w:snapToGrid w:val="0"/>
        <w:spacing w:afterLines="50" w:line="380" w:lineRule="exact"/>
        <w:ind w:firstLine="480" w:firstLineChars="200"/>
        <w:rPr>
          <w:rFonts w:ascii="宋体" w:hAnsi="宋体" w:cs="宋体"/>
          <w:sz w:val="24"/>
        </w:rPr>
      </w:pPr>
      <w:r>
        <w:rPr>
          <w:rFonts w:hint="eastAsia" w:ascii="宋体" w:hAnsi="宋体" w:cs="宋体"/>
          <w:sz w:val="24"/>
        </w:rPr>
        <w:t>2、我方已详细审核全部招标文件，包括修改文件（如有时）及有关附件。我们完全理解并同意放弃对这方面有不明及误解的权利。 </w:t>
      </w:r>
    </w:p>
    <w:p>
      <w:pPr>
        <w:tabs>
          <w:tab w:val="left" w:pos="420"/>
          <w:tab w:val="left" w:pos="525"/>
        </w:tabs>
        <w:snapToGrid w:val="0"/>
        <w:spacing w:afterLines="50" w:line="380" w:lineRule="exact"/>
        <w:ind w:firstLine="480" w:firstLineChars="200"/>
        <w:rPr>
          <w:rFonts w:ascii="宋体" w:hAnsi="宋体" w:cs="宋体"/>
          <w:sz w:val="24"/>
        </w:rPr>
      </w:pPr>
      <w:r>
        <w:rPr>
          <w:rFonts w:hint="eastAsia" w:ascii="宋体" w:hAnsi="宋体" w:cs="宋体"/>
          <w:sz w:val="24"/>
        </w:rPr>
        <w:t>3、一旦我方中标，我方保证按合同协议书中规定的服务期内做好服务，质量</w:t>
      </w:r>
      <w:r>
        <w:rPr>
          <w:rFonts w:hint="eastAsia" w:ascii="宋体" w:hAnsi="宋体" w:cs="宋体"/>
          <w:bCs/>
          <w:sz w:val="24"/>
        </w:rPr>
        <w:t>满足国家规范要求</w:t>
      </w:r>
      <w:r>
        <w:rPr>
          <w:rFonts w:hint="eastAsia" w:ascii="宋体" w:hAnsi="宋体" w:cs="宋体"/>
          <w:sz w:val="24"/>
        </w:rPr>
        <w:t>。</w:t>
      </w:r>
    </w:p>
    <w:p>
      <w:pPr>
        <w:tabs>
          <w:tab w:val="left" w:pos="420"/>
          <w:tab w:val="left" w:pos="525"/>
        </w:tabs>
        <w:snapToGrid w:val="0"/>
        <w:spacing w:afterLines="50" w:line="380" w:lineRule="exact"/>
        <w:ind w:firstLine="480" w:firstLineChars="200"/>
        <w:rPr>
          <w:rFonts w:ascii="宋体" w:hAnsi="宋体" w:cs="宋体"/>
          <w:sz w:val="24"/>
        </w:rPr>
      </w:pPr>
      <w:r>
        <w:rPr>
          <w:rFonts w:hint="eastAsia" w:ascii="宋体" w:hAnsi="宋体" w:cs="宋体"/>
          <w:sz w:val="24"/>
        </w:rPr>
        <w:t>4、我方同意所提交的投标文件在招标文件的投标有效期内有效，在此期间内如果中标，我方将受此约束。 </w:t>
      </w:r>
    </w:p>
    <w:p>
      <w:pPr>
        <w:tabs>
          <w:tab w:val="left" w:pos="420"/>
          <w:tab w:val="left" w:pos="525"/>
        </w:tabs>
        <w:snapToGrid w:val="0"/>
        <w:spacing w:afterLines="50" w:line="380" w:lineRule="exact"/>
        <w:ind w:firstLine="480" w:firstLineChars="200"/>
        <w:rPr>
          <w:rFonts w:ascii="宋体" w:hAnsi="宋体" w:cs="宋体"/>
          <w:sz w:val="24"/>
        </w:rPr>
      </w:pPr>
      <w:r>
        <w:rPr>
          <w:rFonts w:hint="eastAsia" w:ascii="宋体" w:hAnsi="宋体" w:cs="宋体"/>
          <w:sz w:val="24"/>
        </w:rPr>
        <w:t>5、除非另外达成协议并生效，你方的中标通知书和本投标文件将成为约束双方的合同文件的组成部分。 </w:t>
      </w:r>
    </w:p>
    <w:p>
      <w:pPr>
        <w:tabs>
          <w:tab w:val="left" w:pos="420"/>
          <w:tab w:val="left" w:pos="525"/>
        </w:tabs>
        <w:snapToGrid w:val="0"/>
        <w:spacing w:afterLines="50" w:line="380" w:lineRule="exact"/>
        <w:ind w:firstLine="480" w:firstLineChars="200"/>
        <w:rPr>
          <w:rFonts w:ascii="宋体" w:hAnsi="宋体" w:cs="宋体"/>
          <w:sz w:val="24"/>
        </w:rPr>
      </w:pPr>
      <w:r>
        <w:rPr>
          <w:rFonts w:hint="eastAsia" w:ascii="宋体" w:hAnsi="宋体" w:cs="宋体"/>
          <w:sz w:val="24"/>
        </w:rPr>
        <w:t>6、招标人对服务标准如有调整或服务范围的变化，投标人同意中标价格按招标人认可的服务价格、范围进行调整。</w:t>
      </w:r>
    </w:p>
    <w:p>
      <w:pPr>
        <w:tabs>
          <w:tab w:val="left" w:pos="420"/>
          <w:tab w:val="left" w:pos="525"/>
        </w:tabs>
        <w:snapToGrid w:val="0"/>
        <w:spacing w:afterLines="50" w:line="380" w:lineRule="exact"/>
        <w:ind w:firstLine="480" w:firstLineChars="200"/>
        <w:rPr>
          <w:rFonts w:ascii="宋体" w:hAnsi="宋体" w:cs="宋体"/>
          <w:sz w:val="24"/>
        </w:rPr>
      </w:pPr>
      <w:r>
        <w:rPr>
          <w:rFonts w:hint="eastAsia" w:ascii="宋体" w:hAnsi="宋体" w:cs="宋体"/>
          <w:sz w:val="24"/>
        </w:rPr>
        <w:t>7、投标文件中载明的项目负责人、专业人员，我方承诺在服务过程中不更换人员，必须在现场工作；特殊情况下，经招标人批准，方可更换和离开现场，如我方违约，则按招标文件及合同相关条款的规定执行。如招标人在合同实施时发现我单位有挂靠、更换人员、转包行为、以及合同中约定单方终止合同的情形出现时，你方可单方终止合同。</w:t>
      </w:r>
    </w:p>
    <w:p>
      <w:pPr>
        <w:tabs>
          <w:tab w:val="left" w:pos="420"/>
          <w:tab w:val="left" w:pos="525"/>
        </w:tabs>
        <w:snapToGrid w:val="0"/>
        <w:spacing w:afterLines="50" w:line="380" w:lineRule="exact"/>
        <w:ind w:firstLine="1080" w:firstLineChars="450"/>
        <w:rPr>
          <w:rFonts w:ascii="宋体" w:hAnsi="宋体" w:cs="宋体"/>
          <w:sz w:val="24"/>
        </w:rPr>
      </w:pPr>
      <w:r>
        <w:rPr>
          <w:rFonts w:hint="eastAsia" w:ascii="宋体" w:hAnsi="宋体" w:cs="宋体"/>
          <w:sz w:val="24"/>
        </w:rPr>
        <w:t>供应商：                     （盖章）    </w:t>
      </w:r>
    </w:p>
    <w:p>
      <w:pPr>
        <w:tabs>
          <w:tab w:val="left" w:pos="420"/>
          <w:tab w:val="left" w:pos="525"/>
        </w:tabs>
        <w:snapToGrid w:val="0"/>
        <w:spacing w:afterLines="50" w:line="380" w:lineRule="exact"/>
        <w:ind w:firstLine="1080" w:firstLineChars="450"/>
        <w:rPr>
          <w:rFonts w:ascii="宋体" w:hAnsi="宋体" w:cs="宋体"/>
          <w:sz w:val="24"/>
        </w:rPr>
      </w:pPr>
      <w:r>
        <w:rPr>
          <w:rFonts w:hint="eastAsia" w:ascii="宋体" w:hAnsi="宋体" w:cs="宋体"/>
          <w:sz w:val="24"/>
        </w:rPr>
        <w:t>单位地址： </w:t>
      </w:r>
    </w:p>
    <w:p>
      <w:pPr>
        <w:tabs>
          <w:tab w:val="left" w:pos="420"/>
          <w:tab w:val="left" w:pos="525"/>
        </w:tabs>
        <w:snapToGrid w:val="0"/>
        <w:spacing w:afterLines="50" w:line="380" w:lineRule="exact"/>
        <w:ind w:firstLine="1080" w:firstLineChars="450"/>
        <w:rPr>
          <w:rFonts w:ascii="宋体" w:hAnsi="宋体" w:cs="宋体"/>
          <w:sz w:val="24"/>
        </w:rPr>
      </w:pPr>
      <w:r>
        <w:rPr>
          <w:rFonts w:hint="eastAsia" w:ascii="宋体" w:hAnsi="宋体" w:cs="宋体"/>
          <w:sz w:val="24"/>
        </w:rPr>
        <w:t>法定代表人或其委托代理人：            （签字或盖章）</w:t>
      </w:r>
    </w:p>
    <w:p>
      <w:pPr>
        <w:tabs>
          <w:tab w:val="left" w:pos="420"/>
          <w:tab w:val="left" w:pos="525"/>
        </w:tabs>
        <w:snapToGrid w:val="0"/>
        <w:spacing w:afterLines="50" w:line="380" w:lineRule="exact"/>
        <w:ind w:firstLine="1080" w:firstLineChars="450"/>
        <w:rPr>
          <w:rFonts w:ascii="宋体" w:hAnsi="宋体" w:cs="宋体"/>
          <w:sz w:val="24"/>
        </w:rPr>
      </w:pPr>
      <w:r>
        <w:rPr>
          <w:rFonts w:hint="eastAsia" w:ascii="宋体" w:hAnsi="宋体" w:cs="宋体"/>
          <w:sz w:val="24"/>
        </w:rPr>
        <w:t>邮政编码              </w:t>
      </w:r>
    </w:p>
    <w:p>
      <w:pPr>
        <w:tabs>
          <w:tab w:val="left" w:pos="420"/>
          <w:tab w:val="left" w:pos="525"/>
        </w:tabs>
        <w:snapToGrid w:val="0"/>
        <w:spacing w:afterLines="50" w:line="380" w:lineRule="exact"/>
        <w:ind w:firstLine="1080" w:firstLineChars="450"/>
        <w:rPr>
          <w:rFonts w:ascii="宋体" w:hAnsi="宋体" w:cs="宋体"/>
          <w:sz w:val="24"/>
        </w:rPr>
      </w:pPr>
      <w:r>
        <w:rPr>
          <w:rFonts w:hint="eastAsia" w:ascii="宋体" w:hAnsi="宋体" w:cs="宋体"/>
          <w:sz w:val="24"/>
        </w:rPr>
        <w:t>电话：           </w:t>
      </w:r>
    </w:p>
    <w:p>
      <w:pPr>
        <w:tabs>
          <w:tab w:val="left" w:pos="420"/>
          <w:tab w:val="left" w:pos="525"/>
        </w:tabs>
        <w:snapToGrid w:val="0"/>
        <w:spacing w:afterLines="50" w:line="380" w:lineRule="exact"/>
        <w:ind w:firstLine="1080" w:firstLineChars="450"/>
        <w:rPr>
          <w:rFonts w:ascii="宋体" w:hAnsi="宋体" w:cs="宋体"/>
          <w:sz w:val="24"/>
        </w:rPr>
      </w:pPr>
      <w:r>
        <w:rPr>
          <w:rFonts w:hint="eastAsia" w:ascii="宋体" w:hAnsi="宋体" w:cs="宋体"/>
          <w:sz w:val="24"/>
        </w:rPr>
        <w:t xml:space="preserve">               日期：_____年____月____日</w:t>
      </w:r>
    </w:p>
    <w:p>
      <w:pPr>
        <w:tabs>
          <w:tab w:val="left" w:pos="420"/>
          <w:tab w:val="left" w:pos="525"/>
        </w:tabs>
        <w:snapToGrid w:val="0"/>
        <w:spacing w:line="560" w:lineRule="atLeast"/>
        <w:rPr>
          <w:rFonts w:ascii="宋体" w:hAnsi="宋体" w:cs="宋体"/>
          <w:b/>
          <w:sz w:val="24"/>
        </w:rPr>
      </w:pPr>
      <w:r>
        <w:rPr>
          <w:rFonts w:hint="eastAsia" w:ascii="宋体" w:hAnsi="宋体" w:cs="宋体"/>
          <w:sz w:val="24"/>
        </w:rPr>
        <w:br w:type="page"/>
      </w:r>
      <w:r>
        <w:rPr>
          <w:rFonts w:hint="eastAsia" w:ascii="宋体" w:hAnsi="宋体" w:cs="宋体"/>
          <w:b/>
          <w:sz w:val="24"/>
        </w:rPr>
        <w:t>附件三</w:t>
      </w:r>
    </w:p>
    <w:p>
      <w:pPr>
        <w:spacing w:beforeLines="50" w:line="360" w:lineRule="auto"/>
        <w:ind w:firstLine="482" w:firstLineChars="200"/>
        <w:jc w:val="center"/>
        <w:rPr>
          <w:rFonts w:ascii="宋体" w:hAnsi="宋体" w:cs="宋体"/>
          <w:b/>
          <w:sz w:val="24"/>
        </w:rPr>
      </w:pPr>
      <w:r>
        <w:rPr>
          <w:rFonts w:hint="eastAsia" w:ascii="宋体" w:hAnsi="宋体" w:cs="宋体"/>
          <w:b/>
          <w:sz w:val="24"/>
        </w:rPr>
        <w:t>投标人服务承诺函</w:t>
      </w:r>
    </w:p>
    <w:p>
      <w:pPr>
        <w:spacing w:line="360" w:lineRule="auto"/>
        <w:ind w:left="461" w:firstLine="480" w:firstLineChars="200"/>
        <w:rPr>
          <w:rFonts w:ascii="宋体" w:hAnsi="宋体" w:cs="宋体"/>
          <w:sz w:val="24"/>
        </w:rPr>
      </w:pPr>
      <w:r>
        <w:rPr>
          <w:rFonts w:hint="eastAsia" w:ascii="宋体" w:hAnsi="宋体" w:cs="宋体"/>
          <w:sz w:val="24"/>
        </w:rPr>
        <w:t>致：（招标人名称）</w:t>
      </w:r>
    </w:p>
    <w:p>
      <w:pPr>
        <w:spacing w:line="360" w:lineRule="auto"/>
        <w:ind w:firstLine="480" w:firstLineChars="200"/>
        <w:rPr>
          <w:rFonts w:ascii="宋体" w:hAnsi="宋体" w:cs="宋体"/>
          <w:sz w:val="24"/>
        </w:rPr>
      </w:pPr>
      <w:r>
        <w:rPr>
          <w:rFonts w:hint="eastAsia" w:ascii="宋体" w:hAnsi="宋体" w:cs="宋体"/>
          <w:sz w:val="24"/>
        </w:rPr>
        <w:t xml:space="preserve">    我代表 （投标人名称），在此作如下承诺：</w:t>
      </w:r>
    </w:p>
    <w:p>
      <w:pPr>
        <w:spacing w:line="360" w:lineRule="auto"/>
        <w:ind w:firstLine="480" w:firstLineChars="200"/>
        <w:rPr>
          <w:rFonts w:ascii="宋体" w:hAnsi="宋体" w:cs="宋体"/>
          <w:sz w:val="24"/>
        </w:rPr>
      </w:pPr>
      <w:r>
        <w:rPr>
          <w:rFonts w:hint="eastAsia" w:ascii="宋体" w:hAnsi="宋体" w:cs="宋体"/>
          <w:sz w:val="24"/>
        </w:rPr>
        <w:t xml:space="preserve">    1、完全理解和接受招标文件的一切规定和要求。</w:t>
      </w:r>
    </w:p>
    <w:p>
      <w:pPr>
        <w:spacing w:line="360" w:lineRule="auto"/>
        <w:ind w:firstLine="480" w:firstLineChars="200"/>
        <w:rPr>
          <w:rFonts w:ascii="宋体" w:hAnsi="宋体" w:cs="宋体"/>
          <w:color w:val="FF0000"/>
          <w:sz w:val="24"/>
        </w:rPr>
      </w:pPr>
      <w:r>
        <w:rPr>
          <w:rFonts w:hint="eastAsia" w:ascii="宋体" w:hAnsi="宋体" w:cs="宋体"/>
          <w:sz w:val="24"/>
        </w:rPr>
        <w:t xml:space="preserve">    2、投标报价为最终价，即在合同执行期间，该投标价格保持不变。</w:t>
      </w:r>
    </w:p>
    <w:p>
      <w:pPr>
        <w:spacing w:line="360" w:lineRule="auto"/>
        <w:ind w:firstLine="480" w:firstLineChars="200"/>
        <w:rPr>
          <w:rFonts w:ascii="宋体" w:hAnsi="宋体" w:cs="宋体"/>
          <w:sz w:val="24"/>
        </w:rPr>
      </w:pPr>
      <w:r>
        <w:rPr>
          <w:rFonts w:hint="eastAsia" w:ascii="宋体" w:hAnsi="宋体" w:cs="宋体"/>
          <w:sz w:val="24"/>
        </w:rPr>
        <w:t xml:space="preserve">    3、若中选，我方将按照招标文件及我方投标文件、投标文件的书面澄清的具体规定，在收到中标通知书10日内，按照招标人的要求，与招标人签订合同，逾期未签视为我公司自动放弃，并承担相应法律后果。</w:t>
      </w:r>
    </w:p>
    <w:p>
      <w:pPr>
        <w:spacing w:line="360" w:lineRule="auto"/>
        <w:ind w:firstLine="480" w:firstLineChars="200"/>
        <w:rPr>
          <w:rFonts w:ascii="宋体" w:hAnsi="宋体" w:cs="宋体"/>
          <w:sz w:val="24"/>
        </w:rPr>
      </w:pPr>
      <w:r>
        <w:rPr>
          <w:rFonts w:hint="eastAsia" w:ascii="宋体" w:hAnsi="宋体" w:cs="宋体"/>
          <w:sz w:val="24"/>
        </w:rPr>
        <w:t xml:space="preserve">    4、在整个招、投标过程中，我方若有违规行为，贵方可按招标文件之规定给予惩罚，我方完全接受。</w:t>
      </w:r>
    </w:p>
    <w:p>
      <w:pPr>
        <w:spacing w:line="360" w:lineRule="auto"/>
        <w:ind w:firstLine="480" w:firstLineChars="200"/>
        <w:rPr>
          <w:rFonts w:ascii="宋体" w:hAnsi="宋体" w:cs="宋体"/>
          <w:sz w:val="24"/>
        </w:rPr>
      </w:pPr>
      <w:r>
        <w:rPr>
          <w:rFonts w:hint="eastAsia" w:ascii="宋体" w:hAnsi="宋体" w:cs="宋体"/>
          <w:sz w:val="24"/>
        </w:rPr>
        <w:t xml:space="preserve">    5、在整个招、投标过程中及招、投标结束后，未经招标人书面同意，我方保证不向任何第三方泄露本次招、投标的任何信息、资料及内容。</w:t>
      </w:r>
    </w:p>
    <w:p>
      <w:pPr>
        <w:spacing w:line="360" w:lineRule="auto"/>
        <w:ind w:firstLine="480" w:firstLineChars="200"/>
        <w:rPr>
          <w:rFonts w:ascii="宋体" w:hAnsi="宋体" w:cs="宋体"/>
          <w:sz w:val="24"/>
        </w:rPr>
      </w:pPr>
      <w:r>
        <w:rPr>
          <w:rFonts w:hint="eastAsia" w:ascii="宋体" w:hAnsi="宋体" w:cs="宋体"/>
          <w:sz w:val="24"/>
        </w:rPr>
        <w:t xml:space="preserve">    6、投标文件中所有关于投标人资格的文件、证明、陈述均是真实的、准确的。若有违背，我公司承担由此而产生的一切后果。</w:t>
      </w:r>
    </w:p>
    <w:p>
      <w:pPr>
        <w:spacing w:line="360" w:lineRule="auto"/>
        <w:ind w:firstLine="960" w:firstLineChars="400"/>
        <w:rPr>
          <w:rFonts w:ascii="宋体" w:hAnsi="宋体" w:cs="宋体"/>
          <w:sz w:val="24"/>
        </w:rPr>
      </w:pPr>
      <w:r>
        <w:rPr>
          <w:rFonts w:hint="eastAsia" w:ascii="宋体" w:hAnsi="宋体" w:cs="宋体"/>
          <w:sz w:val="24"/>
        </w:rPr>
        <w:t>7、本承诺函有法律效力。</w:t>
      </w:r>
    </w:p>
    <w:p>
      <w:pPr>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r>
        <w:rPr>
          <w:rFonts w:hint="eastAsia" w:ascii="宋体" w:hAnsi="宋体" w:cs="宋体"/>
          <w:sz w:val="24"/>
        </w:rPr>
        <w:t xml:space="preserve">供应商：  (公章)    </w:t>
      </w:r>
    </w:p>
    <w:p>
      <w:pPr>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p>
    <w:p>
      <w:pPr>
        <w:tabs>
          <w:tab w:val="left" w:pos="420"/>
          <w:tab w:val="left" w:pos="525"/>
        </w:tabs>
        <w:snapToGrid w:val="0"/>
        <w:spacing w:line="560" w:lineRule="atLeast"/>
        <w:rPr>
          <w:rFonts w:ascii="宋体" w:hAnsi="宋体" w:cs="宋体"/>
          <w:sz w:val="24"/>
        </w:rPr>
      </w:pPr>
      <w:r>
        <w:rPr>
          <w:rFonts w:hint="eastAsia" w:ascii="宋体" w:hAnsi="宋体" w:cs="宋体"/>
          <w:sz w:val="24"/>
        </w:rPr>
        <w:br w:type="page"/>
      </w:r>
    </w:p>
    <w:p>
      <w:pPr>
        <w:pStyle w:val="37"/>
        <w:adjustRightInd w:val="0"/>
        <w:snapToGrid w:val="0"/>
        <w:ind w:firstLine="0" w:firstLineChars="0"/>
        <w:jc w:val="center"/>
        <w:rPr>
          <w:rFonts w:cs="Times New Roman"/>
          <w:bCs w:val="0"/>
          <w:color w:val="000000"/>
          <w:sz w:val="32"/>
          <w:szCs w:val="32"/>
        </w:rPr>
      </w:pPr>
      <w:r>
        <w:rPr>
          <w:rFonts w:hint="eastAsia" w:cs="Times New Roman"/>
          <w:bCs w:val="0"/>
          <w:color w:val="000000"/>
          <w:sz w:val="32"/>
          <w:szCs w:val="32"/>
        </w:rPr>
        <w:t>九、技术指标要求响应表</w:t>
      </w:r>
    </w:p>
    <w:p>
      <w:pPr>
        <w:pStyle w:val="37"/>
        <w:adjustRightInd w:val="0"/>
        <w:snapToGrid w:val="0"/>
        <w:ind w:firstLine="0" w:firstLineChars="0"/>
        <w:jc w:val="center"/>
        <w:rPr>
          <w:rFonts w:cs="Times New Roman"/>
          <w:bCs w:val="0"/>
          <w:color w:val="000000"/>
          <w:sz w:val="32"/>
          <w:szCs w:val="32"/>
        </w:rPr>
      </w:pPr>
    </w:p>
    <w:p>
      <w:pPr>
        <w:pStyle w:val="38"/>
        <w:snapToGrid w:val="0"/>
        <w:spacing w:line="400" w:lineRule="atLeast"/>
        <w:rPr>
          <w:rFonts w:ascii="宋体" w:hAnsi="宋体"/>
          <w:color w:val="000000"/>
        </w:rPr>
      </w:pPr>
      <w:r>
        <w:rPr>
          <w:rFonts w:hint="eastAsia" w:ascii="宋体" w:hAnsi="宋体"/>
          <w:color w:val="000000"/>
        </w:rPr>
        <w:t xml:space="preserve">招标项目名称：                             </w:t>
      </w:r>
    </w:p>
    <w:tbl>
      <w:tblPr>
        <w:tblStyle w:val="25"/>
        <w:tblW w:w="96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6"/>
        <w:gridCol w:w="1182"/>
        <w:gridCol w:w="844"/>
        <w:gridCol w:w="1688"/>
        <w:gridCol w:w="1097"/>
        <w:gridCol w:w="1182"/>
        <w:gridCol w:w="1804"/>
        <w:gridCol w:w="638"/>
        <w:gridCol w:w="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5" w:hRule="atLeast"/>
        </w:trPr>
        <w:tc>
          <w:tcPr>
            <w:tcW w:w="506" w:type="dxa"/>
            <w:vAlign w:val="center"/>
          </w:tcPr>
          <w:p>
            <w:pPr>
              <w:pStyle w:val="38"/>
              <w:snapToGrid w:val="0"/>
              <w:spacing w:line="400" w:lineRule="atLeast"/>
              <w:jc w:val="center"/>
              <w:rPr>
                <w:rFonts w:ascii="宋体" w:hAnsi="宋体"/>
                <w:color w:val="000000"/>
              </w:rPr>
            </w:pPr>
            <w:r>
              <w:rPr>
                <w:rFonts w:hint="eastAsia" w:ascii="宋体" w:hAnsi="宋体"/>
                <w:color w:val="000000"/>
              </w:rPr>
              <w:t>序号</w:t>
            </w:r>
          </w:p>
        </w:tc>
        <w:tc>
          <w:tcPr>
            <w:tcW w:w="1182" w:type="dxa"/>
            <w:vAlign w:val="center"/>
          </w:tcPr>
          <w:p>
            <w:pPr>
              <w:pStyle w:val="38"/>
              <w:snapToGrid w:val="0"/>
              <w:spacing w:line="400" w:lineRule="atLeast"/>
              <w:jc w:val="center"/>
              <w:rPr>
                <w:rFonts w:ascii="宋体" w:hAnsi="宋体"/>
                <w:color w:val="000000"/>
              </w:rPr>
            </w:pPr>
            <w:r>
              <w:rPr>
                <w:rFonts w:hint="eastAsia" w:ascii="宋体" w:hAnsi="宋体"/>
                <w:color w:val="000000"/>
              </w:rPr>
              <w:t>设备名称</w:t>
            </w:r>
          </w:p>
        </w:tc>
        <w:tc>
          <w:tcPr>
            <w:tcW w:w="844" w:type="dxa"/>
            <w:vAlign w:val="center"/>
          </w:tcPr>
          <w:p>
            <w:pPr>
              <w:pStyle w:val="38"/>
              <w:snapToGrid w:val="0"/>
              <w:spacing w:line="400" w:lineRule="atLeast"/>
              <w:jc w:val="center"/>
              <w:rPr>
                <w:rFonts w:ascii="宋体" w:hAnsi="宋体"/>
                <w:color w:val="000000"/>
              </w:rPr>
            </w:pPr>
            <w:r>
              <w:rPr>
                <w:rFonts w:hint="eastAsia" w:ascii="宋体" w:hAnsi="宋体"/>
                <w:color w:val="000000"/>
              </w:rPr>
              <w:t>数量</w:t>
            </w:r>
          </w:p>
        </w:tc>
        <w:tc>
          <w:tcPr>
            <w:tcW w:w="1688" w:type="dxa"/>
            <w:vAlign w:val="center"/>
          </w:tcPr>
          <w:p>
            <w:pPr>
              <w:pStyle w:val="38"/>
              <w:snapToGrid w:val="0"/>
              <w:spacing w:line="400" w:lineRule="atLeast"/>
              <w:jc w:val="center"/>
              <w:rPr>
                <w:rFonts w:ascii="宋体" w:hAnsi="宋体"/>
                <w:color w:val="000000"/>
              </w:rPr>
            </w:pPr>
            <w:r>
              <w:rPr>
                <w:rFonts w:hint="eastAsia" w:ascii="宋体" w:hAnsi="宋体"/>
                <w:color w:val="000000"/>
              </w:rPr>
              <w:t>招标文件要求的质量标准和技术参数</w:t>
            </w:r>
          </w:p>
        </w:tc>
        <w:tc>
          <w:tcPr>
            <w:tcW w:w="1097" w:type="dxa"/>
            <w:vAlign w:val="center"/>
          </w:tcPr>
          <w:p>
            <w:pPr>
              <w:pStyle w:val="38"/>
              <w:snapToGrid w:val="0"/>
              <w:spacing w:line="400" w:lineRule="atLeast"/>
              <w:ind w:left="360" w:hanging="360" w:hangingChars="150"/>
              <w:jc w:val="center"/>
              <w:rPr>
                <w:rFonts w:ascii="宋体" w:hAnsi="宋体"/>
                <w:color w:val="000000"/>
              </w:rPr>
            </w:pPr>
            <w:r>
              <w:rPr>
                <w:rFonts w:hint="eastAsia" w:ascii="宋体" w:hAnsi="宋体"/>
                <w:color w:val="000000"/>
              </w:rPr>
              <w:t>投标</w:t>
            </w:r>
          </w:p>
          <w:p>
            <w:pPr>
              <w:pStyle w:val="38"/>
              <w:snapToGrid w:val="0"/>
              <w:spacing w:line="400" w:lineRule="atLeast"/>
              <w:ind w:left="360" w:hanging="360" w:hangingChars="150"/>
              <w:jc w:val="center"/>
              <w:rPr>
                <w:rFonts w:ascii="宋体" w:hAnsi="宋体"/>
                <w:color w:val="000000"/>
              </w:rPr>
            </w:pPr>
            <w:r>
              <w:rPr>
                <w:rFonts w:hint="eastAsia" w:ascii="宋体" w:hAnsi="宋体"/>
                <w:color w:val="000000"/>
              </w:rPr>
              <w:t>响应</w:t>
            </w:r>
          </w:p>
        </w:tc>
        <w:tc>
          <w:tcPr>
            <w:tcW w:w="1182" w:type="dxa"/>
            <w:vAlign w:val="center"/>
          </w:tcPr>
          <w:p>
            <w:pPr>
              <w:pStyle w:val="38"/>
              <w:snapToGrid w:val="0"/>
              <w:spacing w:line="400" w:lineRule="atLeast"/>
              <w:jc w:val="center"/>
              <w:rPr>
                <w:rFonts w:ascii="宋体" w:hAnsi="宋体"/>
                <w:color w:val="000000"/>
              </w:rPr>
            </w:pPr>
            <w:r>
              <w:rPr>
                <w:rFonts w:hint="eastAsia" w:ascii="宋体" w:hAnsi="宋体"/>
                <w:color w:val="000000"/>
              </w:rPr>
              <w:t>是否偏离</w:t>
            </w:r>
          </w:p>
        </w:tc>
        <w:tc>
          <w:tcPr>
            <w:tcW w:w="1804" w:type="dxa"/>
            <w:vAlign w:val="center"/>
          </w:tcPr>
          <w:p>
            <w:pPr>
              <w:pStyle w:val="38"/>
              <w:snapToGrid w:val="0"/>
              <w:spacing w:line="400" w:lineRule="atLeast"/>
              <w:jc w:val="center"/>
              <w:rPr>
                <w:rFonts w:ascii="宋体" w:hAnsi="宋体"/>
                <w:color w:val="000000"/>
              </w:rPr>
            </w:pPr>
            <w:r>
              <w:rPr>
                <w:rFonts w:hint="eastAsia" w:ascii="宋体" w:hAnsi="宋体"/>
                <w:color w:val="000000"/>
              </w:rPr>
              <w:t>偏离对产品的影响</w:t>
            </w:r>
          </w:p>
        </w:tc>
        <w:tc>
          <w:tcPr>
            <w:tcW w:w="638" w:type="dxa"/>
            <w:tcBorders>
              <w:right w:val="single" w:color="000000" w:sz="4" w:space="0"/>
            </w:tcBorders>
            <w:vAlign w:val="center"/>
          </w:tcPr>
          <w:p>
            <w:pPr>
              <w:pStyle w:val="38"/>
              <w:snapToGrid w:val="0"/>
              <w:spacing w:line="400" w:lineRule="atLeast"/>
              <w:jc w:val="center"/>
              <w:rPr>
                <w:rFonts w:ascii="宋体" w:hAnsi="宋体"/>
                <w:color w:val="000000"/>
              </w:rPr>
            </w:pPr>
            <w:r>
              <w:rPr>
                <w:rFonts w:hint="eastAsia" w:ascii="宋体" w:hAnsi="宋体"/>
                <w:color w:val="000000"/>
              </w:rPr>
              <w:t>品牌</w:t>
            </w:r>
          </w:p>
        </w:tc>
        <w:tc>
          <w:tcPr>
            <w:tcW w:w="681" w:type="dxa"/>
            <w:tcBorders>
              <w:left w:val="single" w:color="000000" w:sz="4" w:space="0"/>
            </w:tcBorders>
            <w:vAlign w:val="center"/>
          </w:tcPr>
          <w:p>
            <w:pPr>
              <w:pStyle w:val="38"/>
              <w:snapToGrid w:val="0"/>
              <w:spacing w:line="400" w:lineRule="atLeast"/>
              <w:jc w:val="center"/>
              <w:rPr>
                <w:rFonts w:ascii="宋体" w:hAnsi="宋体"/>
                <w:color w:val="000000"/>
              </w:rPr>
            </w:pPr>
            <w:r>
              <w:rPr>
                <w:rFonts w:hint="eastAsia" w:ascii="宋体" w:hAnsi="宋体"/>
                <w:color w:val="000000"/>
              </w:rPr>
              <w:t>制造商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trPr>
        <w:tc>
          <w:tcPr>
            <w:tcW w:w="506" w:type="dxa"/>
            <w:vAlign w:val="center"/>
          </w:tcPr>
          <w:p>
            <w:pPr>
              <w:pStyle w:val="38"/>
              <w:snapToGrid w:val="0"/>
              <w:spacing w:line="400" w:lineRule="atLeast"/>
              <w:jc w:val="center"/>
              <w:rPr>
                <w:rFonts w:ascii="宋体" w:hAnsi="宋体"/>
                <w:color w:val="000000"/>
              </w:rPr>
            </w:pPr>
          </w:p>
        </w:tc>
        <w:tc>
          <w:tcPr>
            <w:tcW w:w="1182" w:type="dxa"/>
            <w:vAlign w:val="center"/>
          </w:tcPr>
          <w:p>
            <w:pPr>
              <w:pStyle w:val="38"/>
              <w:snapToGrid w:val="0"/>
              <w:spacing w:line="400" w:lineRule="atLeast"/>
              <w:jc w:val="center"/>
              <w:rPr>
                <w:rFonts w:ascii="宋体" w:hAnsi="宋体"/>
                <w:color w:val="000000"/>
              </w:rPr>
            </w:pPr>
          </w:p>
        </w:tc>
        <w:tc>
          <w:tcPr>
            <w:tcW w:w="844" w:type="dxa"/>
            <w:vAlign w:val="center"/>
          </w:tcPr>
          <w:p>
            <w:pPr>
              <w:pStyle w:val="38"/>
              <w:snapToGrid w:val="0"/>
              <w:spacing w:line="400" w:lineRule="atLeast"/>
              <w:jc w:val="center"/>
              <w:rPr>
                <w:rFonts w:ascii="宋体" w:hAnsi="宋体"/>
                <w:color w:val="000000"/>
              </w:rPr>
            </w:pPr>
          </w:p>
        </w:tc>
        <w:tc>
          <w:tcPr>
            <w:tcW w:w="1688" w:type="dxa"/>
            <w:vAlign w:val="center"/>
          </w:tcPr>
          <w:p>
            <w:pPr>
              <w:pStyle w:val="38"/>
              <w:snapToGrid w:val="0"/>
              <w:spacing w:line="400" w:lineRule="atLeast"/>
              <w:jc w:val="center"/>
              <w:rPr>
                <w:rFonts w:ascii="宋体" w:hAnsi="宋体"/>
                <w:color w:val="000000"/>
              </w:rPr>
            </w:pPr>
          </w:p>
        </w:tc>
        <w:tc>
          <w:tcPr>
            <w:tcW w:w="1097" w:type="dxa"/>
            <w:vAlign w:val="center"/>
          </w:tcPr>
          <w:p>
            <w:pPr>
              <w:pStyle w:val="38"/>
              <w:snapToGrid w:val="0"/>
              <w:spacing w:line="400" w:lineRule="atLeast"/>
              <w:jc w:val="center"/>
              <w:rPr>
                <w:rFonts w:ascii="宋体" w:hAnsi="宋体"/>
                <w:color w:val="000000"/>
              </w:rPr>
            </w:pPr>
          </w:p>
        </w:tc>
        <w:tc>
          <w:tcPr>
            <w:tcW w:w="1182" w:type="dxa"/>
            <w:vAlign w:val="center"/>
          </w:tcPr>
          <w:p>
            <w:pPr>
              <w:pStyle w:val="38"/>
              <w:snapToGrid w:val="0"/>
              <w:spacing w:line="400" w:lineRule="atLeast"/>
              <w:jc w:val="center"/>
              <w:rPr>
                <w:rFonts w:ascii="宋体" w:hAnsi="宋体"/>
                <w:color w:val="000000"/>
              </w:rPr>
            </w:pPr>
          </w:p>
        </w:tc>
        <w:tc>
          <w:tcPr>
            <w:tcW w:w="1804" w:type="dxa"/>
            <w:vAlign w:val="center"/>
          </w:tcPr>
          <w:p>
            <w:pPr>
              <w:pStyle w:val="38"/>
              <w:snapToGrid w:val="0"/>
              <w:spacing w:line="400" w:lineRule="atLeast"/>
              <w:jc w:val="center"/>
              <w:rPr>
                <w:rFonts w:ascii="宋体" w:hAnsi="宋体"/>
                <w:color w:val="000000"/>
              </w:rPr>
            </w:pPr>
          </w:p>
        </w:tc>
        <w:tc>
          <w:tcPr>
            <w:tcW w:w="638" w:type="dxa"/>
            <w:tcBorders>
              <w:right w:val="single" w:color="000000" w:sz="4" w:space="0"/>
            </w:tcBorders>
            <w:vAlign w:val="center"/>
          </w:tcPr>
          <w:p>
            <w:pPr>
              <w:pStyle w:val="38"/>
              <w:snapToGrid w:val="0"/>
              <w:spacing w:line="400" w:lineRule="atLeast"/>
              <w:jc w:val="center"/>
              <w:rPr>
                <w:rFonts w:ascii="宋体" w:hAnsi="宋体"/>
                <w:color w:val="000000"/>
              </w:rPr>
            </w:pPr>
          </w:p>
        </w:tc>
        <w:tc>
          <w:tcPr>
            <w:tcW w:w="681" w:type="dxa"/>
            <w:tcBorders>
              <w:left w:val="single" w:color="000000" w:sz="4" w:space="0"/>
            </w:tcBorders>
            <w:vAlign w:val="center"/>
          </w:tcPr>
          <w:p>
            <w:pPr>
              <w:pStyle w:val="38"/>
              <w:snapToGrid w:val="0"/>
              <w:spacing w:line="400" w:lineRule="atLeast"/>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4" w:hRule="atLeast"/>
        </w:trPr>
        <w:tc>
          <w:tcPr>
            <w:tcW w:w="506" w:type="dxa"/>
            <w:vAlign w:val="center"/>
          </w:tcPr>
          <w:p>
            <w:pPr>
              <w:pStyle w:val="38"/>
              <w:snapToGrid w:val="0"/>
              <w:spacing w:line="400" w:lineRule="atLeast"/>
              <w:jc w:val="center"/>
              <w:rPr>
                <w:rFonts w:ascii="宋体" w:hAnsi="宋体"/>
                <w:color w:val="000000"/>
              </w:rPr>
            </w:pPr>
          </w:p>
        </w:tc>
        <w:tc>
          <w:tcPr>
            <w:tcW w:w="1182" w:type="dxa"/>
            <w:vAlign w:val="center"/>
          </w:tcPr>
          <w:p>
            <w:pPr>
              <w:pStyle w:val="38"/>
              <w:snapToGrid w:val="0"/>
              <w:spacing w:line="400" w:lineRule="atLeast"/>
              <w:jc w:val="center"/>
              <w:rPr>
                <w:rFonts w:ascii="宋体" w:hAnsi="宋体"/>
                <w:color w:val="000000"/>
              </w:rPr>
            </w:pPr>
          </w:p>
        </w:tc>
        <w:tc>
          <w:tcPr>
            <w:tcW w:w="844" w:type="dxa"/>
            <w:vAlign w:val="center"/>
          </w:tcPr>
          <w:p>
            <w:pPr>
              <w:pStyle w:val="38"/>
              <w:snapToGrid w:val="0"/>
              <w:spacing w:line="400" w:lineRule="atLeast"/>
              <w:jc w:val="center"/>
              <w:rPr>
                <w:rFonts w:ascii="宋体" w:hAnsi="宋体"/>
                <w:color w:val="000000"/>
              </w:rPr>
            </w:pPr>
          </w:p>
        </w:tc>
        <w:tc>
          <w:tcPr>
            <w:tcW w:w="1688" w:type="dxa"/>
            <w:vAlign w:val="center"/>
          </w:tcPr>
          <w:p>
            <w:pPr>
              <w:pStyle w:val="38"/>
              <w:snapToGrid w:val="0"/>
              <w:spacing w:line="400" w:lineRule="atLeast"/>
              <w:jc w:val="center"/>
              <w:rPr>
                <w:rFonts w:ascii="宋体" w:hAnsi="宋体"/>
                <w:color w:val="000000"/>
              </w:rPr>
            </w:pPr>
          </w:p>
        </w:tc>
        <w:tc>
          <w:tcPr>
            <w:tcW w:w="1097" w:type="dxa"/>
            <w:vAlign w:val="center"/>
          </w:tcPr>
          <w:p>
            <w:pPr>
              <w:pStyle w:val="38"/>
              <w:snapToGrid w:val="0"/>
              <w:spacing w:line="400" w:lineRule="atLeast"/>
              <w:jc w:val="center"/>
              <w:rPr>
                <w:rFonts w:ascii="宋体" w:hAnsi="宋体"/>
                <w:color w:val="000000"/>
              </w:rPr>
            </w:pPr>
          </w:p>
        </w:tc>
        <w:tc>
          <w:tcPr>
            <w:tcW w:w="1182" w:type="dxa"/>
            <w:vAlign w:val="center"/>
          </w:tcPr>
          <w:p>
            <w:pPr>
              <w:pStyle w:val="38"/>
              <w:snapToGrid w:val="0"/>
              <w:spacing w:line="400" w:lineRule="atLeast"/>
              <w:jc w:val="center"/>
              <w:rPr>
                <w:rFonts w:ascii="宋体" w:hAnsi="宋体"/>
                <w:color w:val="000000"/>
              </w:rPr>
            </w:pPr>
          </w:p>
        </w:tc>
        <w:tc>
          <w:tcPr>
            <w:tcW w:w="1804" w:type="dxa"/>
            <w:vAlign w:val="center"/>
          </w:tcPr>
          <w:p>
            <w:pPr>
              <w:pStyle w:val="38"/>
              <w:snapToGrid w:val="0"/>
              <w:spacing w:line="400" w:lineRule="atLeast"/>
              <w:jc w:val="center"/>
              <w:rPr>
                <w:rFonts w:ascii="宋体" w:hAnsi="宋体"/>
                <w:color w:val="000000"/>
              </w:rPr>
            </w:pPr>
          </w:p>
        </w:tc>
        <w:tc>
          <w:tcPr>
            <w:tcW w:w="638" w:type="dxa"/>
            <w:tcBorders>
              <w:right w:val="single" w:color="000000" w:sz="4" w:space="0"/>
            </w:tcBorders>
            <w:vAlign w:val="center"/>
          </w:tcPr>
          <w:p>
            <w:pPr>
              <w:pStyle w:val="38"/>
              <w:snapToGrid w:val="0"/>
              <w:spacing w:line="400" w:lineRule="atLeast"/>
              <w:jc w:val="center"/>
              <w:rPr>
                <w:rFonts w:ascii="宋体" w:hAnsi="宋体"/>
                <w:color w:val="000000"/>
              </w:rPr>
            </w:pPr>
          </w:p>
        </w:tc>
        <w:tc>
          <w:tcPr>
            <w:tcW w:w="681" w:type="dxa"/>
            <w:tcBorders>
              <w:left w:val="single" w:color="000000" w:sz="4" w:space="0"/>
            </w:tcBorders>
            <w:vAlign w:val="center"/>
          </w:tcPr>
          <w:p>
            <w:pPr>
              <w:pStyle w:val="38"/>
              <w:snapToGrid w:val="0"/>
              <w:spacing w:line="400" w:lineRule="atLeast"/>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4" w:hRule="atLeast"/>
        </w:trPr>
        <w:tc>
          <w:tcPr>
            <w:tcW w:w="506" w:type="dxa"/>
            <w:vAlign w:val="center"/>
          </w:tcPr>
          <w:p>
            <w:pPr>
              <w:pStyle w:val="38"/>
              <w:snapToGrid w:val="0"/>
              <w:spacing w:line="400" w:lineRule="atLeast"/>
              <w:jc w:val="center"/>
              <w:rPr>
                <w:rFonts w:ascii="宋体" w:hAnsi="宋体"/>
                <w:color w:val="000000"/>
              </w:rPr>
            </w:pPr>
          </w:p>
        </w:tc>
        <w:tc>
          <w:tcPr>
            <w:tcW w:w="1182" w:type="dxa"/>
            <w:vAlign w:val="center"/>
          </w:tcPr>
          <w:p>
            <w:pPr>
              <w:pStyle w:val="38"/>
              <w:snapToGrid w:val="0"/>
              <w:spacing w:line="400" w:lineRule="atLeast"/>
              <w:jc w:val="center"/>
              <w:rPr>
                <w:rFonts w:ascii="宋体" w:hAnsi="宋体"/>
                <w:color w:val="000000"/>
              </w:rPr>
            </w:pPr>
          </w:p>
        </w:tc>
        <w:tc>
          <w:tcPr>
            <w:tcW w:w="844" w:type="dxa"/>
            <w:vAlign w:val="center"/>
          </w:tcPr>
          <w:p>
            <w:pPr>
              <w:pStyle w:val="38"/>
              <w:snapToGrid w:val="0"/>
              <w:spacing w:line="400" w:lineRule="atLeast"/>
              <w:jc w:val="center"/>
              <w:rPr>
                <w:rFonts w:ascii="宋体" w:hAnsi="宋体"/>
                <w:color w:val="000000"/>
              </w:rPr>
            </w:pPr>
          </w:p>
        </w:tc>
        <w:tc>
          <w:tcPr>
            <w:tcW w:w="1688" w:type="dxa"/>
            <w:vAlign w:val="center"/>
          </w:tcPr>
          <w:p>
            <w:pPr>
              <w:pStyle w:val="38"/>
              <w:snapToGrid w:val="0"/>
              <w:spacing w:line="400" w:lineRule="atLeast"/>
              <w:jc w:val="center"/>
              <w:rPr>
                <w:rFonts w:ascii="宋体" w:hAnsi="宋体"/>
                <w:color w:val="000000"/>
              </w:rPr>
            </w:pPr>
          </w:p>
        </w:tc>
        <w:tc>
          <w:tcPr>
            <w:tcW w:w="1097" w:type="dxa"/>
            <w:vAlign w:val="center"/>
          </w:tcPr>
          <w:p>
            <w:pPr>
              <w:pStyle w:val="38"/>
              <w:snapToGrid w:val="0"/>
              <w:spacing w:line="400" w:lineRule="atLeast"/>
              <w:jc w:val="center"/>
              <w:rPr>
                <w:rFonts w:ascii="宋体" w:hAnsi="宋体"/>
                <w:color w:val="000000"/>
              </w:rPr>
            </w:pPr>
          </w:p>
        </w:tc>
        <w:tc>
          <w:tcPr>
            <w:tcW w:w="1182" w:type="dxa"/>
            <w:vAlign w:val="center"/>
          </w:tcPr>
          <w:p>
            <w:pPr>
              <w:pStyle w:val="38"/>
              <w:snapToGrid w:val="0"/>
              <w:spacing w:line="400" w:lineRule="atLeast"/>
              <w:jc w:val="center"/>
              <w:rPr>
                <w:rFonts w:ascii="宋体" w:hAnsi="宋体"/>
                <w:color w:val="000000"/>
              </w:rPr>
            </w:pPr>
          </w:p>
        </w:tc>
        <w:tc>
          <w:tcPr>
            <w:tcW w:w="1804" w:type="dxa"/>
            <w:vAlign w:val="center"/>
          </w:tcPr>
          <w:p>
            <w:pPr>
              <w:pStyle w:val="38"/>
              <w:snapToGrid w:val="0"/>
              <w:spacing w:line="400" w:lineRule="atLeast"/>
              <w:jc w:val="center"/>
              <w:rPr>
                <w:rFonts w:ascii="宋体" w:hAnsi="宋体"/>
                <w:color w:val="000000"/>
              </w:rPr>
            </w:pPr>
          </w:p>
        </w:tc>
        <w:tc>
          <w:tcPr>
            <w:tcW w:w="638" w:type="dxa"/>
            <w:tcBorders>
              <w:right w:val="single" w:color="000000" w:sz="4" w:space="0"/>
            </w:tcBorders>
            <w:vAlign w:val="center"/>
          </w:tcPr>
          <w:p>
            <w:pPr>
              <w:pStyle w:val="38"/>
              <w:snapToGrid w:val="0"/>
              <w:spacing w:line="400" w:lineRule="atLeast"/>
              <w:jc w:val="center"/>
              <w:rPr>
                <w:rFonts w:ascii="宋体" w:hAnsi="宋体"/>
                <w:color w:val="000000"/>
              </w:rPr>
            </w:pPr>
          </w:p>
        </w:tc>
        <w:tc>
          <w:tcPr>
            <w:tcW w:w="681" w:type="dxa"/>
            <w:tcBorders>
              <w:left w:val="single" w:color="000000" w:sz="4" w:space="0"/>
            </w:tcBorders>
            <w:vAlign w:val="center"/>
          </w:tcPr>
          <w:p>
            <w:pPr>
              <w:pStyle w:val="38"/>
              <w:snapToGrid w:val="0"/>
              <w:spacing w:line="400" w:lineRule="atLeast"/>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4" w:hRule="atLeast"/>
        </w:trPr>
        <w:tc>
          <w:tcPr>
            <w:tcW w:w="506" w:type="dxa"/>
            <w:vAlign w:val="center"/>
          </w:tcPr>
          <w:p>
            <w:pPr>
              <w:pStyle w:val="38"/>
              <w:snapToGrid w:val="0"/>
              <w:spacing w:line="400" w:lineRule="atLeast"/>
              <w:jc w:val="center"/>
              <w:rPr>
                <w:rFonts w:ascii="宋体" w:hAnsi="宋体"/>
                <w:color w:val="000000"/>
              </w:rPr>
            </w:pPr>
          </w:p>
        </w:tc>
        <w:tc>
          <w:tcPr>
            <w:tcW w:w="1182" w:type="dxa"/>
            <w:vAlign w:val="center"/>
          </w:tcPr>
          <w:p>
            <w:pPr>
              <w:pStyle w:val="38"/>
              <w:snapToGrid w:val="0"/>
              <w:spacing w:line="400" w:lineRule="atLeast"/>
              <w:jc w:val="center"/>
              <w:rPr>
                <w:rFonts w:ascii="宋体" w:hAnsi="宋体"/>
                <w:color w:val="000000"/>
              </w:rPr>
            </w:pPr>
          </w:p>
        </w:tc>
        <w:tc>
          <w:tcPr>
            <w:tcW w:w="844" w:type="dxa"/>
            <w:vAlign w:val="center"/>
          </w:tcPr>
          <w:p>
            <w:pPr>
              <w:pStyle w:val="38"/>
              <w:snapToGrid w:val="0"/>
              <w:spacing w:line="400" w:lineRule="atLeast"/>
              <w:jc w:val="center"/>
              <w:rPr>
                <w:rFonts w:ascii="宋体" w:hAnsi="宋体"/>
                <w:color w:val="000000"/>
              </w:rPr>
            </w:pPr>
          </w:p>
        </w:tc>
        <w:tc>
          <w:tcPr>
            <w:tcW w:w="1688" w:type="dxa"/>
            <w:vAlign w:val="center"/>
          </w:tcPr>
          <w:p>
            <w:pPr>
              <w:pStyle w:val="38"/>
              <w:snapToGrid w:val="0"/>
              <w:spacing w:line="400" w:lineRule="atLeast"/>
              <w:jc w:val="center"/>
              <w:rPr>
                <w:rFonts w:ascii="宋体" w:hAnsi="宋体"/>
                <w:color w:val="000000"/>
              </w:rPr>
            </w:pPr>
          </w:p>
        </w:tc>
        <w:tc>
          <w:tcPr>
            <w:tcW w:w="1097" w:type="dxa"/>
            <w:vAlign w:val="center"/>
          </w:tcPr>
          <w:p>
            <w:pPr>
              <w:pStyle w:val="38"/>
              <w:snapToGrid w:val="0"/>
              <w:spacing w:line="400" w:lineRule="atLeast"/>
              <w:jc w:val="center"/>
              <w:rPr>
                <w:rFonts w:ascii="宋体" w:hAnsi="宋体"/>
                <w:color w:val="000000"/>
              </w:rPr>
            </w:pPr>
          </w:p>
        </w:tc>
        <w:tc>
          <w:tcPr>
            <w:tcW w:w="1182" w:type="dxa"/>
            <w:vAlign w:val="center"/>
          </w:tcPr>
          <w:p>
            <w:pPr>
              <w:pStyle w:val="38"/>
              <w:snapToGrid w:val="0"/>
              <w:spacing w:line="400" w:lineRule="atLeast"/>
              <w:jc w:val="center"/>
              <w:rPr>
                <w:rFonts w:ascii="宋体" w:hAnsi="宋体"/>
                <w:color w:val="000000"/>
              </w:rPr>
            </w:pPr>
          </w:p>
        </w:tc>
        <w:tc>
          <w:tcPr>
            <w:tcW w:w="1804" w:type="dxa"/>
            <w:vAlign w:val="center"/>
          </w:tcPr>
          <w:p>
            <w:pPr>
              <w:pStyle w:val="38"/>
              <w:snapToGrid w:val="0"/>
              <w:spacing w:line="400" w:lineRule="atLeast"/>
              <w:jc w:val="center"/>
              <w:rPr>
                <w:rFonts w:ascii="宋体" w:hAnsi="宋体"/>
                <w:color w:val="000000"/>
              </w:rPr>
            </w:pPr>
          </w:p>
        </w:tc>
        <w:tc>
          <w:tcPr>
            <w:tcW w:w="638" w:type="dxa"/>
            <w:tcBorders>
              <w:right w:val="single" w:color="000000" w:sz="4" w:space="0"/>
            </w:tcBorders>
            <w:vAlign w:val="center"/>
          </w:tcPr>
          <w:p>
            <w:pPr>
              <w:pStyle w:val="38"/>
              <w:snapToGrid w:val="0"/>
              <w:spacing w:line="400" w:lineRule="atLeast"/>
              <w:jc w:val="center"/>
              <w:rPr>
                <w:rFonts w:ascii="宋体" w:hAnsi="宋体"/>
                <w:color w:val="000000"/>
              </w:rPr>
            </w:pPr>
          </w:p>
        </w:tc>
        <w:tc>
          <w:tcPr>
            <w:tcW w:w="681" w:type="dxa"/>
            <w:tcBorders>
              <w:left w:val="single" w:color="000000" w:sz="4" w:space="0"/>
            </w:tcBorders>
            <w:vAlign w:val="center"/>
          </w:tcPr>
          <w:p>
            <w:pPr>
              <w:pStyle w:val="38"/>
              <w:snapToGrid w:val="0"/>
              <w:spacing w:line="400" w:lineRule="atLeast"/>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4" w:hRule="atLeast"/>
        </w:trPr>
        <w:tc>
          <w:tcPr>
            <w:tcW w:w="506" w:type="dxa"/>
            <w:vAlign w:val="center"/>
          </w:tcPr>
          <w:p>
            <w:pPr>
              <w:pStyle w:val="38"/>
              <w:snapToGrid w:val="0"/>
              <w:spacing w:line="400" w:lineRule="atLeast"/>
              <w:jc w:val="center"/>
              <w:rPr>
                <w:rFonts w:ascii="宋体" w:hAnsi="宋体"/>
                <w:color w:val="000000"/>
              </w:rPr>
            </w:pPr>
          </w:p>
        </w:tc>
        <w:tc>
          <w:tcPr>
            <w:tcW w:w="1182" w:type="dxa"/>
            <w:vAlign w:val="center"/>
          </w:tcPr>
          <w:p>
            <w:pPr>
              <w:pStyle w:val="38"/>
              <w:snapToGrid w:val="0"/>
              <w:spacing w:line="400" w:lineRule="atLeast"/>
              <w:jc w:val="center"/>
              <w:rPr>
                <w:rFonts w:ascii="宋体" w:hAnsi="宋体"/>
                <w:color w:val="000000"/>
              </w:rPr>
            </w:pPr>
          </w:p>
        </w:tc>
        <w:tc>
          <w:tcPr>
            <w:tcW w:w="844" w:type="dxa"/>
            <w:vAlign w:val="center"/>
          </w:tcPr>
          <w:p>
            <w:pPr>
              <w:pStyle w:val="38"/>
              <w:snapToGrid w:val="0"/>
              <w:spacing w:line="400" w:lineRule="atLeast"/>
              <w:jc w:val="center"/>
              <w:rPr>
                <w:rFonts w:ascii="宋体" w:hAnsi="宋体"/>
                <w:color w:val="000000"/>
              </w:rPr>
            </w:pPr>
          </w:p>
        </w:tc>
        <w:tc>
          <w:tcPr>
            <w:tcW w:w="1688" w:type="dxa"/>
            <w:vAlign w:val="center"/>
          </w:tcPr>
          <w:p>
            <w:pPr>
              <w:pStyle w:val="38"/>
              <w:snapToGrid w:val="0"/>
              <w:spacing w:line="400" w:lineRule="atLeast"/>
              <w:jc w:val="center"/>
              <w:rPr>
                <w:rFonts w:ascii="宋体" w:hAnsi="宋体"/>
                <w:color w:val="000000"/>
              </w:rPr>
            </w:pPr>
          </w:p>
        </w:tc>
        <w:tc>
          <w:tcPr>
            <w:tcW w:w="1097" w:type="dxa"/>
            <w:vAlign w:val="center"/>
          </w:tcPr>
          <w:p>
            <w:pPr>
              <w:pStyle w:val="38"/>
              <w:snapToGrid w:val="0"/>
              <w:spacing w:line="400" w:lineRule="atLeast"/>
              <w:jc w:val="center"/>
              <w:rPr>
                <w:rFonts w:ascii="宋体" w:hAnsi="宋体"/>
                <w:color w:val="000000"/>
              </w:rPr>
            </w:pPr>
          </w:p>
        </w:tc>
        <w:tc>
          <w:tcPr>
            <w:tcW w:w="1182" w:type="dxa"/>
            <w:vAlign w:val="center"/>
          </w:tcPr>
          <w:p>
            <w:pPr>
              <w:pStyle w:val="38"/>
              <w:snapToGrid w:val="0"/>
              <w:spacing w:line="400" w:lineRule="atLeast"/>
              <w:jc w:val="center"/>
              <w:rPr>
                <w:rFonts w:ascii="宋体" w:hAnsi="宋体"/>
                <w:color w:val="000000"/>
              </w:rPr>
            </w:pPr>
          </w:p>
        </w:tc>
        <w:tc>
          <w:tcPr>
            <w:tcW w:w="1804" w:type="dxa"/>
            <w:vAlign w:val="center"/>
          </w:tcPr>
          <w:p>
            <w:pPr>
              <w:pStyle w:val="38"/>
              <w:snapToGrid w:val="0"/>
              <w:spacing w:line="400" w:lineRule="atLeast"/>
              <w:jc w:val="center"/>
              <w:rPr>
                <w:rFonts w:ascii="宋体" w:hAnsi="宋体"/>
                <w:color w:val="000000"/>
              </w:rPr>
            </w:pPr>
          </w:p>
        </w:tc>
        <w:tc>
          <w:tcPr>
            <w:tcW w:w="638" w:type="dxa"/>
            <w:tcBorders>
              <w:right w:val="single" w:color="000000" w:sz="4" w:space="0"/>
            </w:tcBorders>
            <w:vAlign w:val="center"/>
          </w:tcPr>
          <w:p>
            <w:pPr>
              <w:pStyle w:val="38"/>
              <w:snapToGrid w:val="0"/>
              <w:spacing w:line="400" w:lineRule="atLeast"/>
              <w:jc w:val="center"/>
              <w:rPr>
                <w:rFonts w:ascii="宋体" w:hAnsi="宋体"/>
                <w:color w:val="000000"/>
              </w:rPr>
            </w:pPr>
          </w:p>
        </w:tc>
        <w:tc>
          <w:tcPr>
            <w:tcW w:w="681" w:type="dxa"/>
            <w:tcBorders>
              <w:left w:val="single" w:color="000000" w:sz="4" w:space="0"/>
            </w:tcBorders>
            <w:vAlign w:val="center"/>
          </w:tcPr>
          <w:p>
            <w:pPr>
              <w:pStyle w:val="38"/>
              <w:snapToGrid w:val="0"/>
              <w:spacing w:line="400" w:lineRule="atLeast"/>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trPr>
        <w:tc>
          <w:tcPr>
            <w:tcW w:w="506" w:type="dxa"/>
            <w:vAlign w:val="center"/>
          </w:tcPr>
          <w:p>
            <w:pPr>
              <w:pStyle w:val="38"/>
              <w:snapToGrid w:val="0"/>
              <w:spacing w:line="400" w:lineRule="atLeast"/>
              <w:jc w:val="center"/>
              <w:rPr>
                <w:rFonts w:ascii="宋体" w:hAnsi="宋体"/>
                <w:color w:val="000000"/>
              </w:rPr>
            </w:pPr>
          </w:p>
        </w:tc>
        <w:tc>
          <w:tcPr>
            <w:tcW w:w="1182" w:type="dxa"/>
            <w:vAlign w:val="center"/>
          </w:tcPr>
          <w:p>
            <w:pPr>
              <w:pStyle w:val="38"/>
              <w:snapToGrid w:val="0"/>
              <w:spacing w:line="400" w:lineRule="atLeast"/>
              <w:jc w:val="center"/>
              <w:rPr>
                <w:rFonts w:ascii="宋体" w:hAnsi="宋体"/>
                <w:color w:val="000000"/>
              </w:rPr>
            </w:pPr>
          </w:p>
        </w:tc>
        <w:tc>
          <w:tcPr>
            <w:tcW w:w="844" w:type="dxa"/>
            <w:vAlign w:val="center"/>
          </w:tcPr>
          <w:p>
            <w:pPr>
              <w:pStyle w:val="38"/>
              <w:snapToGrid w:val="0"/>
              <w:spacing w:line="400" w:lineRule="atLeast"/>
              <w:jc w:val="center"/>
              <w:rPr>
                <w:rFonts w:ascii="宋体" w:hAnsi="宋体"/>
                <w:color w:val="000000"/>
              </w:rPr>
            </w:pPr>
          </w:p>
        </w:tc>
        <w:tc>
          <w:tcPr>
            <w:tcW w:w="1688" w:type="dxa"/>
            <w:vAlign w:val="center"/>
          </w:tcPr>
          <w:p>
            <w:pPr>
              <w:pStyle w:val="38"/>
              <w:snapToGrid w:val="0"/>
              <w:spacing w:line="400" w:lineRule="atLeast"/>
              <w:jc w:val="center"/>
              <w:rPr>
                <w:rFonts w:ascii="宋体" w:hAnsi="宋体"/>
                <w:color w:val="000000"/>
              </w:rPr>
            </w:pPr>
          </w:p>
        </w:tc>
        <w:tc>
          <w:tcPr>
            <w:tcW w:w="1097" w:type="dxa"/>
            <w:vAlign w:val="center"/>
          </w:tcPr>
          <w:p>
            <w:pPr>
              <w:pStyle w:val="38"/>
              <w:snapToGrid w:val="0"/>
              <w:spacing w:line="400" w:lineRule="atLeast"/>
              <w:jc w:val="center"/>
              <w:rPr>
                <w:rFonts w:ascii="宋体" w:hAnsi="宋体"/>
                <w:color w:val="000000"/>
              </w:rPr>
            </w:pPr>
          </w:p>
        </w:tc>
        <w:tc>
          <w:tcPr>
            <w:tcW w:w="1182" w:type="dxa"/>
            <w:vAlign w:val="center"/>
          </w:tcPr>
          <w:p>
            <w:pPr>
              <w:pStyle w:val="38"/>
              <w:snapToGrid w:val="0"/>
              <w:spacing w:line="400" w:lineRule="atLeast"/>
              <w:jc w:val="center"/>
              <w:rPr>
                <w:rFonts w:ascii="宋体" w:hAnsi="宋体"/>
                <w:color w:val="000000"/>
              </w:rPr>
            </w:pPr>
          </w:p>
        </w:tc>
        <w:tc>
          <w:tcPr>
            <w:tcW w:w="1804" w:type="dxa"/>
            <w:vAlign w:val="center"/>
          </w:tcPr>
          <w:p>
            <w:pPr>
              <w:pStyle w:val="38"/>
              <w:snapToGrid w:val="0"/>
              <w:spacing w:line="400" w:lineRule="atLeast"/>
              <w:jc w:val="center"/>
              <w:rPr>
                <w:rFonts w:ascii="宋体" w:hAnsi="宋体"/>
                <w:color w:val="000000"/>
              </w:rPr>
            </w:pPr>
          </w:p>
        </w:tc>
        <w:tc>
          <w:tcPr>
            <w:tcW w:w="638" w:type="dxa"/>
            <w:tcBorders>
              <w:right w:val="single" w:color="000000" w:sz="4" w:space="0"/>
            </w:tcBorders>
            <w:vAlign w:val="center"/>
          </w:tcPr>
          <w:p>
            <w:pPr>
              <w:pStyle w:val="38"/>
              <w:snapToGrid w:val="0"/>
              <w:spacing w:line="400" w:lineRule="atLeast"/>
              <w:jc w:val="center"/>
              <w:rPr>
                <w:rFonts w:ascii="宋体" w:hAnsi="宋体"/>
                <w:color w:val="000000"/>
              </w:rPr>
            </w:pPr>
          </w:p>
        </w:tc>
        <w:tc>
          <w:tcPr>
            <w:tcW w:w="681" w:type="dxa"/>
            <w:tcBorders>
              <w:left w:val="single" w:color="000000" w:sz="4" w:space="0"/>
            </w:tcBorders>
            <w:vAlign w:val="center"/>
          </w:tcPr>
          <w:p>
            <w:pPr>
              <w:pStyle w:val="38"/>
              <w:snapToGrid w:val="0"/>
              <w:spacing w:line="400" w:lineRule="atLeast"/>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4" w:hRule="atLeast"/>
        </w:trPr>
        <w:tc>
          <w:tcPr>
            <w:tcW w:w="506" w:type="dxa"/>
            <w:vAlign w:val="center"/>
          </w:tcPr>
          <w:p>
            <w:pPr>
              <w:pStyle w:val="38"/>
              <w:snapToGrid w:val="0"/>
              <w:spacing w:line="400" w:lineRule="atLeast"/>
              <w:jc w:val="center"/>
              <w:rPr>
                <w:rFonts w:ascii="宋体" w:hAnsi="宋体"/>
                <w:color w:val="000000"/>
              </w:rPr>
            </w:pPr>
          </w:p>
        </w:tc>
        <w:tc>
          <w:tcPr>
            <w:tcW w:w="1182" w:type="dxa"/>
            <w:vAlign w:val="center"/>
          </w:tcPr>
          <w:p>
            <w:pPr>
              <w:pStyle w:val="38"/>
              <w:snapToGrid w:val="0"/>
              <w:spacing w:line="400" w:lineRule="atLeast"/>
              <w:jc w:val="center"/>
              <w:rPr>
                <w:rFonts w:ascii="宋体" w:hAnsi="宋体"/>
                <w:color w:val="000000"/>
              </w:rPr>
            </w:pPr>
          </w:p>
        </w:tc>
        <w:tc>
          <w:tcPr>
            <w:tcW w:w="844" w:type="dxa"/>
            <w:vAlign w:val="center"/>
          </w:tcPr>
          <w:p>
            <w:pPr>
              <w:pStyle w:val="38"/>
              <w:snapToGrid w:val="0"/>
              <w:spacing w:line="400" w:lineRule="atLeast"/>
              <w:jc w:val="center"/>
              <w:rPr>
                <w:rFonts w:ascii="宋体" w:hAnsi="宋体"/>
                <w:color w:val="000000"/>
              </w:rPr>
            </w:pPr>
          </w:p>
        </w:tc>
        <w:tc>
          <w:tcPr>
            <w:tcW w:w="1688" w:type="dxa"/>
            <w:vAlign w:val="center"/>
          </w:tcPr>
          <w:p>
            <w:pPr>
              <w:pStyle w:val="38"/>
              <w:snapToGrid w:val="0"/>
              <w:spacing w:line="400" w:lineRule="atLeast"/>
              <w:jc w:val="center"/>
              <w:rPr>
                <w:rFonts w:ascii="宋体" w:hAnsi="宋体"/>
                <w:color w:val="000000"/>
              </w:rPr>
            </w:pPr>
          </w:p>
        </w:tc>
        <w:tc>
          <w:tcPr>
            <w:tcW w:w="1097" w:type="dxa"/>
            <w:vAlign w:val="center"/>
          </w:tcPr>
          <w:p>
            <w:pPr>
              <w:pStyle w:val="38"/>
              <w:snapToGrid w:val="0"/>
              <w:spacing w:line="400" w:lineRule="atLeast"/>
              <w:jc w:val="center"/>
              <w:rPr>
                <w:rFonts w:ascii="宋体" w:hAnsi="宋体"/>
                <w:color w:val="000000"/>
              </w:rPr>
            </w:pPr>
          </w:p>
        </w:tc>
        <w:tc>
          <w:tcPr>
            <w:tcW w:w="1182" w:type="dxa"/>
            <w:vAlign w:val="center"/>
          </w:tcPr>
          <w:p>
            <w:pPr>
              <w:pStyle w:val="38"/>
              <w:snapToGrid w:val="0"/>
              <w:spacing w:line="400" w:lineRule="atLeast"/>
              <w:jc w:val="center"/>
              <w:rPr>
                <w:rFonts w:ascii="宋体" w:hAnsi="宋体"/>
                <w:color w:val="000000"/>
              </w:rPr>
            </w:pPr>
          </w:p>
        </w:tc>
        <w:tc>
          <w:tcPr>
            <w:tcW w:w="1804" w:type="dxa"/>
            <w:vAlign w:val="center"/>
          </w:tcPr>
          <w:p>
            <w:pPr>
              <w:pStyle w:val="38"/>
              <w:snapToGrid w:val="0"/>
              <w:spacing w:line="400" w:lineRule="atLeast"/>
              <w:jc w:val="center"/>
              <w:rPr>
                <w:rFonts w:ascii="宋体" w:hAnsi="宋体"/>
                <w:color w:val="000000"/>
              </w:rPr>
            </w:pPr>
          </w:p>
        </w:tc>
        <w:tc>
          <w:tcPr>
            <w:tcW w:w="638" w:type="dxa"/>
            <w:tcBorders>
              <w:right w:val="single" w:color="000000" w:sz="4" w:space="0"/>
            </w:tcBorders>
            <w:vAlign w:val="center"/>
          </w:tcPr>
          <w:p>
            <w:pPr>
              <w:pStyle w:val="38"/>
              <w:snapToGrid w:val="0"/>
              <w:spacing w:line="400" w:lineRule="atLeast"/>
              <w:jc w:val="center"/>
              <w:rPr>
                <w:rFonts w:ascii="宋体" w:hAnsi="宋体"/>
                <w:color w:val="000000"/>
              </w:rPr>
            </w:pPr>
          </w:p>
        </w:tc>
        <w:tc>
          <w:tcPr>
            <w:tcW w:w="681" w:type="dxa"/>
            <w:tcBorders>
              <w:left w:val="single" w:color="000000" w:sz="4" w:space="0"/>
            </w:tcBorders>
            <w:vAlign w:val="center"/>
          </w:tcPr>
          <w:p>
            <w:pPr>
              <w:pStyle w:val="38"/>
              <w:snapToGrid w:val="0"/>
              <w:spacing w:line="400" w:lineRule="atLeast"/>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4" w:hRule="atLeast"/>
        </w:trPr>
        <w:tc>
          <w:tcPr>
            <w:tcW w:w="506" w:type="dxa"/>
            <w:vAlign w:val="center"/>
          </w:tcPr>
          <w:p>
            <w:pPr>
              <w:pStyle w:val="38"/>
              <w:snapToGrid w:val="0"/>
              <w:spacing w:line="400" w:lineRule="atLeast"/>
              <w:jc w:val="center"/>
              <w:rPr>
                <w:rFonts w:ascii="宋体" w:hAnsi="宋体"/>
                <w:color w:val="000000"/>
              </w:rPr>
            </w:pPr>
          </w:p>
        </w:tc>
        <w:tc>
          <w:tcPr>
            <w:tcW w:w="1182" w:type="dxa"/>
            <w:vAlign w:val="center"/>
          </w:tcPr>
          <w:p>
            <w:pPr>
              <w:pStyle w:val="38"/>
              <w:snapToGrid w:val="0"/>
              <w:spacing w:line="400" w:lineRule="atLeast"/>
              <w:jc w:val="center"/>
              <w:rPr>
                <w:rFonts w:ascii="宋体" w:hAnsi="宋体"/>
                <w:color w:val="000000"/>
              </w:rPr>
            </w:pPr>
          </w:p>
        </w:tc>
        <w:tc>
          <w:tcPr>
            <w:tcW w:w="844" w:type="dxa"/>
            <w:vAlign w:val="center"/>
          </w:tcPr>
          <w:p>
            <w:pPr>
              <w:pStyle w:val="38"/>
              <w:snapToGrid w:val="0"/>
              <w:spacing w:line="400" w:lineRule="atLeast"/>
              <w:jc w:val="center"/>
              <w:rPr>
                <w:rFonts w:ascii="宋体" w:hAnsi="宋体"/>
                <w:color w:val="000000"/>
              </w:rPr>
            </w:pPr>
          </w:p>
        </w:tc>
        <w:tc>
          <w:tcPr>
            <w:tcW w:w="1688" w:type="dxa"/>
            <w:vAlign w:val="center"/>
          </w:tcPr>
          <w:p>
            <w:pPr>
              <w:pStyle w:val="38"/>
              <w:snapToGrid w:val="0"/>
              <w:spacing w:line="400" w:lineRule="atLeast"/>
              <w:jc w:val="center"/>
              <w:rPr>
                <w:rFonts w:ascii="宋体" w:hAnsi="宋体"/>
                <w:color w:val="000000"/>
              </w:rPr>
            </w:pPr>
          </w:p>
        </w:tc>
        <w:tc>
          <w:tcPr>
            <w:tcW w:w="1097" w:type="dxa"/>
            <w:vAlign w:val="center"/>
          </w:tcPr>
          <w:p>
            <w:pPr>
              <w:pStyle w:val="38"/>
              <w:snapToGrid w:val="0"/>
              <w:spacing w:line="400" w:lineRule="atLeast"/>
              <w:jc w:val="center"/>
              <w:rPr>
                <w:rFonts w:ascii="宋体" w:hAnsi="宋体"/>
                <w:color w:val="000000"/>
              </w:rPr>
            </w:pPr>
          </w:p>
        </w:tc>
        <w:tc>
          <w:tcPr>
            <w:tcW w:w="1182" w:type="dxa"/>
            <w:vAlign w:val="center"/>
          </w:tcPr>
          <w:p>
            <w:pPr>
              <w:pStyle w:val="38"/>
              <w:snapToGrid w:val="0"/>
              <w:spacing w:line="400" w:lineRule="atLeast"/>
              <w:jc w:val="center"/>
              <w:rPr>
                <w:rFonts w:ascii="宋体" w:hAnsi="宋体"/>
                <w:color w:val="000000"/>
              </w:rPr>
            </w:pPr>
          </w:p>
        </w:tc>
        <w:tc>
          <w:tcPr>
            <w:tcW w:w="1804" w:type="dxa"/>
            <w:vAlign w:val="center"/>
          </w:tcPr>
          <w:p>
            <w:pPr>
              <w:pStyle w:val="38"/>
              <w:snapToGrid w:val="0"/>
              <w:spacing w:line="400" w:lineRule="atLeast"/>
              <w:jc w:val="center"/>
              <w:rPr>
                <w:rFonts w:ascii="宋体" w:hAnsi="宋体"/>
                <w:color w:val="000000"/>
              </w:rPr>
            </w:pPr>
          </w:p>
        </w:tc>
        <w:tc>
          <w:tcPr>
            <w:tcW w:w="638" w:type="dxa"/>
            <w:tcBorders>
              <w:right w:val="single" w:color="000000" w:sz="4" w:space="0"/>
            </w:tcBorders>
            <w:vAlign w:val="center"/>
          </w:tcPr>
          <w:p>
            <w:pPr>
              <w:pStyle w:val="38"/>
              <w:snapToGrid w:val="0"/>
              <w:spacing w:line="400" w:lineRule="atLeast"/>
              <w:jc w:val="center"/>
              <w:rPr>
                <w:rFonts w:ascii="宋体" w:hAnsi="宋体"/>
                <w:color w:val="000000"/>
              </w:rPr>
            </w:pPr>
          </w:p>
        </w:tc>
        <w:tc>
          <w:tcPr>
            <w:tcW w:w="681" w:type="dxa"/>
            <w:tcBorders>
              <w:left w:val="single" w:color="000000" w:sz="4" w:space="0"/>
            </w:tcBorders>
            <w:vAlign w:val="center"/>
          </w:tcPr>
          <w:p>
            <w:pPr>
              <w:pStyle w:val="38"/>
              <w:snapToGrid w:val="0"/>
              <w:spacing w:line="400" w:lineRule="atLeast"/>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4" w:hRule="atLeast"/>
        </w:trPr>
        <w:tc>
          <w:tcPr>
            <w:tcW w:w="506" w:type="dxa"/>
            <w:vAlign w:val="center"/>
          </w:tcPr>
          <w:p>
            <w:pPr>
              <w:pStyle w:val="38"/>
              <w:snapToGrid w:val="0"/>
              <w:spacing w:line="400" w:lineRule="atLeast"/>
              <w:jc w:val="center"/>
              <w:rPr>
                <w:rFonts w:ascii="宋体" w:hAnsi="宋体"/>
                <w:color w:val="000000"/>
              </w:rPr>
            </w:pPr>
          </w:p>
        </w:tc>
        <w:tc>
          <w:tcPr>
            <w:tcW w:w="1182" w:type="dxa"/>
            <w:vAlign w:val="center"/>
          </w:tcPr>
          <w:p>
            <w:pPr>
              <w:pStyle w:val="38"/>
              <w:snapToGrid w:val="0"/>
              <w:spacing w:line="400" w:lineRule="atLeast"/>
              <w:jc w:val="center"/>
              <w:rPr>
                <w:rFonts w:ascii="宋体" w:hAnsi="宋体"/>
                <w:color w:val="000000"/>
              </w:rPr>
            </w:pPr>
          </w:p>
        </w:tc>
        <w:tc>
          <w:tcPr>
            <w:tcW w:w="844" w:type="dxa"/>
            <w:vAlign w:val="center"/>
          </w:tcPr>
          <w:p>
            <w:pPr>
              <w:pStyle w:val="38"/>
              <w:snapToGrid w:val="0"/>
              <w:spacing w:line="400" w:lineRule="atLeast"/>
              <w:jc w:val="center"/>
              <w:rPr>
                <w:rFonts w:ascii="宋体" w:hAnsi="宋体"/>
                <w:color w:val="000000"/>
              </w:rPr>
            </w:pPr>
          </w:p>
        </w:tc>
        <w:tc>
          <w:tcPr>
            <w:tcW w:w="1688" w:type="dxa"/>
            <w:vAlign w:val="center"/>
          </w:tcPr>
          <w:p>
            <w:pPr>
              <w:pStyle w:val="38"/>
              <w:snapToGrid w:val="0"/>
              <w:spacing w:line="400" w:lineRule="atLeast"/>
              <w:jc w:val="center"/>
              <w:rPr>
                <w:rFonts w:ascii="宋体" w:hAnsi="宋体"/>
                <w:color w:val="000000"/>
              </w:rPr>
            </w:pPr>
          </w:p>
        </w:tc>
        <w:tc>
          <w:tcPr>
            <w:tcW w:w="1097" w:type="dxa"/>
            <w:vAlign w:val="center"/>
          </w:tcPr>
          <w:p>
            <w:pPr>
              <w:pStyle w:val="38"/>
              <w:snapToGrid w:val="0"/>
              <w:spacing w:line="400" w:lineRule="atLeast"/>
              <w:jc w:val="center"/>
              <w:rPr>
                <w:rFonts w:ascii="宋体" w:hAnsi="宋体"/>
                <w:color w:val="000000"/>
              </w:rPr>
            </w:pPr>
          </w:p>
        </w:tc>
        <w:tc>
          <w:tcPr>
            <w:tcW w:w="1182" w:type="dxa"/>
            <w:vAlign w:val="center"/>
          </w:tcPr>
          <w:p>
            <w:pPr>
              <w:pStyle w:val="38"/>
              <w:snapToGrid w:val="0"/>
              <w:spacing w:line="400" w:lineRule="atLeast"/>
              <w:jc w:val="center"/>
              <w:rPr>
                <w:rFonts w:ascii="宋体" w:hAnsi="宋体"/>
                <w:color w:val="000000"/>
              </w:rPr>
            </w:pPr>
          </w:p>
        </w:tc>
        <w:tc>
          <w:tcPr>
            <w:tcW w:w="1804" w:type="dxa"/>
            <w:vAlign w:val="center"/>
          </w:tcPr>
          <w:p>
            <w:pPr>
              <w:pStyle w:val="38"/>
              <w:snapToGrid w:val="0"/>
              <w:spacing w:line="400" w:lineRule="atLeast"/>
              <w:jc w:val="center"/>
              <w:rPr>
                <w:rFonts w:ascii="宋体" w:hAnsi="宋体"/>
                <w:color w:val="000000"/>
              </w:rPr>
            </w:pPr>
          </w:p>
        </w:tc>
        <w:tc>
          <w:tcPr>
            <w:tcW w:w="638" w:type="dxa"/>
            <w:tcBorders>
              <w:right w:val="single" w:color="000000" w:sz="4" w:space="0"/>
            </w:tcBorders>
            <w:vAlign w:val="center"/>
          </w:tcPr>
          <w:p>
            <w:pPr>
              <w:pStyle w:val="38"/>
              <w:snapToGrid w:val="0"/>
              <w:spacing w:line="400" w:lineRule="atLeast"/>
              <w:jc w:val="center"/>
              <w:rPr>
                <w:rFonts w:ascii="宋体" w:hAnsi="宋体"/>
                <w:color w:val="000000"/>
              </w:rPr>
            </w:pPr>
          </w:p>
        </w:tc>
        <w:tc>
          <w:tcPr>
            <w:tcW w:w="681" w:type="dxa"/>
            <w:tcBorders>
              <w:left w:val="single" w:color="000000" w:sz="4" w:space="0"/>
            </w:tcBorders>
            <w:vAlign w:val="center"/>
          </w:tcPr>
          <w:p>
            <w:pPr>
              <w:pStyle w:val="38"/>
              <w:snapToGrid w:val="0"/>
              <w:spacing w:line="400" w:lineRule="atLeast"/>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4" w:hRule="atLeast"/>
        </w:trPr>
        <w:tc>
          <w:tcPr>
            <w:tcW w:w="506" w:type="dxa"/>
            <w:vAlign w:val="center"/>
          </w:tcPr>
          <w:p>
            <w:pPr>
              <w:pStyle w:val="38"/>
              <w:snapToGrid w:val="0"/>
              <w:spacing w:line="400" w:lineRule="atLeast"/>
              <w:jc w:val="center"/>
              <w:rPr>
                <w:rFonts w:ascii="宋体" w:hAnsi="宋体"/>
                <w:color w:val="000000"/>
              </w:rPr>
            </w:pPr>
          </w:p>
        </w:tc>
        <w:tc>
          <w:tcPr>
            <w:tcW w:w="1182" w:type="dxa"/>
            <w:vAlign w:val="center"/>
          </w:tcPr>
          <w:p>
            <w:pPr>
              <w:pStyle w:val="38"/>
              <w:snapToGrid w:val="0"/>
              <w:spacing w:line="400" w:lineRule="atLeast"/>
              <w:jc w:val="center"/>
              <w:rPr>
                <w:rFonts w:ascii="宋体" w:hAnsi="宋体"/>
                <w:color w:val="000000"/>
              </w:rPr>
            </w:pPr>
          </w:p>
        </w:tc>
        <w:tc>
          <w:tcPr>
            <w:tcW w:w="844" w:type="dxa"/>
            <w:vAlign w:val="center"/>
          </w:tcPr>
          <w:p>
            <w:pPr>
              <w:pStyle w:val="38"/>
              <w:snapToGrid w:val="0"/>
              <w:spacing w:line="400" w:lineRule="atLeast"/>
              <w:jc w:val="center"/>
              <w:rPr>
                <w:rFonts w:ascii="宋体" w:hAnsi="宋体"/>
                <w:color w:val="000000"/>
              </w:rPr>
            </w:pPr>
          </w:p>
        </w:tc>
        <w:tc>
          <w:tcPr>
            <w:tcW w:w="1688" w:type="dxa"/>
            <w:vAlign w:val="center"/>
          </w:tcPr>
          <w:p>
            <w:pPr>
              <w:pStyle w:val="38"/>
              <w:snapToGrid w:val="0"/>
              <w:spacing w:line="400" w:lineRule="atLeast"/>
              <w:jc w:val="center"/>
              <w:rPr>
                <w:rFonts w:ascii="宋体" w:hAnsi="宋体"/>
                <w:color w:val="000000"/>
              </w:rPr>
            </w:pPr>
          </w:p>
        </w:tc>
        <w:tc>
          <w:tcPr>
            <w:tcW w:w="1097" w:type="dxa"/>
            <w:vAlign w:val="center"/>
          </w:tcPr>
          <w:p>
            <w:pPr>
              <w:pStyle w:val="38"/>
              <w:snapToGrid w:val="0"/>
              <w:spacing w:line="400" w:lineRule="atLeast"/>
              <w:jc w:val="center"/>
              <w:rPr>
                <w:rFonts w:ascii="宋体" w:hAnsi="宋体"/>
                <w:color w:val="000000"/>
              </w:rPr>
            </w:pPr>
          </w:p>
        </w:tc>
        <w:tc>
          <w:tcPr>
            <w:tcW w:w="1182" w:type="dxa"/>
            <w:vAlign w:val="center"/>
          </w:tcPr>
          <w:p>
            <w:pPr>
              <w:pStyle w:val="38"/>
              <w:snapToGrid w:val="0"/>
              <w:spacing w:line="400" w:lineRule="atLeast"/>
              <w:jc w:val="center"/>
              <w:rPr>
                <w:rFonts w:ascii="宋体" w:hAnsi="宋体"/>
                <w:color w:val="000000"/>
              </w:rPr>
            </w:pPr>
          </w:p>
        </w:tc>
        <w:tc>
          <w:tcPr>
            <w:tcW w:w="1804" w:type="dxa"/>
            <w:vAlign w:val="center"/>
          </w:tcPr>
          <w:p>
            <w:pPr>
              <w:pStyle w:val="38"/>
              <w:snapToGrid w:val="0"/>
              <w:spacing w:line="400" w:lineRule="atLeast"/>
              <w:jc w:val="center"/>
              <w:rPr>
                <w:rFonts w:ascii="宋体" w:hAnsi="宋体"/>
                <w:color w:val="000000"/>
              </w:rPr>
            </w:pPr>
          </w:p>
        </w:tc>
        <w:tc>
          <w:tcPr>
            <w:tcW w:w="638" w:type="dxa"/>
            <w:tcBorders>
              <w:right w:val="single" w:color="000000" w:sz="4" w:space="0"/>
            </w:tcBorders>
            <w:vAlign w:val="center"/>
          </w:tcPr>
          <w:p>
            <w:pPr>
              <w:pStyle w:val="38"/>
              <w:snapToGrid w:val="0"/>
              <w:spacing w:line="400" w:lineRule="atLeast"/>
              <w:jc w:val="center"/>
              <w:rPr>
                <w:rFonts w:ascii="宋体" w:hAnsi="宋体"/>
                <w:color w:val="000000"/>
              </w:rPr>
            </w:pPr>
          </w:p>
        </w:tc>
        <w:tc>
          <w:tcPr>
            <w:tcW w:w="681" w:type="dxa"/>
            <w:tcBorders>
              <w:left w:val="single" w:color="000000" w:sz="4" w:space="0"/>
            </w:tcBorders>
            <w:vAlign w:val="center"/>
          </w:tcPr>
          <w:p>
            <w:pPr>
              <w:pStyle w:val="38"/>
              <w:snapToGrid w:val="0"/>
              <w:spacing w:line="400" w:lineRule="atLeast"/>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4" w:hRule="atLeast"/>
        </w:trPr>
        <w:tc>
          <w:tcPr>
            <w:tcW w:w="506" w:type="dxa"/>
            <w:vAlign w:val="center"/>
          </w:tcPr>
          <w:p>
            <w:pPr>
              <w:pStyle w:val="38"/>
              <w:snapToGrid w:val="0"/>
              <w:spacing w:line="400" w:lineRule="atLeast"/>
              <w:jc w:val="center"/>
              <w:rPr>
                <w:rFonts w:ascii="宋体" w:hAnsi="宋体"/>
                <w:color w:val="000000"/>
              </w:rPr>
            </w:pPr>
          </w:p>
        </w:tc>
        <w:tc>
          <w:tcPr>
            <w:tcW w:w="1182" w:type="dxa"/>
            <w:vAlign w:val="center"/>
          </w:tcPr>
          <w:p>
            <w:pPr>
              <w:pStyle w:val="38"/>
              <w:snapToGrid w:val="0"/>
              <w:spacing w:line="400" w:lineRule="atLeast"/>
              <w:jc w:val="center"/>
              <w:rPr>
                <w:rFonts w:ascii="宋体" w:hAnsi="宋体"/>
                <w:color w:val="000000"/>
              </w:rPr>
            </w:pPr>
          </w:p>
        </w:tc>
        <w:tc>
          <w:tcPr>
            <w:tcW w:w="844" w:type="dxa"/>
            <w:vAlign w:val="center"/>
          </w:tcPr>
          <w:p>
            <w:pPr>
              <w:pStyle w:val="38"/>
              <w:snapToGrid w:val="0"/>
              <w:spacing w:line="400" w:lineRule="atLeast"/>
              <w:jc w:val="center"/>
              <w:rPr>
                <w:rFonts w:ascii="宋体" w:hAnsi="宋体"/>
                <w:color w:val="000000"/>
              </w:rPr>
            </w:pPr>
          </w:p>
        </w:tc>
        <w:tc>
          <w:tcPr>
            <w:tcW w:w="1688" w:type="dxa"/>
            <w:vAlign w:val="center"/>
          </w:tcPr>
          <w:p>
            <w:pPr>
              <w:pStyle w:val="38"/>
              <w:snapToGrid w:val="0"/>
              <w:spacing w:line="400" w:lineRule="atLeast"/>
              <w:jc w:val="center"/>
              <w:rPr>
                <w:rFonts w:ascii="宋体" w:hAnsi="宋体"/>
                <w:color w:val="000000"/>
              </w:rPr>
            </w:pPr>
          </w:p>
        </w:tc>
        <w:tc>
          <w:tcPr>
            <w:tcW w:w="1097" w:type="dxa"/>
            <w:vAlign w:val="center"/>
          </w:tcPr>
          <w:p>
            <w:pPr>
              <w:pStyle w:val="38"/>
              <w:snapToGrid w:val="0"/>
              <w:spacing w:line="400" w:lineRule="atLeast"/>
              <w:jc w:val="center"/>
              <w:rPr>
                <w:rFonts w:ascii="宋体" w:hAnsi="宋体"/>
                <w:color w:val="000000"/>
              </w:rPr>
            </w:pPr>
          </w:p>
        </w:tc>
        <w:tc>
          <w:tcPr>
            <w:tcW w:w="1182" w:type="dxa"/>
            <w:vAlign w:val="center"/>
          </w:tcPr>
          <w:p>
            <w:pPr>
              <w:pStyle w:val="38"/>
              <w:snapToGrid w:val="0"/>
              <w:spacing w:line="400" w:lineRule="atLeast"/>
              <w:jc w:val="center"/>
              <w:rPr>
                <w:rFonts w:ascii="宋体" w:hAnsi="宋体"/>
                <w:color w:val="000000"/>
              </w:rPr>
            </w:pPr>
          </w:p>
        </w:tc>
        <w:tc>
          <w:tcPr>
            <w:tcW w:w="1804" w:type="dxa"/>
            <w:vAlign w:val="center"/>
          </w:tcPr>
          <w:p>
            <w:pPr>
              <w:pStyle w:val="38"/>
              <w:snapToGrid w:val="0"/>
              <w:spacing w:line="400" w:lineRule="atLeast"/>
              <w:jc w:val="center"/>
              <w:rPr>
                <w:rFonts w:ascii="宋体" w:hAnsi="宋体"/>
                <w:color w:val="000000"/>
              </w:rPr>
            </w:pPr>
          </w:p>
        </w:tc>
        <w:tc>
          <w:tcPr>
            <w:tcW w:w="638" w:type="dxa"/>
            <w:tcBorders>
              <w:right w:val="single" w:color="000000" w:sz="4" w:space="0"/>
            </w:tcBorders>
            <w:vAlign w:val="center"/>
          </w:tcPr>
          <w:p>
            <w:pPr>
              <w:pStyle w:val="38"/>
              <w:snapToGrid w:val="0"/>
              <w:spacing w:line="400" w:lineRule="atLeast"/>
              <w:jc w:val="center"/>
              <w:rPr>
                <w:rFonts w:ascii="宋体" w:hAnsi="宋体"/>
                <w:color w:val="000000"/>
              </w:rPr>
            </w:pPr>
          </w:p>
        </w:tc>
        <w:tc>
          <w:tcPr>
            <w:tcW w:w="681" w:type="dxa"/>
            <w:tcBorders>
              <w:left w:val="single" w:color="000000" w:sz="4" w:space="0"/>
            </w:tcBorders>
            <w:vAlign w:val="center"/>
          </w:tcPr>
          <w:p>
            <w:pPr>
              <w:pStyle w:val="38"/>
              <w:snapToGrid w:val="0"/>
              <w:spacing w:line="400" w:lineRule="atLeast"/>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trPr>
        <w:tc>
          <w:tcPr>
            <w:tcW w:w="506" w:type="dxa"/>
            <w:vAlign w:val="center"/>
          </w:tcPr>
          <w:p>
            <w:pPr>
              <w:pStyle w:val="38"/>
              <w:snapToGrid w:val="0"/>
              <w:spacing w:line="400" w:lineRule="atLeast"/>
              <w:jc w:val="center"/>
              <w:rPr>
                <w:rFonts w:ascii="宋体" w:hAnsi="宋体"/>
                <w:color w:val="000000"/>
              </w:rPr>
            </w:pPr>
          </w:p>
        </w:tc>
        <w:tc>
          <w:tcPr>
            <w:tcW w:w="1182" w:type="dxa"/>
            <w:vAlign w:val="center"/>
          </w:tcPr>
          <w:p>
            <w:pPr>
              <w:pStyle w:val="38"/>
              <w:snapToGrid w:val="0"/>
              <w:spacing w:line="400" w:lineRule="atLeast"/>
              <w:jc w:val="center"/>
              <w:rPr>
                <w:rFonts w:ascii="宋体" w:hAnsi="宋体"/>
                <w:color w:val="000000"/>
              </w:rPr>
            </w:pPr>
          </w:p>
        </w:tc>
        <w:tc>
          <w:tcPr>
            <w:tcW w:w="844" w:type="dxa"/>
            <w:vAlign w:val="center"/>
          </w:tcPr>
          <w:p>
            <w:pPr>
              <w:pStyle w:val="38"/>
              <w:snapToGrid w:val="0"/>
              <w:spacing w:line="400" w:lineRule="atLeast"/>
              <w:jc w:val="center"/>
              <w:rPr>
                <w:rFonts w:ascii="宋体" w:hAnsi="宋体"/>
                <w:color w:val="000000"/>
              </w:rPr>
            </w:pPr>
          </w:p>
        </w:tc>
        <w:tc>
          <w:tcPr>
            <w:tcW w:w="1688" w:type="dxa"/>
            <w:vAlign w:val="center"/>
          </w:tcPr>
          <w:p>
            <w:pPr>
              <w:pStyle w:val="38"/>
              <w:snapToGrid w:val="0"/>
              <w:spacing w:line="400" w:lineRule="atLeast"/>
              <w:jc w:val="center"/>
              <w:rPr>
                <w:rFonts w:ascii="宋体" w:hAnsi="宋体"/>
                <w:color w:val="000000"/>
              </w:rPr>
            </w:pPr>
          </w:p>
        </w:tc>
        <w:tc>
          <w:tcPr>
            <w:tcW w:w="1097" w:type="dxa"/>
            <w:vAlign w:val="center"/>
          </w:tcPr>
          <w:p>
            <w:pPr>
              <w:pStyle w:val="38"/>
              <w:snapToGrid w:val="0"/>
              <w:spacing w:line="400" w:lineRule="atLeast"/>
              <w:jc w:val="center"/>
              <w:rPr>
                <w:rFonts w:ascii="宋体" w:hAnsi="宋体"/>
                <w:color w:val="000000"/>
              </w:rPr>
            </w:pPr>
          </w:p>
        </w:tc>
        <w:tc>
          <w:tcPr>
            <w:tcW w:w="1182" w:type="dxa"/>
            <w:vAlign w:val="center"/>
          </w:tcPr>
          <w:p>
            <w:pPr>
              <w:pStyle w:val="38"/>
              <w:snapToGrid w:val="0"/>
              <w:spacing w:line="400" w:lineRule="atLeast"/>
              <w:jc w:val="center"/>
              <w:rPr>
                <w:rFonts w:ascii="宋体" w:hAnsi="宋体"/>
                <w:color w:val="000000"/>
              </w:rPr>
            </w:pPr>
          </w:p>
        </w:tc>
        <w:tc>
          <w:tcPr>
            <w:tcW w:w="1804" w:type="dxa"/>
            <w:vAlign w:val="center"/>
          </w:tcPr>
          <w:p>
            <w:pPr>
              <w:pStyle w:val="38"/>
              <w:snapToGrid w:val="0"/>
              <w:spacing w:line="400" w:lineRule="atLeast"/>
              <w:jc w:val="center"/>
              <w:rPr>
                <w:rFonts w:ascii="宋体" w:hAnsi="宋体"/>
                <w:color w:val="000000"/>
              </w:rPr>
            </w:pPr>
          </w:p>
        </w:tc>
        <w:tc>
          <w:tcPr>
            <w:tcW w:w="638" w:type="dxa"/>
            <w:tcBorders>
              <w:right w:val="single" w:color="000000" w:sz="4" w:space="0"/>
            </w:tcBorders>
            <w:vAlign w:val="center"/>
          </w:tcPr>
          <w:p>
            <w:pPr>
              <w:pStyle w:val="38"/>
              <w:snapToGrid w:val="0"/>
              <w:spacing w:line="400" w:lineRule="atLeast"/>
              <w:jc w:val="center"/>
              <w:rPr>
                <w:rFonts w:ascii="宋体" w:hAnsi="宋体"/>
                <w:color w:val="000000"/>
              </w:rPr>
            </w:pPr>
          </w:p>
        </w:tc>
        <w:tc>
          <w:tcPr>
            <w:tcW w:w="681" w:type="dxa"/>
            <w:tcBorders>
              <w:left w:val="single" w:color="000000" w:sz="4" w:space="0"/>
            </w:tcBorders>
            <w:vAlign w:val="center"/>
          </w:tcPr>
          <w:p>
            <w:pPr>
              <w:pStyle w:val="38"/>
              <w:snapToGrid w:val="0"/>
              <w:spacing w:line="400" w:lineRule="atLeast"/>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4" w:hRule="atLeast"/>
        </w:trPr>
        <w:tc>
          <w:tcPr>
            <w:tcW w:w="506" w:type="dxa"/>
            <w:vAlign w:val="center"/>
          </w:tcPr>
          <w:p>
            <w:pPr>
              <w:pStyle w:val="38"/>
              <w:snapToGrid w:val="0"/>
              <w:spacing w:line="400" w:lineRule="atLeast"/>
              <w:jc w:val="center"/>
              <w:rPr>
                <w:rFonts w:ascii="宋体" w:hAnsi="宋体"/>
                <w:color w:val="000000"/>
              </w:rPr>
            </w:pPr>
          </w:p>
        </w:tc>
        <w:tc>
          <w:tcPr>
            <w:tcW w:w="1182" w:type="dxa"/>
            <w:vAlign w:val="center"/>
          </w:tcPr>
          <w:p>
            <w:pPr>
              <w:pStyle w:val="38"/>
              <w:snapToGrid w:val="0"/>
              <w:spacing w:line="400" w:lineRule="atLeast"/>
              <w:jc w:val="center"/>
              <w:rPr>
                <w:rFonts w:ascii="宋体" w:hAnsi="宋体"/>
                <w:color w:val="000000"/>
              </w:rPr>
            </w:pPr>
          </w:p>
        </w:tc>
        <w:tc>
          <w:tcPr>
            <w:tcW w:w="844" w:type="dxa"/>
            <w:vAlign w:val="center"/>
          </w:tcPr>
          <w:p>
            <w:pPr>
              <w:pStyle w:val="38"/>
              <w:snapToGrid w:val="0"/>
              <w:spacing w:line="400" w:lineRule="atLeast"/>
              <w:jc w:val="center"/>
              <w:rPr>
                <w:rFonts w:ascii="宋体" w:hAnsi="宋体"/>
                <w:color w:val="000000"/>
              </w:rPr>
            </w:pPr>
          </w:p>
        </w:tc>
        <w:tc>
          <w:tcPr>
            <w:tcW w:w="1688" w:type="dxa"/>
            <w:vAlign w:val="center"/>
          </w:tcPr>
          <w:p>
            <w:pPr>
              <w:pStyle w:val="38"/>
              <w:snapToGrid w:val="0"/>
              <w:spacing w:line="400" w:lineRule="atLeast"/>
              <w:jc w:val="center"/>
              <w:rPr>
                <w:rFonts w:ascii="宋体" w:hAnsi="宋体"/>
                <w:color w:val="000000"/>
              </w:rPr>
            </w:pPr>
          </w:p>
        </w:tc>
        <w:tc>
          <w:tcPr>
            <w:tcW w:w="1097" w:type="dxa"/>
            <w:vAlign w:val="center"/>
          </w:tcPr>
          <w:p>
            <w:pPr>
              <w:pStyle w:val="38"/>
              <w:snapToGrid w:val="0"/>
              <w:spacing w:line="400" w:lineRule="atLeast"/>
              <w:jc w:val="center"/>
              <w:rPr>
                <w:rFonts w:ascii="宋体" w:hAnsi="宋体"/>
                <w:color w:val="000000"/>
              </w:rPr>
            </w:pPr>
          </w:p>
        </w:tc>
        <w:tc>
          <w:tcPr>
            <w:tcW w:w="1182" w:type="dxa"/>
            <w:vAlign w:val="center"/>
          </w:tcPr>
          <w:p>
            <w:pPr>
              <w:pStyle w:val="38"/>
              <w:snapToGrid w:val="0"/>
              <w:spacing w:line="400" w:lineRule="atLeast"/>
              <w:jc w:val="center"/>
              <w:rPr>
                <w:rFonts w:ascii="宋体" w:hAnsi="宋体"/>
                <w:color w:val="000000"/>
              </w:rPr>
            </w:pPr>
          </w:p>
        </w:tc>
        <w:tc>
          <w:tcPr>
            <w:tcW w:w="1804" w:type="dxa"/>
            <w:vAlign w:val="center"/>
          </w:tcPr>
          <w:p>
            <w:pPr>
              <w:pStyle w:val="38"/>
              <w:snapToGrid w:val="0"/>
              <w:spacing w:line="400" w:lineRule="atLeast"/>
              <w:jc w:val="center"/>
              <w:rPr>
                <w:rFonts w:ascii="宋体" w:hAnsi="宋体"/>
                <w:color w:val="000000"/>
              </w:rPr>
            </w:pPr>
          </w:p>
        </w:tc>
        <w:tc>
          <w:tcPr>
            <w:tcW w:w="638" w:type="dxa"/>
            <w:tcBorders>
              <w:right w:val="single" w:color="000000" w:sz="4" w:space="0"/>
            </w:tcBorders>
            <w:vAlign w:val="center"/>
          </w:tcPr>
          <w:p>
            <w:pPr>
              <w:pStyle w:val="38"/>
              <w:snapToGrid w:val="0"/>
              <w:spacing w:line="400" w:lineRule="atLeast"/>
              <w:jc w:val="center"/>
              <w:rPr>
                <w:rFonts w:ascii="宋体" w:hAnsi="宋体"/>
                <w:color w:val="000000"/>
              </w:rPr>
            </w:pPr>
          </w:p>
        </w:tc>
        <w:tc>
          <w:tcPr>
            <w:tcW w:w="681" w:type="dxa"/>
            <w:tcBorders>
              <w:left w:val="single" w:color="000000" w:sz="4" w:space="0"/>
            </w:tcBorders>
            <w:vAlign w:val="center"/>
          </w:tcPr>
          <w:p>
            <w:pPr>
              <w:pStyle w:val="38"/>
              <w:snapToGrid w:val="0"/>
              <w:spacing w:line="400" w:lineRule="atLeast"/>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4" w:hRule="atLeast"/>
        </w:trPr>
        <w:tc>
          <w:tcPr>
            <w:tcW w:w="506" w:type="dxa"/>
            <w:vAlign w:val="center"/>
          </w:tcPr>
          <w:p>
            <w:pPr>
              <w:pStyle w:val="38"/>
              <w:snapToGrid w:val="0"/>
              <w:spacing w:line="400" w:lineRule="atLeast"/>
              <w:jc w:val="center"/>
              <w:rPr>
                <w:rFonts w:ascii="宋体" w:hAnsi="宋体"/>
                <w:color w:val="000000"/>
              </w:rPr>
            </w:pPr>
          </w:p>
        </w:tc>
        <w:tc>
          <w:tcPr>
            <w:tcW w:w="1182" w:type="dxa"/>
            <w:vAlign w:val="center"/>
          </w:tcPr>
          <w:p>
            <w:pPr>
              <w:pStyle w:val="38"/>
              <w:snapToGrid w:val="0"/>
              <w:spacing w:line="400" w:lineRule="atLeast"/>
              <w:jc w:val="center"/>
              <w:rPr>
                <w:rFonts w:ascii="宋体" w:hAnsi="宋体"/>
                <w:color w:val="000000"/>
              </w:rPr>
            </w:pPr>
          </w:p>
        </w:tc>
        <w:tc>
          <w:tcPr>
            <w:tcW w:w="844" w:type="dxa"/>
            <w:vAlign w:val="center"/>
          </w:tcPr>
          <w:p>
            <w:pPr>
              <w:pStyle w:val="38"/>
              <w:snapToGrid w:val="0"/>
              <w:spacing w:line="400" w:lineRule="atLeast"/>
              <w:jc w:val="center"/>
              <w:rPr>
                <w:rFonts w:ascii="宋体" w:hAnsi="宋体"/>
                <w:color w:val="000000"/>
              </w:rPr>
            </w:pPr>
          </w:p>
        </w:tc>
        <w:tc>
          <w:tcPr>
            <w:tcW w:w="1688" w:type="dxa"/>
            <w:vAlign w:val="center"/>
          </w:tcPr>
          <w:p>
            <w:pPr>
              <w:pStyle w:val="38"/>
              <w:snapToGrid w:val="0"/>
              <w:spacing w:line="400" w:lineRule="atLeast"/>
              <w:jc w:val="center"/>
              <w:rPr>
                <w:rFonts w:ascii="宋体" w:hAnsi="宋体"/>
                <w:color w:val="000000"/>
              </w:rPr>
            </w:pPr>
          </w:p>
        </w:tc>
        <w:tc>
          <w:tcPr>
            <w:tcW w:w="1097" w:type="dxa"/>
            <w:vAlign w:val="center"/>
          </w:tcPr>
          <w:p>
            <w:pPr>
              <w:pStyle w:val="38"/>
              <w:snapToGrid w:val="0"/>
              <w:spacing w:line="400" w:lineRule="atLeast"/>
              <w:jc w:val="center"/>
              <w:rPr>
                <w:rFonts w:ascii="宋体" w:hAnsi="宋体"/>
                <w:color w:val="000000"/>
              </w:rPr>
            </w:pPr>
          </w:p>
        </w:tc>
        <w:tc>
          <w:tcPr>
            <w:tcW w:w="1182" w:type="dxa"/>
            <w:vAlign w:val="center"/>
          </w:tcPr>
          <w:p>
            <w:pPr>
              <w:pStyle w:val="38"/>
              <w:snapToGrid w:val="0"/>
              <w:spacing w:line="400" w:lineRule="atLeast"/>
              <w:jc w:val="center"/>
              <w:rPr>
                <w:rFonts w:ascii="宋体" w:hAnsi="宋体"/>
                <w:color w:val="000000"/>
              </w:rPr>
            </w:pPr>
          </w:p>
        </w:tc>
        <w:tc>
          <w:tcPr>
            <w:tcW w:w="1804" w:type="dxa"/>
            <w:vAlign w:val="center"/>
          </w:tcPr>
          <w:p>
            <w:pPr>
              <w:pStyle w:val="38"/>
              <w:snapToGrid w:val="0"/>
              <w:spacing w:line="400" w:lineRule="atLeast"/>
              <w:jc w:val="center"/>
              <w:rPr>
                <w:rFonts w:ascii="宋体" w:hAnsi="宋体"/>
                <w:color w:val="000000"/>
              </w:rPr>
            </w:pPr>
          </w:p>
        </w:tc>
        <w:tc>
          <w:tcPr>
            <w:tcW w:w="638" w:type="dxa"/>
            <w:tcBorders>
              <w:right w:val="single" w:color="000000" w:sz="4" w:space="0"/>
            </w:tcBorders>
            <w:vAlign w:val="center"/>
          </w:tcPr>
          <w:p>
            <w:pPr>
              <w:pStyle w:val="38"/>
              <w:snapToGrid w:val="0"/>
              <w:spacing w:line="400" w:lineRule="atLeast"/>
              <w:jc w:val="center"/>
              <w:rPr>
                <w:rFonts w:ascii="宋体" w:hAnsi="宋体"/>
                <w:color w:val="000000"/>
              </w:rPr>
            </w:pPr>
          </w:p>
        </w:tc>
        <w:tc>
          <w:tcPr>
            <w:tcW w:w="681" w:type="dxa"/>
            <w:tcBorders>
              <w:left w:val="single" w:color="000000" w:sz="4" w:space="0"/>
            </w:tcBorders>
            <w:vAlign w:val="center"/>
          </w:tcPr>
          <w:p>
            <w:pPr>
              <w:pStyle w:val="38"/>
              <w:snapToGrid w:val="0"/>
              <w:spacing w:line="400" w:lineRule="atLeast"/>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trPr>
        <w:tc>
          <w:tcPr>
            <w:tcW w:w="506" w:type="dxa"/>
            <w:vAlign w:val="center"/>
          </w:tcPr>
          <w:p>
            <w:pPr>
              <w:pStyle w:val="38"/>
              <w:snapToGrid w:val="0"/>
              <w:spacing w:line="400" w:lineRule="atLeast"/>
              <w:jc w:val="center"/>
              <w:rPr>
                <w:rFonts w:ascii="宋体" w:hAnsi="宋体"/>
                <w:color w:val="000000"/>
              </w:rPr>
            </w:pPr>
          </w:p>
        </w:tc>
        <w:tc>
          <w:tcPr>
            <w:tcW w:w="1182" w:type="dxa"/>
            <w:vAlign w:val="center"/>
          </w:tcPr>
          <w:p>
            <w:pPr>
              <w:pStyle w:val="38"/>
              <w:snapToGrid w:val="0"/>
              <w:spacing w:line="400" w:lineRule="atLeast"/>
              <w:jc w:val="center"/>
              <w:rPr>
                <w:rFonts w:ascii="宋体" w:hAnsi="宋体"/>
                <w:color w:val="000000"/>
              </w:rPr>
            </w:pPr>
          </w:p>
        </w:tc>
        <w:tc>
          <w:tcPr>
            <w:tcW w:w="844" w:type="dxa"/>
            <w:vAlign w:val="center"/>
          </w:tcPr>
          <w:p>
            <w:pPr>
              <w:pStyle w:val="38"/>
              <w:snapToGrid w:val="0"/>
              <w:spacing w:line="400" w:lineRule="atLeast"/>
              <w:jc w:val="center"/>
              <w:rPr>
                <w:rFonts w:ascii="宋体" w:hAnsi="宋体"/>
                <w:color w:val="000000"/>
              </w:rPr>
            </w:pPr>
          </w:p>
        </w:tc>
        <w:tc>
          <w:tcPr>
            <w:tcW w:w="1688" w:type="dxa"/>
            <w:vAlign w:val="center"/>
          </w:tcPr>
          <w:p>
            <w:pPr>
              <w:pStyle w:val="38"/>
              <w:snapToGrid w:val="0"/>
              <w:spacing w:line="400" w:lineRule="atLeast"/>
              <w:jc w:val="center"/>
              <w:rPr>
                <w:rFonts w:ascii="宋体" w:hAnsi="宋体"/>
                <w:color w:val="000000"/>
              </w:rPr>
            </w:pPr>
          </w:p>
        </w:tc>
        <w:tc>
          <w:tcPr>
            <w:tcW w:w="1097" w:type="dxa"/>
            <w:vAlign w:val="center"/>
          </w:tcPr>
          <w:p>
            <w:pPr>
              <w:pStyle w:val="38"/>
              <w:snapToGrid w:val="0"/>
              <w:spacing w:line="400" w:lineRule="atLeast"/>
              <w:jc w:val="center"/>
              <w:rPr>
                <w:rFonts w:ascii="宋体" w:hAnsi="宋体"/>
                <w:color w:val="000000"/>
              </w:rPr>
            </w:pPr>
          </w:p>
        </w:tc>
        <w:tc>
          <w:tcPr>
            <w:tcW w:w="1182" w:type="dxa"/>
            <w:vAlign w:val="center"/>
          </w:tcPr>
          <w:p>
            <w:pPr>
              <w:pStyle w:val="38"/>
              <w:snapToGrid w:val="0"/>
              <w:spacing w:line="400" w:lineRule="atLeast"/>
              <w:jc w:val="center"/>
              <w:rPr>
                <w:rFonts w:ascii="宋体" w:hAnsi="宋体"/>
                <w:color w:val="000000"/>
              </w:rPr>
            </w:pPr>
          </w:p>
        </w:tc>
        <w:tc>
          <w:tcPr>
            <w:tcW w:w="1804" w:type="dxa"/>
            <w:vAlign w:val="center"/>
          </w:tcPr>
          <w:p>
            <w:pPr>
              <w:pStyle w:val="38"/>
              <w:snapToGrid w:val="0"/>
              <w:spacing w:line="400" w:lineRule="atLeast"/>
              <w:jc w:val="center"/>
              <w:rPr>
                <w:rFonts w:ascii="宋体" w:hAnsi="宋体"/>
                <w:color w:val="000000"/>
              </w:rPr>
            </w:pPr>
          </w:p>
        </w:tc>
        <w:tc>
          <w:tcPr>
            <w:tcW w:w="638" w:type="dxa"/>
            <w:tcBorders>
              <w:right w:val="single" w:color="000000" w:sz="4" w:space="0"/>
            </w:tcBorders>
            <w:vAlign w:val="center"/>
          </w:tcPr>
          <w:p>
            <w:pPr>
              <w:pStyle w:val="38"/>
              <w:snapToGrid w:val="0"/>
              <w:spacing w:line="400" w:lineRule="atLeast"/>
              <w:jc w:val="center"/>
              <w:rPr>
                <w:rFonts w:ascii="宋体" w:hAnsi="宋体"/>
                <w:color w:val="000000"/>
              </w:rPr>
            </w:pPr>
          </w:p>
        </w:tc>
        <w:tc>
          <w:tcPr>
            <w:tcW w:w="681" w:type="dxa"/>
            <w:tcBorders>
              <w:left w:val="single" w:color="000000" w:sz="4" w:space="0"/>
            </w:tcBorders>
            <w:vAlign w:val="center"/>
          </w:tcPr>
          <w:p>
            <w:pPr>
              <w:pStyle w:val="38"/>
              <w:snapToGrid w:val="0"/>
              <w:spacing w:line="400" w:lineRule="atLeast"/>
              <w:jc w:val="center"/>
              <w:rPr>
                <w:rFonts w:ascii="宋体" w:hAnsi="宋体"/>
                <w:color w:val="000000"/>
              </w:rPr>
            </w:pPr>
          </w:p>
        </w:tc>
      </w:tr>
    </w:tbl>
    <w:p>
      <w:pPr>
        <w:spacing w:line="360" w:lineRule="auto"/>
        <w:ind w:firstLine="240" w:firstLineChars="100"/>
        <w:rPr>
          <w:rFonts w:ascii="宋体" w:hAnsi="宋体"/>
          <w:color w:val="000000"/>
          <w:sz w:val="24"/>
        </w:rPr>
      </w:pPr>
      <w:r>
        <w:rPr>
          <w:rFonts w:hint="eastAsia" w:ascii="宋体" w:hAnsi="宋体"/>
          <w:color w:val="000000"/>
          <w:sz w:val="24"/>
        </w:rPr>
        <w:t>注：1.本表按招标文件中第三章主要技术参数及要求逐项填写，详细说明有关产品及配置的情况，并标出是否偏离。</w:t>
      </w:r>
    </w:p>
    <w:p>
      <w:pPr>
        <w:snapToGrid w:val="0"/>
        <w:spacing w:line="400" w:lineRule="atLeast"/>
        <w:ind w:left="598" w:leftChars="285"/>
        <w:rPr>
          <w:rFonts w:ascii="宋体" w:hAnsi="宋体"/>
          <w:color w:val="000000"/>
          <w:sz w:val="24"/>
        </w:rPr>
      </w:pPr>
      <w:r>
        <w:rPr>
          <w:rFonts w:hint="eastAsia" w:ascii="宋体" w:hAnsi="宋体"/>
          <w:color w:val="000000"/>
          <w:sz w:val="24"/>
        </w:rPr>
        <w:t>2.投标人必须据实填写，不得虚假响应，否则将取消其投标或中标资格，并按有关规定进行处罚。</w:t>
      </w:r>
    </w:p>
    <w:p>
      <w:pPr>
        <w:snapToGrid w:val="0"/>
        <w:spacing w:line="400" w:lineRule="atLeast"/>
        <w:ind w:left="598" w:leftChars="285"/>
        <w:rPr>
          <w:rFonts w:ascii="宋体" w:hAnsi="宋体"/>
          <w:color w:val="000000"/>
          <w:sz w:val="24"/>
        </w:rPr>
      </w:pPr>
      <w:r>
        <w:rPr>
          <w:rFonts w:hint="eastAsia" w:ascii="宋体" w:hAnsi="宋体"/>
          <w:color w:val="000000"/>
          <w:sz w:val="24"/>
        </w:rPr>
        <w:t>3.需附偏离后投标的型号及规格的产品说明书（《产品样册》）。</w:t>
      </w:r>
    </w:p>
    <w:p>
      <w:pPr>
        <w:snapToGrid w:val="0"/>
        <w:spacing w:line="400" w:lineRule="atLeast"/>
        <w:ind w:left="598" w:leftChars="285"/>
        <w:rPr>
          <w:rFonts w:ascii="宋体" w:hAnsi="宋体"/>
          <w:color w:val="000000"/>
          <w:sz w:val="24"/>
        </w:rPr>
      </w:pPr>
      <w:r>
        <w:rPr>
          <w:rFonts w:hint="eastAsia" w:ascii="宋体" w:hAnsi="宋体"/>
          <w:color w:val="000000"/>
          <w:sz w:val="24"/>
        </w:rPr>
        <w:t>4.优于项为正偏离，劣于项为负偏离。</w:t>
      </w:r>
    </w:p>
    <w:p>
      <w:pPr>
        <w:snapToGrid w:val="0"/>
        <w:spacing w:before="100" w:beforeAutospacing="1" w:after="100" w:afterAutospacing="1"/>
        <w:ind w:firstLine="472" w:firstLineChars="196"/>
        <w:rPr>
          <w:rFonts w:ascii="宋体" w:hAnsi="宋体"/>
          <w:b/>
          <w:color w:val="000000"/>
          <w:sz w:val="24"/>
        </w:rPr>
      </w:pPr>
      <w:r>
        <w:rPr>
          <w:rFonts w:ascii="宋体" w:hAnsi="宋体"/>
          <w:b/>
          <w:color w:val="000000"/>
          <w:sz w:val="24"/>
        </w:rPr>
        <w:t xml:space="preserve">投标人（盖公章）：                            </w:t>
      </w:r>
    </w:p>
    <w:p>
      <w:pPr>
        <w:snapToGrid w:val="0"/>
        <w:spacing w:before="100" w:beforeAutospacing="1" w:after="100" w:afterAutospacing="1"/>
        <w:ind w:firstLine="472" w:firstLineChars="196"/>
        <w:rPr>
          <w:rFonts w:ascii="宋体" w:hAnsi="宋体"/>
          <w:b/>
          <w:color w:val="000000"/>
          <w:sz w:val="24"/>
        </w:rPr>
      </w:pPr>
      <w:r>
        <w:rPr>
          <w:rFonts w:ascii="宋体" w:hAnsi="宋体"/>
          <w:b/>
          <w:color w:val="000000"/>
          <w:sz w:val="24"/>
        </w:rPr>
        <w:t>法定代表人或授权代表签字：</w:t>
      </w:r>
    </w:p>
    <w:p>
      <w:pPr>
        <w:pStyle w:val="9"/>
        <w:spacing w:line="360" w:lineRule="auto"/>
        <w:ind w:firstLine="472" w:firstLineChars="196"/>
        <w:rPr>
          <w:rFonts w:hAnsi="宋体"/>
          <w:b/>
          <w:color w:val="000000"/>
          <w:sz w:val="24"/>
        </w:rPr>
      </w:pPr>
      <w:r>
        <w:rPr>
          <w:rFonts w:hAnsi="宋体"/>
          <w:b/>
          <w:color w:val="000000"/>
          <w:sz w:val="24"/>
        </w:rPr>
        <w:t>日   期：</w:t>
      </w:r>
    </w:p>
    <w:p>
      <w:pPr>
        <w:tabs>
          <w:tab w:val="left" w:pos="420"/>
          <w:tab w:val="left" w:pos="525"/>
        </w:tabs>
        <w:snapToGrid w:val="0"/>
        <w:spacing w:line="560" w:lineRule="atLeast"/>
        <w:rPr>
          <w:rFonts w:ascii="宋体" w:hAnsi="宋体" w:cs="宋体"/>
          <w:b/>
          <w:sz w:val="24"/>
        </w:rPr>
      </w:pPr>
      <w:r>
        <w:rPr>
          <w:rFonts w:hint="eastAsia" w:ascii="宋体" w:hAnsi="宋体" w:cs="宋体"/>
          <w:sz w:val="24"/>
        </w:rPr>
        <w:br w:type="page"/>
      </w:r>
      <w:r>
        <w:rPr>
          <w:rFonts w:hint="eastAsia" w:ascii="宋体" w:hAnsi="宋体" w:cs="宋体"/>
          <w:b/>
          <w:sz w:val="24"/>
        </w:rPr>
        <w:t>附件四</w:t>
      </w:r>
    </w:p>
    <w:p>
      <w:pPr>
        <w:jc w:val="center"/>
        <w:rPr>
          <w:rFonts w:ascii="宋体" w:hAnsi="宋体" w:cs="宋体"/>
          <w:b/>
          <w:sz w:val="24"/>
        </w:rPr>
      </w:pPr>
    </w:p>
    <w:p>
      <w:pPr>
        <w:jc w:val="center"/>
        <w:rPr>
          <w:rFonts w:ascii="宋体" w:hAnsi="宋体" w:cs="宋体"/>
          <w:b/>
          <w:sz w:val="24"/>
        </w:rPr>
      </w:pPr>
    </w:p>
    <w:p>
      <w:pPr>
        <w:rPr>
          <w:rFonts w:ascii="宋体" w:hAnsi="宋体" w:cs="宋体"/>
          <w:b/>
          <w:sz w:val="24"/>
        </w:rPr>
      </w:pPr>
    </w:p>
    <w:p>
      <w:pPr>
        <w:jc w:val="center"/>
        <w:rPr>
          <w:rFonts w:ascii="宋体" w:hAnsi="宋体" w:cs="宋体"/>
          <w:b/>
          <w:sz w:val="24"/>
        </w:rPr>
      </w:pPr>
      <w:r>
        <w:rPr>
          <w:rFonts w:hint="eastAsia" w:ascii="宋体" w:hAnsi="宋体" w:cs="宋体"/>
          <w:b/>
          <w:sz w:val="24"/>
        </w:rPr>
        <w:t>报价一览表</w:t>
      </w:r>
    </w:p>
    <w:p>
      <w:pPr>
        <w:jc w:val="center"/>
        <w:rPr>
          <w:rFonts w:ascii="宋体" w:hAnsi="宋体" w:cs="宋体"/>
          <w:b/>
          <w:sz w:val="24"/>
        </w:rPr>
      </w:pPr>
    </w:p>
    <w:tbl>
      <w:tblPr>
        <w:tblStyle w:val="25"/>
        <w:tblW w:w="8748"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44"/>
        <w:gridCol w:w="710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994" w:hRule="atLeast"/>
          <w:jc w:val="center"/>
        </w:trPr>
        <w:tc>
          <w:tcPr>
            <w:tcW w:w="1644" w:type="dxa"/>
            <w:vAlign w:val="center"/>
          </w:tcPr>
          <w:p>
            <w:pPr>
              <w:jc w:val="center"/>
              <w:rPr>
                <w:rFonts w:ascii="宋体" w:hAnsi="宋体" w:cs="宋体"/>
                <w:sz w:val="24"/>
              </w:rPr>
            </w:pPr>
            <w:r>
              <w:rPr>
                <w:rFonts w:hint="eastAsia" w:ascii="宋体" w:hAnsi="宋体" w:cs="宋体"/>
                <w:sz w:val="24"/>
              </w:rPr>
              <w:t>项目名称</w:t>
            </w:r>
          </w:p>
        </w:tc>
        <w:tc>
          <w:tcPr>
            <w:tcW w:w="7104" w:type="dxa"/>
            <w:vAlign w:val="center"/>
          </w:tcPr>
          <w:p>
            <w:pPr>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994" w:hRule="atLeast"/>
          <w:jc w:val="center"/>
        </w:trPr>
        <w:tc>
          <w:tcPr>
            <w:tcW w:w="1644" w:type="dxa"/>
            <w:vAlign w:val="center"/>
          </w:tcPr>
          <w:p>
            <w:pPr>
              <w:jc w:val="center"/>
              <w:rPr>
                <w:rFonts w:ascii="宋体" w:hAnsi="宋体" w:cs="宋体"/>
                <w:sz w:val="24"/>
              </w:rPr>
            </w:pPr>
            <w:r>
              <w:rPr>
                <w:rFonts w:hint="eastAsia" w:ascii="宋体" w:hAnsi="宋体" w:cs="宋体"/>
                <w:sz w:val="24"/>
              </w:rPr>
              <w:t>项目编号</w:t>
            </w:r>
          </w:p>
        </w:tc>
        <w:tc>
          <w:tcPr>
            <w:tcW w:w="7104" w:type="dxa"/>
            <w:vAlign w:val="center"/>
          </w:tcPr>
          <w:p>
            <w:pPr>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1624" w:hRule="atLeast"/>
          <w:jc w:val="center"/>
        </w:trPr>
        <w:tc>
          <w:tcPr>
            <w:tcW w:w="1644" w:type="dxa"/>
            <w:vAlign w:val="center"/>
          </w:tcPr>
          <w:p>
            <w:pPr>
              <w:jc w:val="center"/>
              <w:rPr>
                <w:rFonts w:ascii="宋体" w:hAnsi="宋体" w:cs="宋体"/>
                <w:sz w:val="24"/>
              </w:rPr>
            </w:pPr>
            <w:r>
              <w:rPr>
                <w:rFonts w:hint="eastAsia" w:ascii="宋体" w:hAnsi="宋体" w:cs="宋体"/>
                <w:sz w:val="24"/>
              </w:rPr>
              <w:t>投标报价</w:t>
            </w:r>
          </w:p>
        </w:tc>
        <w:tc>
          <w:tcPr>
            <w:tcW w:w="7104" w:type="dxa"/>
            <w:vAlign w:val="center"/>
          </w:tcPr>
          <w:p>
            <w:pPr>
              <w:rPr>
                <w:rFonts w:ascii="宋体" w:hAnsi="宋体" w:cs="宋体"/>
                <w:sz w:val="24"/>
              </w:rPr>
            </w:pPr>
          </w:p>
          <w:p>
            <w:pPr>
              <w:rPr>
                <w:rFonts w:ascii="宋体" w:hAnsi="宋体" w:cs="宋体"/>
                <w:sz w:val="24"/>
              </w:rPr>
            </w:pPr>
            <w:r>
              <w:rPr>
                <w:rFonts w:hint="eastAsia" w:ascii="宋体" w:hAnsi="宋体" w:cs="宋体"/>
                <w:sz w:val="24"/>
              </w:rPr>
              <w:t>人民币小写：元</w:t>
            </w:r>
          </w:p>
          <w:p>
            <w:pPr>
              <w:rPr>
                <w:rFonts w:ascii="宋体" w:hAnsi="宋体" w:cs="宋体"/>
                <w:sz w:val="24"/>
              </w:rPr>
            </w:pPr>
          </w:p>
          <w:p>
            <w:pPr>
              <w:ind w:firstLine="720" w:firstLineChars="300"/>
              <w:rPr>
                <w:rFonts w:ascii="宋体" w:hAnsi="宋体" w:cs="宋体"/>
                <w:sz w:val="24"/>
                <w:u w:val="single"/>
              </w:rPr>
            </w:pPr>
            <w:r>
              <w:rPr>
                <w:rFonts w:hint="eastAsia" w:ascii="宋体" w:hAnsi="宋体" w:cs="宋体"/>
                <w:sz w:val="24"/>
              </w:rPr>
              <w:t>大写：</w:t>
            </w:r>
          </w:p>
          <w:p>
            <w:pPr>
              <w:ind w:firstLine="720" w:firstLineChars="300"/>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1012" w:hRule="atLeast"/>
          <w:jc w:val="center"/>
        </w:trPr>
        <w:tc>
          <w:tcPr>
            <w:tcW w:w="1644" w:type="dxa"/>
            <w:vAlign w:val="center"/>
          </w:tcPr>
          <w:p>
            <w:pPr>
              <w:jc w:val="center"/>
              <w:rPr>
                <w:rFonts w:ascii="宋体" w:hAnsi="宋体" w:cs="宋体"/>
                <w:sz w:val="24"/>
              </w:rPr>
            </w:pPr>
            <w:r>
              <w:rPr>
                <w:rFonts w:hint="eastAsia" w:ascii="宋体" w:hAnsi="宋体" w:cs="宋体"/>
                <w:color w:val="FF0000"/>
                <w:sz w:val="24"/>
              </w:rPr>
              <w:t>质保期</w:t>
            </w:r>
          </w:p>
        </w:tc>
        <w:tc>
          <w:tcPr>
            <w:tcW w:w="7104" w:type="dxa"/>
            <w:vAlign w:val="center"/>
          </w:tcPr>
          <w:p>
            <w:pPr>
              <w:ind w:firstLine="720" w:firstLineChars="300"/>
              <w:rPr>
                <w:rFonts w:ascii="宋体" w:hAnsi="宋体" w:cs="宋体"/>
                <w:sz w:val="24"/>
              </w:rPr>
            </w:pPr>
            <w:r>
              <w:rPr>
                <w:rFonts w:hint="eastAsia" w:ascii="宋体" w:hAnsi="宋体" w:cs="宋体"/>
                <w:color w:val="FF0000"/>
                <w:sz w:val="24"/>
              </w:rPr>
              <w:t>年</w:t>
            </w:r>
          </w:p>
        </w:tc>
      </w:tr>
    </w:tbl>
    <w:p>
      <w:pPr>
        <w:snapToGrid w:val="0"/>
        <w:spacing w:line="500" w:lineRule="exact"/>
        <w:ind w:firstLine="600" w:firstLineChars="250"/>
        <w:rPr>
          <w:rFonts w:ascii="宋体" w:hAnsi="宋体" w:cs="宋体"/>
          <w:sz w:val="24"/>
        </w:rPr>
      </w:pPr>
    </w:p>
    <w:p>
      <w:pPr>
        <w:snapToGrid w:val="0"/>
        <w:spacing w:line="500" w:lineRule="exact"/>
        <w:rPr>
          <w:rFonts w:ascii="宋体" w:hAnsi="宋体" w:cs="宋体"/>
          <w:spacing w:val="20"/>
          <w:sz w:val="24"/>
          <w:u w:val="single"/>
        </w:rPr>
      </w:pPr>
    </w:p>
    <w:p>
      <w:pPr>
        <w:pStyle w:val="9"/>
        <w:snapToGrid w:val="0"/>
        <w:rPr>
          <w:rFonts w:hAnsi="宋体" w:cs="宋体"/>
          <w:spacing w:val="20"/>
          <w:sz w:val="24"/>
          <w:szCs w:val="24"/>
        </w:rPr>
      </w:pPr>
      <w:r>
        <w:rPr>
          <w:rFonts w:hint="eastAsia" w:hAnsi="宋体" w:cs="宋体"/>
          <w:spacing w:val="20"/>
          <w:sz w:val="24"/>
          <w:szCs w:val="24"/>
        </w:rPr>
        <w:t>投标人盖章：</w:t>
      </w:r>
    </w:p>
    <w:p>
      <w:pPr>
        <w:pStyle w:val="9"/>
        <w:snapToGrid w:val="0"/>
        <w:rPr>
          <w:rFonts w:hAnsi="宋体" w:cs="宋体"/>
          <w:spacing w:val="20"/>
          <w:sz w:val="24"/>
          <w:szCs w:val="24"/>
        </w:rPr>
      </w:pPr>
    </w:p>
    <w:p>
      <w:pPr>
        <w:pStyle w:val="9"/>
        <w:snapToGrid w:val="0"/>
        <w:rPr>
          <w:rFonts w:hAnsi="宋体" w:cs="宋体"/>
          <w:spacing w:val="20"/>
          <w:sz w:val="24"/>
          <w:szCs w:val="24"/>
        </w:rPr>
      </w:pPr>
      <w:r>
        <w:rPr>
          <w:rFonts w:hint="eastAsia" w:hAnsi="宋体" w:cs="宋体"/>
          <w:spacing w:val="20"/>
          <w:sz w:val="24"/>
          <w:szCs w:val="24"/>
        </w:rPr>
        <w:t>法定代表人或授权委托人（签字或盖章）：</w:t>
      </w:r>
    </w:p>
    <w:p>
      <w:pPr>
        <w:pStyle w:val="9"/>
        <w:snapToGrid w:val="0"/>
        <w:rPr>
          <w:rFonts w:hAnsi="宋体" w:cs="宋体"/>
          <w:spacing w:val="20"/>
          <w:sz w:val="24"/>
          <w:szCs w:val="24"/>
        </w:rPr>
      </w:pPr>
    </w:p>
    <w:p>
      <w:pPr>
        <w:pStyle w:val="9"/>
        <w:snapToGrid w:val="0"/>
        <w:rPr>
          <w:rFonts w:hAnsi="宋体" w:cs="宋体"/>
          <w:b/>
          <w:sz w:val="24"/>
          <w:szCs w:val="24"/>
        </w:rPr>
      </w:pPr>
      <w:r>
        <w:rPr>
          <w:rFonts w:hint="eastAsia" w:hAnsi="宋体" w:cs="宋体"/>
          <w:spacing w:val="20"/>
          <w:sz w:val="24"/>
          <w:szCs w:val="24"/>
        </w:rPr>
        <w:t>日  期：</w:t>
      </w:r>
    </w:p>
    <w:p>
      <w:pPr>
        <w:adjustRightInd w:val="0"/>
        <w:snapToGrid w:val="0"/>
        <w:spacing w:line="360" w:lineRule="auto"/>
        <w:jc w:val="center"/>
        <w:rPr>
          <w:rFonts w:ascii="宋体" w:hAnsi="宋体" w:cs="宋体"/>
          <w:sz w:val="24"/>
        </w:rPr>
      </w:pPr>
    </w:p>
    <w:p>
      <w:pPr>
        <w:spacing w:line="520" w:lineRule="exact"/>
        <w:rPr>
          <w:rFonts w:ascii="宋体" w:hAnsi="宋体" w:cs="宋体"/>
          <w:bCs/>
          <w:color w:val="FF0000"/>
          <w:sz w:val="24"/>
        </w:rPr>
      </w:pPr>
    </w:p>
    <w:sectPr>
      <w:footerReference r:id="rId6" w:type="default"/>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2"/>
      </w:rPr>
    </w:pPr>
    <w:r>
      <w:fldChar w:fldCharType="begin"/>
    </w:r>
    <w:r>
      <w:rPr>
        <w:rStyle w:val="22"/>
      </w:rPr>
      <w:instrText xml:space="preserve">PAGE  </w:instrText>
    </w:r>
    <w:r>
      <w:fldChar w:fldCharType="end"/>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775102"/>
    </w:sdtPr>
    <w:sdtContent>
      <w:p>
        <w:pPr>
          <w:pStyle w:val="11"/>
          <w:jc w:val="center"/>
        </w:pPr>
        <w:r>
          <w:fldChar w:fldCharType="begin"/>
        </w:r>
        <w:r>
          <w:instrText xml:space="preserve"> PAGE   \* MERGEFORMAT </w:instrText>
        </w:r>
        <w:r>
          <w:fldChar w:fldCharType="separate"/>
        </w:r>
        <w:r>
          <w:rPr>
            <w:lang w:val="zh-CN"/>
          </w:rPr>
          <w:t>12</w:t>
        </w:r>
        <w:r>
          <w:rPr>
            <w:lang w:val="zh-CN"/>
          </w:rP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lvl w:ilvl="0" w:tentative="0">
      <w:start w:val="1"/>
      <w:numFmt w:val="decimal"/>
      <w:suff w:val="nothing"/>
      <w:lvlText w:val="%1、"/>
      <w:lvlJc w:val="left"/>
    </w:lvl>
  </w:abstractNum>
  <w:abstractNum w:abstractNumId="1">
    <w:nsid w:val="530163EC"/>
    <w:multiLevelType w:val="singleLevel"/>
    <w:tmpl w:val="530163EC"/>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A4083"/>
    <w:rsid w:val="000041FB"/>
    <w:rsid w:val="00005E3B"/>
    <w:rsid w:val="00010A54"/>
    <w:rsid w:val="00020112"/>
    <w:rsid w:val="0002179A"/>
    <w:rsid w:val="00023315"/>
    <w:rsid w:val="000255B1"/>
    <w:rsid w:val="00027A30"/>
    <w:rsid w:val="00032CFF"/>
    <w:rsid w:val="00041467"/>
    <w:rsid w:val="00060539"/>
    <w:rsid w:val="00067ED5"/>
    <w:rsid w:val="000772C0"/>
    <w:rsid w:val="00086BC0"/>
    <w:rsid w:val="00086BE7"/>
    <w:rsid w:val="00086E67"/>
    <w:rsid w:val="00092465"/>
    <w:rsid w:val="00092E98"/>
    <w:rsid w:val="00097E84"/>
    <w:rsid w:val="000A0DBB"/>
    <w:rsid w:val="000A7B31"/>
    <w:rsid w:val="000B0CAB"/>
    <w:rsid w:val="000B1752"/>
    <w:rsid w:val="000B5C74"/>
    <w:rsid w:val="000D11D4"/>
    <w:rsid w:val="000D35B9"/>
    <w:rsid w:val="000E30BB"/>
    <w:rsid w:val="000E52C1"/>
    <w:rsid w:val="000E7C4F"/>
    <w:rsid w:val="000F00D9"/>
    <w:rsid w:val="000F0D12"/>
    <w:rsid w:val="000F2956"/>
    <w:rsid w:val="000F2CA3"/>
    <w:rsid w:val="001125AA"/>
    <w:rsid w:val="0011350C"/>
    <w:rsid w:val="001218F5"/>
    <w:rsid w:val="00123DB2"/>
    <w:rsid w:val="00126C62"/>
    <w:rsid w:val="00131C96"/>
    <w:rsid w:val="00137997"/>
    <w:rsid w:val="001456B7"/>
    <w:rsid w:val="00151C67"/>
    <w:rsid w:val="0015361F"/>
    <w:rsid w:val="00157F5D"/>
    <w:rsid w:val="0016064F"/>
    <w:rsid w:val="00163B47"/>
    <w:rsid w:val="00165CF1"/>
    <w:rsid w:val="00173E31"/>
    <w:rsid w:val="00175FEB"/>
    <w:rsid w:val="00185E2C"/>
    <w:rsid w:val="00187E19"/>
    <w:rsid w:val="00196CCF"/>
    <w:rsid w:val="001A1249"/>
    <w:rsid w:val="001A21FF"/>
    <w:rsid w:val="001A37CC"/>
    <w:rsid w:val="001A6871"/>
    <w:rsid w:val="001A69EB"/>
    <w:rsid w:val="001B5B9B"/>
    <w:rsid w:val="001B7B0B"/>
    <w:rsid w:val="001C62AF"/>
    <w:rsid w:val="001D225E"/>
    <w:rsid w:val="001D31F9"/>
    <w:rsid w:val="001D3C8B"/>
    <w:rsid w:val="001D72C1"/>
    <w:rsid w:val="00210912"/>
    <w:rsid w:val="0022326F"/>
    <w:rsid w:val="0022491E"/>
    <w:rsid w:val="002315EE"/>
    <w:rsid w:val="00242677"/>
    <w:rsid w:val="00243D05"/>
    <w:rsid w:val="00247168"/>
    <w:rsid w:val="00247D9A"/>
    <w:rsid w:val="002546AF"/>
    <w:rsid w:val="0025676A"/>
    <w:rsid w:val="00267EAF"/>
    <w:rsid w:val="002711D9"/>
    <w:rsid w:val="002765A3"/>
    <w:rsid w:val="00290A2F"/>
    <w:rsid w:val="00297D5E"/>
    <w:rsid w:val="002B34D2"/>
    <w:rsid w:val="002B4D78"/>
    <w:rsid w:val="002D197E"/>
    <w:rsid w:val="002D3A3B"/>
    <w:rsid w:val="002D7A6F"/>
    <w:rsid w:val="002E6E34"/>
    <w:rsid w:val="002F1ACA"/>
    <w:rsid w:val="002F248F"/>
    <w:rsid w:val="002F3191"/>
    <w:rsid w:val="002F4861"/>
    <w:rsid w:val="00302F84"/>
    <w:rsid w:val="00306583"/>
    <w:rsid w:val="00322E27"/>
    <w:rsid w:val="00324B94"/>
    <w:rsid w:val="0033187E"/>
    <w:rsid w:val="0033291E"/>
    <w:rsid w:val="003416C0"/>
    <w:rsid w:val="00344B36"/>
    <w:rsid w:val="00347952"/>
    <w:rsid w:val="00362EAB"/>
    <w:rsid w:val="003650B3"/>
    <w:rsid w:val="003726DC"/>
    <w:rsid w:val="00381FF7"/>
    <w:rsid w:val="0039075E"/>
    <w:rsid w:val="0039112C"/>
    <w:rsid w:val="00391E48"/>
    <w:rsid w:val="003930B5"/>
    <w:rsid w:val="003A685E"/>
    <w:rsid w:val="003B06DF"/>
    <w:rsid w:val="003B50A7"/>
    <w:rsid w:val="003B643F"/>
    <w:rsid w:val="003D1B6C"/>
    <w:rsid w:val="003D6339"/>
    <w:rsid w:val="003F28D7"/>
    <w:rsid w:val="003F39E8"/>
    <w:rsid w:val="00403828"/>
    <w:rsid w:val="0041422E"/>
    <w:rsid w:val="0041604D"/>
    <w:rsid w:val="0043104A"/>
    <w:rsid w:val="00434AAD"/>
    <w:rsid w:val="00435800"/>
    <w:rsid w:val="0043620E"/>
    <w:rsid w:val="00442CD4"/>
    <w:rsid w:val="00447E6B"/>
    <w:rsid w:val="0045476E"/>
    <w:rsid w:val="00461808"/>
    <w:rsid w:val="00463BEB"/>
    <w:rsid w:val="0047385E"/>
    <w:rsid w:val="00476243"/>
    <w:rsid w:val="00494266"/>
    <w:rsid w:val="00494562"/>
    <w:rsid w:val="00494F2C"/>
    <w:rsid w:val="004A30FE"/>
    <w:rsid w:val="004B2DD8"/>
    <w:rsid w:val="004C3BA8"/>
    <w:rsid w:val="004C6B08"/>
    <w:rsid w:val="004D00AD"/>
    <w:rsid w:val="004D3E8D"/>
    <w:rsid w:val="004F35E8"/>
    <w:rsid w:val="004F6F8E"/>
    <w:rsid w:val="00502716"/>
    <w:rsid w:val="005052E3"/>
    <w:rsid w:val="0051062B"/>
    <w:rsid w:val="00511AA9"/>
    <w:rsid w:val="0053004A"/>
    <w:rsid w:val="005369A2"/>
    <w:rsid w:val="00540812"/>
    <w:rsid w:val="00545FE9"/>
    <w:rsid w:val="00562AD3"/>
    <w:rsid w:val="0057277D"/>
    <w:rsid w:val="005840C6"/>
    <w:rsid w:val="0058428F"/>
    <w:rsid w:val="0058785F"/>
    <w:rsid w:val="005929A5"/>
    <w:rsid w:val="005948D6"/>
    <w:rsid w:val="00595B4B"/>
    <w:rsid w:val="00597B0A"/>
    <w:rsid w:val="005A3B48"/>
    <w:rsid w:val="005A7710"/>
    <w:rsid w:val="005B03B1"/>
    <w:rsid w:val="005B251C"/>
    <w:rsid w:val="005D09EF"/>
    <w:rsid w:val="005D3C7E"/>
    <w:rsid w:val="005E2FAF"/>
    <w:rsid w:val="005E3D3F"/>
    <w:rsid w:val="005E7348"/>
    <w:rsid w:val="005F194D"/>
    <w:rsid w:val="005F248D"/>
    <w:rsid w:val="005F264E"/>
    <w:rsid w:val="00610B25"/>
    <w:rsid w:val="00615B1E"/>
    <w:rsid w:val="00627788"/>
    <w:rsid w:val="0063002D"/>
    <w:rsid w:val="0063454F"/>
    <w:rsid w:val="00642314"/>
    <w:rsid w:val="006469CB"/>
    <w:rsid w:val="006536DA"/>
    <w:rsid w:val="00662DF1"/>
    <w:rsid w:val="0066485F"/>
    <w:rsid w:val="00665045"/>
    <w:rsid w:val="00671D3B"/>
    <w:rsid w:val="00683223"/>
    <w:rsid w:val="00691F1A"/>
    <w:rsid w:val="006A2AC7"/>
    <w:rsid w:val="006B0A15"/>
    <w:rsid w:val="006B688B"/>
    <w:rsid w:val="006C1384"/>
    <w:rsid w:val="006D130C"/>
    <w:rsid w:val="006D3918"/>
    <w:rsid w:val="006D403E"/>
    <w:rsid w:val="006D4797"/>
    <w:rsid w:val="006E7434"/>
    <w:rsid w:val="006F1619"/>
    <w:rsid w:val="006F19A9"/>
    <w:rsid w:val="0071487D"/>
    <w:rsid w:val="007161F3"/>
    <w:rsid w:val="00717125"/>
    <w:rsid w:val="007238B0"/>
    <w:rsid w:val="00730E4B"/>
    <w:rsid w:val="0073340C"/>
    <w:rsid w:val="007418FC"/>
    <w:rsid w:val="00744529"/>
    <w:rsid w:val="00747D20"/>
    <w:rsid w:val="007542C7"/>
    <w:rsid w:val="00756A61"/>
    <w:rsid w:val="00756C44"/>
    <w:rsid w:val="007735DE"/>
    <w:rsid w:val="00777010"/>
    <w:rsid w:val="00782E91"/>
    <w:rsid w:val="007A6EBC"/>
    <w:rsid w:val="007B12BC"/>
    <w:rsid w:val="007B2BCC"/>
    <w:rsid w:val="007B497B"/>
    <w:rsid w:val="007B73C8"/>
    <w:rsid w:val="007E3D7E"/>
    <w:rsid w:val="007F2546"/>
    <w:rsid w:val="00805872"/>
    <w:rsid w:val="0080602D"/>
    <w:rsid w:val="00815BE0"/>
    <w:rsid w:val="00816A46"/>
    <w:rsid w:val="00820B15"/>
    <w:rsid w:val="00827BBE"/>
    <w:rsid w:val="00833DDC"/>
    <w:rsid w:val="008405BC"/>
    <w:rsid w:val="008467C7"/>
    <w:rsid w:val="0085343B"/>
    <w:rsid w:val="00870DA8"/>
    <w:rsid w:val="008753B8"/>
    <w:rsid w:val="00883BDE"/>
    <w:rsid w:val="00884602"/>
    <w:rsid w:val="00887E7B"/>
    <w:rsid w:val="00890346"/>
    <w:rsid w:val="00891E09"/>
    <w:rsid w:val="0089741B"/>
    <w:rsid w:val="008A3A1C"/>
    <w:rsid w:val="008A79DB"/>
    <w:rsid w:val="008B5091"/>
    <w:rsid w:val="008C22F4"/>
    <w:rsid w:val="008C66C1"/>
    <w:rsid w:val="008D0899"/>
    <w:rsid w:val="008D6E51"/>
    <w:rsid w:val="008E6ED4"/>
    <w:rsid w:val="008E7BE9"/>
    <w:rsid w:val="008F3C3C"/>
    <w:rsid w:val="008F4232"/>
    <w:rsid w:val="00901B91"/>
    <w:rsid w:val="00901F5C"/>
    <w:rsid w:val="00903643"/>
    <w:rsid w:val="009038AD"/>
    <w:rsid w:val="00905A6A"/>
    <w:rsid w:val="00914B02"/>
    <w:rsid w:val="009171D7"/>
    <w:rsid w:val="00930F7B"/>
    <w:rsid w:val="00931120"/>
    <w:rsid w:val="00943AA5"/>
    <w:rsid w:val="00952D52"/>
    <w:rsid w:val="0096074E"/>
    <w:rsid w:val="00960C47"/>
    <w:rsid w:val="009759BC"/>
    <w:rsid w:val="00982910"/>
    <w:rsid w:val="00991AEA"/>
    <w:rsid w:val="009A3B4D"/>
    <w:rsid w:val="009A536D"/>
    <w:rsid w:val="009B20EA"/>
    <w:rsid w:val="009B3925"/>
    <w:rsid w:val="009D1913"/>
    <w:rsid w:val="009D402E"/>
    <w:rsid w:val="009E0365"/>
    <w:rsid w:val="009E1FBF"/>
    <w:rsid w:val="009E5B07"/>
    <w:rsid w:val="009F1BD7"/>
    <w:rsid w:val="009F2D45"/>
    <w:rsid w:val="009F33A4"/>
    <w:rsid w:val="009F5D01"/>
    <w:rsid w:val="009F7FDF"/>
    <w:rsid w:val="00A116D7"/>
    <w:rsid w:val="00A12AEB"/>
    <w:rsid w:val="00A21673"/>
    <w:rsid w:val="00A24902"/>
    <w:rsid w:val="00A25D30"/>
    <w:rsid w:val="00A26742"/>
    <w:rsid w:val="00A40C7D"/>
    <w:rsid w:val="00A4262D"/>
    <w:rsid w:val="00A5102F"/>
    <w:rsid w:val="00A56A35"/>
    <w:rsid w:val="00A571CE"/>
    <w:rsid w:val="00A65194"/>
    <w:rsid w:val="00A65601"/>
    <w:rsid w:val="00A739F7"/>
    <w:rsid w:val="00A7489B"/>
    <w:rsid w:val="00A7774E"/>
    <w:rsid w:val="00A77A51"/>
    <w:rsid w:val="00A8529E"/>
    <w:rsid w:val="00A86EEA"/>
    <w:rsid w:val="00A91487"/>
    <w:rsid w:val="00A95F15"/>
    <w:rsid w:val="00AA025D"/>
    <w:rsid w:val="00AA6749"/>
    <w:rsid w:val="00AA6AB4"/>
    <w:rsid w:val="00AB28C1"/>
    <w:rsid w:val="00AC2B68"/>
    <w:rsid w:val="00AE2D66"/>
    <w:rsid w:val="00AE3C7D"/>
    <w:rsid w:val="00AE4BCD"/>
    <w:rsid w:val="00AE71FD"/>
    <w:rsid w:val="00AF3F9E"/>
    <w:rsid w:val="00AF50BC"/>
    <w:rsid w:val="00B01EA4"/>
    <w:rsid w:val="00B11685"/>
    <w:rsid w:val="00B117A6"/>
    <w:rsid w:val="00B12E6E"/>
    <w:rsid w:val="00B226B1"/>
    <w:rsid w:val="00B22F22"/>
    <w:rsid w:val="00B32D95"/>
    <w:rsid w:val="00B369C4"/>
    <w:rsid w:val="00B425DA"/>
    <w:rsid w:val="00B515B0"/>
    <w:rsid w:val="00B5326D"/>
    <w:rsid w:val="00B578F3"/>
    <w:rsid w:val="00B60EC6"/>
    <w:rsid w:val="00B61E0E"/>
    <w:rsid w:val="00B655BD"/>
    <w:rsid w:val="00B66A6C"/>
    <w:rsid w:val="00B66B77"/>
    <w:rsid w:val="00B76150"/>
    <w:rsid w:val="00B77A2C"/>
    <w:rsid w:val="00B94512"/>
    <w:rsid w:val="00BA092B"/>
    <w:rsid w:val="00BA0C33"/>
    <w:rsid w:val="00BA75F0"/>
    <w:rsid w:val="00BB3860"/>
    <w:rsid w:val="00BC121A"/>
    <w:rsid w:val="00BC2713"/>
    <w:rsid w:val="00BC3636"/>
    <w:rsid w:val="00BC44D2"/>
    <w:rsid w:val="00BD15D8"/>
    <w:rsid w:val="00BD5EA2"/>
    <w:rsid w:val="00BD7C39"/>
    <w:rsid w:val="00BE27EF"/>
    <w:rsid w:val="00BE2B45"/>
    <w:rsid w:val="00BE361B"/>
    <w:rsid w:val="00C00ECE"/>
    <w:rsid w:val="00C05BD3"/>
    <w:rsid w:val="00C072E5"/>
    <w:rsid w:val="00C2139F"/>
    <w:rsid w:val="00C228EA"/>
    <w:rsid w:val="00C32987"/>
    <w:rsid w:val="00C3386C"/>
    <w:rsid w:val="00C3425B"/>
    <w:rsid w:val="00C40FCA"/>
    <w:rsid w:val="00C416C5"/>
    <w:rsid w:val="00C4212C"/>
    <w:rsid w:val="00C4237D"/>
    <w:rsid w:val="00C43EC5"/>
    <w:rsid w:val="00C50445"/>
    <w:rsid w:val="00C54DC8"/>
    <w:rsid w:val="00C553F5"/>
    <w:rsid w:val="00C60B3E"/>
    <w:rsid w:val="00C63F3F"/>
    <w:rsid w:val="00C70D10"/>
    <w:rsid w:val="00C80BCE"/>
    <w:rsid w:val="00C8203D"/>
    <w:rsid w:val="00C820B9"/>
    <w:rsid w:val="00C8602C"/>
    <w:rsid w:val="00C86CB6"/>
    <w:rsid w:val="00C92292"/>
    <w:rsid w:val="00C932EC"/>
    <w:rsid w:val="00C937E9"/>
    <w:rsid w:val="00C96CB1"/>
    <w:rsid w:val="00CA1BCD"/>
    <w:rsid w:val="00CA79CF"/>
    <w:rsid w:val="00CB4710"/>
    <w:rsid w:val="00CB64E4"/>
    <w:rsid w:val="00CB763F"/>
    <w:rsid w:val="00CB7EA1"/>
    <w:rsid w:val="00CD048C"/>
    <w:rsid w:val="00CD5C97"/>
    <w:rsid w:val="00CD63DE"/>
    <w:rsid w:val="00CF3543"/>
    <w:rsid w:val="00CF4BFA"/>
    <w:rsid w:val="00CF54CE"/>
    <w:rsid w:val="00D15A17"/>
    <w:rsid w:val="00D23E10"/>
    <w:rsid w:val="00D30EBC"/>
    <w:rsid w:val="00D33EB3"/>
    <w:rsid w:val="00D34AB0"/>
    <w:rsid w:val="00D46A22"/>
    <w:rsid w:val="00D50150"/>
    <w:rsid w:val="00D51B74"/>
    <w:rsid w:val="00D55902"/>
    <w:rsid w:val="00D62660"/>
    <w:rsid w:val="00D74A98"/>
    <w:rsid w:val="00D76115"/>
    <w:rsid w:val="00D763E7"/>
    <w:rsid w:val="00D80CEF"/>
    <w:rsid w:val="00D84494"/>
    <w:rsid w:val="00D8581B"/>
    <w:rsid w:val="00D9249E"/>
    <w:rsid w:val="00D92D9A"/>
    <w:rsid w:val="00DA147F"/>
    <w:rsid w:val="00DA338D"/>
    <w:rsid w:val="00DA4083"/>
    <w:rsid w:val="00DA458D"/>
    <w:rsid w:val="00DC1A1D"/>
    <w:rsid w:val="00DD322F"/>
    <w:rsid w:val="00DD5DA7"/>
    <w:rsid w:val="00DD7067"/>
    <w:rsid w:val="00DE0751"/>
    <w:rsid w:val="00DE07F2"/>
    <w:rsid w:val="00DE0B22"/>
    <w:rsid w:val="00DE26C9"/>
    <w:rsid w:val="00DE4C0F"/>
    <w:rsid w:val="00DE55C1"/>
    <w:rsid w:val="00DE79EB"/>
    <w:rsid w:val="00DF3585"/>
    <w:rsid w:val="00DF3896"/>
    <w:rsid w:val="00DF68EB"/>
    <w:rsid w:val="00E02A75"/>
    <w:rsid w:val="00E12714"/>
    <w:rsid w:val="00E34938"/>
    <w:rsid w:val="00E355B9"/>
    <w:rsid w:val="00E42D8A"/>
    <w:rsid w:val="00E604BE"/>
    <w:rsid w:val="00E60B70"/>
    <w:rsid w:val="00E73ED7"/>
    <w:rsid w:val="00E75D57"/>
    <w:rsid w:val="00E80DF6"/>
    <w:rsid w:val="00E86419"/>
    <w:rsid w:val="00EA7748"/>
    <w:rsid w:val="00EC77A3"/>
    <w:rsid w:val="00EE6267"/>
    <w:rsid w:val="00EF52C1"/>
    <w:rsid w:val="00F0125B"/>
    <w:rsid w:val="00F05A4A"/>
    <w:rsid w:val="00F13CEB"/>
    <w:rsid w:val="00F14C19"/>
    <w:rsid w:val="00F20DB6"/>
    <w:rsid w:val="00F210C7"/>
    <w:rsid w:val="00F226B4"/>
    <w:rsid w:val="00F22B0B"/>
    <w:rsid w:val="00F252DC"/>
    <w:rsid w:val="00F27A3B"/>
    <w:rsid w:val="00F3576E"/>
    <w:rsid w:val="00F43AA1"/>
    <w:rsid w:val="00F679F8"/>
    <w:rsid w:val="00F716DA"/>
    <w:rsid w:val="00F755FB"/>
    <w:rsid w:val="00F851FF"/>
    <w:rsid w:val="00FA0922"/>
    <w:rsid w:val="00FA2B73"/>
    <w:rsid w:val="00FA7299"/>
    <w:rsid w:val="00FB06AD"/>
    <w:rsid w:val="00FB1E6E"/>
    <w:rsid w:val="00FB607A"/>
    <w:rsid w:val="00FC432D"/>
    <w:rsid w:val="00FC6E45"/>
    <w:rsid w:val="00FC7E0D"/>
    <w:rsid w:val="00FD0D45"/>
    <w:rsid w:val="00FD3A47"/>
    <w:rsid w:val="00FD7E68"/>
    <w:rsid w:val="00FE42C8"/>
    <w:rsid w:val="00FF1249"/>
    <w:rsid w:val="00FF5D5A"/>
    <w:rsid w:val="043707D2"/>
    <w:rsid w:val="07DE3DFE"/>
    <w:rsid w:val="0BE479AD"/>
    <w:rsid w:val="0D821291"/>
    <w:rsid w:val="0EFC7EE9"/>
    <w:rsid w:val="0F445CB0"/>
    <w:rsid w:val="122A6B3B"/>
    <w:rsid w:val="13F515DF"/>
    <w:rsid w:val="152437C8"/>
    <w:rsid w:val="16062AC8"/>
    <w:rsid w:val="188749D4"/>
    <w:rsid w:val="18CF1361"/>
    <w:rsid w:val="1BFD4A74"/>
    <w:rsid w:val="1CE062E9"/>
    <w:rsid w:val="219B630E"/>
    <w:rsid w:val="23A11BB1"/>
    <w:rsid w:val="26247FD3"/>
    <w:rsid w:val="272B71BE"/>
    <w:rsid w:val="279C51DB"/>
    <w:rsid w:val="28B6105B"/>
    <w:rsid w:val="2F72011E"/>
    <w:rsid w:val="2FEC78B1"/>
    <w:rsid w:val="380646E9"/>
    <w:rsid w:val="38130893"/>
    <w:rsid w:val="38932378"/>
    <w:rsid w:val="38DD70C3"/>
    <w:rsid w:val="3DB2256C"/>
    <w:rsid w:val="499623BC"/>
    <w:rsid w:val="4A810269"/>
    <w:rsid w:val="4D134A00"/>
    <w:rsid w:val="4DD707B0"/>
    <w:rsid w:val="50FD2387"/>
    <w:rsid w:val="51256D27"/>
    <w:rsid w:val="530E227B"/>
    <w:rsid w:val="547D6CAD"/>
    <w:rsid w:val="576013EE"/>
    <w:rsid w:val="60706798"/>
    <w:rsid w:val="60C37E41"/>
    <w:rsid w:val="617B14EB"/>
    <w:rsid w:val="64AF74CA"/>
    <w:rsid w:val="64B77B97"/>
    <w:rsid w:val="6853184A"/>
    <w:rsid w:val="6B8B4DA9"/>
    <w:rsid w:val="6CA257AB"/>
    <w:rsid w:val="70037B83"/>
    <w:rsid w:val="73394D9D"/>
    <w:rsid w:val="76AA49FC"/>
    <w:rsid w:val="76BA69DC"/>
    <w:rsid w:val="79EE6FB3"/>
    <w:rsid w:val="7B150D3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99" w:semiHidden="0"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0"/>
    <w:pPr>
      <w:keepNext/>
      <w:keepLines/>
      <w:spacing w:before="340" w:after="330" w:line="576" w:lineRule="auto"/>
      <w:outlineLvl w:val="0"/>
    </w:pPr>
    <w:rPr>
      <w:b/>
      <w:kern w:val="44"/>
      <w:sz w:val="44"/>
      <w:szCs w:val="20"/>
    </w:rPr>
  </w:style>
  <w:style w:type="paragraph" w:styleId="3">
    <w:name w:val="heading 2"/>
    <w:basedOn w:val="1"/>
    <w:next w:val="1"/>
    <w:link w:val="27"/>
    <w:qFormat/>
    <w:uiPriority w:val="0"/>
    <w:pPr>
      <w:keepNext/>
      <w:keepLines/>
      <w:spacing w:before="260" w:after="260" w:line="413" w:lineRule="auto"/>
      <w:outlineLvl w:val="1"/>
    </w:pPr>
    <w:rPr>
      <w:rFonts w:ascii="Arial" w:hAnsi="Arial" w:eastAsia="黑体"/>
      <w:b/>
      <w:kern w:val="0"/>
      <w:sz w:val="32"/>
      <w:szCs w:val="20"/>
    </w:rPr>
  </w:style>
  <w:style w:type="character" w:default="1" w:styleId="20">
    <w:name w:val="Default Paragraph Font"/>
    <w:semiHidden/>
    <w:unhideWhenUsed/>
    <w:uiPriority w:val="1"/>
  </w:style>
  <w:style w:type="table" w:default="1" w:styleId="25">
    <w:name w:val="Normal Table"/>
    <w:semiHidden/>
    <w:unhideWhenUsed/>
    <w:qFormat/>
    <w:uiPriority w:val="99"/>
    <w:tblPr>
      <w:tblLayout w:type="fixed"/>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caption"/>
    <w:basedOn w:val="1"/>
    <w:next w:val="1"/>
    <w:link w:val="32"/>
    <w:qFormat/>
    <w:uiPriority w:val="0"/>
    <w:pPr>
      <w:spacing w:before="152" w:after="160"/>
    </w:pPr>
    <w:rPr>
      <w:rFonts w:ascii="Arial" w:hAnsi="Arial" w:eastAsia="黑体" w:cs="Arial"/>
      <w:sz w:val="20"/>
      <w:szCs w:val="20"/>
    </w:rPr>
  </w:style>
  <w:style w:type="paragraph" w:styleId="6">
    <w:name w:val="annotation text"/>
    <w:basedOn w:val="1"/>
    <w:link w:val="29"/>
    <w:semiHidden/>
    <w:unhideWhenUsed/>
    <w:qFormat/>
    <w:uiPriority w:val="99"/>
    <w:pPr>
      <w:jc w:val="left"/>
    </w:pPr>
  </w:style>
  <w:style w:type="paragraph" w:styleId="7">
    <w:name w:val="Body Text"/>
    <w:basedOn w:val="1"/>
    <w:link w:val="34"/>
    <w:semiHidden/>
    <w:unhideWhenUsed/>
    <w:qFormat/>
    <w:uiPriority w:val="99"/>
    <w:pPr>
      <w:spacing w:after="120"/>
    </w:pPr>
  </w:style>
  <w:style w:type="paragraph" w:styleId="8">
    <w:name w:val="Body Text Indent"/>
    <w:basedOn w:val="1"/>
    <w:qFormat/>
    <w:uiPriority w:val="0"/>
    <w:pPr>
      <w:tabs>
        <w:tab w:val="left" w:pos="360"/>
      </w:tabs>
      <w:ind w:left="420"/>
      <w:jc w:val="left"/>
    </w:pPr>
    <w:rPr>
      <w:rFonts w:ascii="宋体" w:hAnsi="宋体"/>
      <w:color w:val="FF0000"/>
      <w:kern w:val="0"/>
      <w:sz w:val="24"/>
    </w:rPr>
  </w:style>
  <w:style w:type="paragraph" w:styleId="9">
    <w:name w:val="Plain Text"/>
    <w:basedOn w:val="1"/>
    <w:link w:val="31"/>
    <w:qFormat/>
    <w:uiPriority w:val="99"/>
    <w:rPr>
      <w:rFonts w:ascii="宋体" w:hAnsi="Courier New" w:cs="Courier New"/>
      <w:szCs w:val="21"/>
    </w:rPr>
  </w:style>
  <w:style w:type="paragraph" w:styleId="10">
    <w:name w:val="Balloon Text"/>
    <w:basedOn w:val="1"/>
    <w:link w:val="30"/>
    <w:semiHidden/>
    <w:unhideWhenUsed/>
    <w:qFormat/>
    <w:uiPriority w:val="99"/>
    <w:rPr>
      <w:sz w:val="18"/>
      <w:szCs w:val="18"/>
    </w:rPr>
  </w:style>
  <w:style w:type="paragraph" w:styleId="11">
    <w:name w:val="footer"/>
    <w:basedOn w:val="1"/>
    <w:link w:val="33"/>
    <w:qFormat/>
    <w:uiPriority w:val="99"/>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style>
  <w:style w:type="paragraph" w:styleId="14">
    <w:name w:val="List"/>
    <w:basedOn w:val="1"/>
    <w:qFormat/>
    <w:uiPriority w:val="0"/>
    <w:pPr>
      <w:ind w:left="200" w:hanging="200" w:hangingChars="200"/>
    </w:pPr>
    <w:rPr>
      <w:sz w:val="28"/>
    </w:rPr>
  </w:style>
  <w:style w:type="paragraph" w:styleId="15">
    <w:name w:val="toc 2"/>
    <w:basedOn w:val="1"/>
    <w:next w:val="1"/>
    <w:qFormat/>
    <w:uiPriority w:val="39"/>
    <w:pPr>
      <w:ind w:left="420" w:leftChars="200"/>
    </w:pPr>
  </w:style>
  <w:style w:type="paragraph" w:styleId="16">
    <w:name w:val="Body Text 2"/>
    <w:basedOn w:val="1"/>
    <w:qFormat/>
    <w:uiPriority w:val="0"/>
    <w:pPr>
      <w:spacing w:line="480" w:lineRule="exact"/>
    </w:pPr>
    <w:rPr>
      <w:rFonts w:ascii="宋体"/>
      <w:sz w:val="28"/>
      <w:szCs w:val="20"/>
    </w:rPr>
  </w:style>
  <w:style w:type="paragraph" w:styleId="17">
    <w:name w:val="Message Header"/>
    <w:basedOn w:val="1"/>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9">
    <w:name w:val="Title"/>
    <w:basedOn w:val="1"/>
    <w:next w:val="1"/>
    <w:qFormat/>
    <w:uiPriority w:val="10"/>
    <w:pPr>
      <w:spacing w:before="240" w:after="60"/>
      <w:jc w:val="center"/>
      <w:outlineLvl w:val="0"/>
    </w:pPr>
    <w:rPr>
      <w:rFonts w:ascii="Cambria" w:hAnsi="Cambria"/>
      <w:b/>
      <w:bCs/>
      <w:sz w:val="32"/>
      <w:szCs w:val="32"/>
    </w:rPr>
  </w:style>
  <w:style w:type="character" w:styleId="21">
    <w:name w:val="Strong"/>
    <w:qFormat/>
    <w:uiPriority w:val="0"/>
    <w:rPr>
      <w:b/>
      <w:bCs/>
    </w:rPr>
  </w:style>
  <w:style w:type="character" w:styleId="22">
    <w:name w:val="page number"/>
    <w:basedOn w:val="20"/>
    <w:qFormat/>
    <w:uiPriority w:val="0"/>
  </w:style>
  <w:style w:type="character" w:styleId="23">
    <w:name w:val="Hyperlink"/>
    <w:qFormat/>
    <w:uiPriority w:val="99"/>
    <w:rPr>
      <w:color w:val="0000FF"/>
      <w:u w:val="single"/>
    </w:rPr>
  </w:style>
  <w:style w:type="character" w:styleId="24">
    <w:name w:val="annotation reference"/>
    <w:qFormat/>
    <w:uiPriority w:val="0"/>
    <w:rPr>
      <w:sz w:val="21"/>
      <w:szCs w:val="21"/>
    </w:rPr>
  </w:style>
  <w:style w:type="character" w:customStyle="1" w:styleId="26">
    <w:name w:val="标题 1 Char"/>
    <w:link w:val="2"/>
    <w:qFormat/>
    <w:uiPriority w:val="0"/>
    <w:rPr>
      <w:b/>
      <w:kern w:val="44"/>
      <w:sz w:val="44"/>
      <w:szCs w:val="20"/>
    </w:rPr>
  </w:style>
  <w:style w:type="character" w:customStyle="1" w:styleId="27">
    <w:name w:val="标题 2 Char"/>
    <w:link w:val="3"/>
    <w:qFormat/>
    <w:uiPriority w:val="0"/>
    <w:rPr>
      <w:rFonts w:ascii="Arial" w:hAnsi="Arial" w:eastAsia="黑体"/>
      <w:b/>
      <w:kern w:val="0"/>
      <w:sz w:val="32"/>
      <w:szCs w:val="20"/>
    </w:rPr>
  </w:style>
  <w:style w:type="paragraph" w:styleId="28">
    <w:name w:val="List Paragraph"/>
    <w:basedOn w:val="1"/>
    <w:qFormat/>
    <w:uiPriority w:val="34"/>
    <w:pPr>
      <w:autoSpaceDE w:val="0"/>
      <w:autoSpaceDN w:val="0"/>
      <w:adjustRightInd w:val="0"/>
      <w:ind w:firstLine="420" w:firstLineChars="200"/>
      <w:jc w:val="left"/>
    </w:pPr>
    <w:rPr>
      <w:rFonts w:ascii="宋体"/>
      <w:kern w:val="0"/>
      <w:sz w:val="20"/>
    </w:rPr>
  </w:style>
  <w:style w:type="character" w:customStyle="1" w:styleId="29">
    <w:name w:val="批注文字 Char"/>
    <w:basedOn w:val="20"/>
    <w:link w:val="6"/>
    <w:semiHidden/>
    <w:qFormat/>
    <w:uiPriority w:val="99"/>
    <w:rPr>
      <w:kern w:val="2"/>
      <w:sz w:val="21"/>
      <w:szCs w:val="24"/>
    </w:rPr>
  </w:style>
  <w:style w:type="character" w:customStyle="1" w:styleId="30">
    <w:name w:val="批注框文本 Char"/>
    <w:basedOn w:val="20"/>
    <w:link w:val="10"/>
    <w:semiHidden/>
    <w:qFormat/>
    <w:uiPriority w:val="99"/>
    <w:rPr>
      <w:kern w:val="2"/>
      <w:sz w:val="18"/>
      <w:szCs w:val="18"/>
    </w:rPr>
  </w:style>
  <w:style w:type="character" w:customStyle="1" w:styleId="31">
    <w:name w:val="纯文本 Char"/>
    <w:link w:val="9"/>
    <w:qFormat/>
    <w:uiPriority w:val="99"/>
    <w:rPr>
      <w:rFonts w:ascii="宋体" w:hAnsi="Courier New" w:cs="Courier New"/>
      <w:kern w:val="2"/>
      <w:sz w:val="21"/>
      <w:szCs w:val="21"/>
    </w:rPr>
  </w:style>
  <w:style w:type="character" w:customStyle="1" w:styleId="32">
    <w:name w:val="题注 Char"/>
    <w:link w:val="5"/>
    <w:qFormat/>
    <w:uiPriority w:val="0"/>
    <w:rPr>
      <w:rFonts w:ascii="Arial" w:hAnsi="Arial" w:eastAsia="黑体" w:cs="Arial"/>
      <w:kern w:val="2"/>
    </w:rPr>
  </w:style>
  <w:style w:type="character" w:customStyle="1" w:styleId="33">
    <w:name w:val="页脚 Char"/>
    <w:basedOn w:val="20"/>
    <w:link w:val="11"/>
    <w:qFormat/>
    <w:uiPriority w:val="99"/>
    <w:rPr>
      <w:kern w:val="2"/>
      <w:sz w:val="18"/>
      <w:szCs w:val="18"/>
    </w:rPr>
  </w:style>
  <w:style w:type="character" w:customStyle="1" w:styleId="34">
    <w:name w:val="正文文本 Char"/>
    <w:basedOn w:val="20"/>
    <w:link w:val="7"/>
    <w:semiHidden/>
    <w:qFormat/>
    <w:uiPriority w:val="99"/>
    <w:rPr>
      <w:kern w:val="2"/>
      <w:sz w:val="21"/>
      <w:szCs w:val="24"/>
    </w:rPr>
  </w:style>
  <w:style w:type="paragraph" w:customStyle="1" w:styleId="35">
    <w:name w:val="002标题"/>
    <w:basedOn w:val="1"/>
    <w:qFormat/>
    <w:uiPriority w:val="99"/>
    <w:pPr>
      <w:jc w:val="center"/>
    </w:pPr>
    <w:rPr>
      <w:sz w:val="30"/>
      <w:szCs w:val="30"/>
    </w:rPr>
  </w:style>
  <w:style w:type="paragraph" w:customStyle="1" w:styleId="36">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7">
    <w:name w:val="02标题二"/>
    <w:basedOn w:val="1"/>
    <w:qFormat/>
    <w:uiPriority w:val="0"/>
    <w:pPr>
      <w:ind w:firstLine="562" w:firstLineChars="200"/>
    </w:pPr>
    <w:rPr>
      <w:rFonts w:cs="华文仿宋"/>
      <w:b/>
      <w:bCs/>
      <w:sz w:val="28"/>
      <w:szCs w:val="28"/>
    </w:rPr>
  </w:style>
  <w:style w:type="paragraph" w:customStyle="1" w:styleId="38">
    <w:name w:val="表格"/>
    <w:basedOn w:val="1"/>
    <w:qFormat/>
    <w:uiPriority w:val="0"/>
    <w:pPr>
      <w:spacing w:line="400" w:lineRule="exact"/>
    </w:pPr>
    <w:rPr>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9.xml"/><Relationship Id="rId16" Type="http://schemas.openxmlformats.org/officeDocument/2006/relationships/customXml" Target="../customXml/item8.xml"/><Relationship Id="rId15" Type="http://schemas.openxmlformats.org/officeDocument/2006/relationships/customXml" Target="../customXml/item7.xml"/><Relationship Id="rId14" Type="http://schemas.openxmlformats.org/officeDocument/2006/relationships/customXml" Target="../customXml/item6.xml"/><Relationship Id="rId13" Type="http://schemas.openxmlformats.org/officeDocument/2006/relationships/customXml" Target="../customXml/item5.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21AF78-6F02-43BF-9273-18E29D6EF13C}">
  <ds:schemaRefs/>
</ds:datastoreItem>
</file>

<file path=customXml/itemProps3.xml><?xml version="1.0" encoding="utf-8"?>
<ds:datastoreItem xmlns:ds="http://schemas.openxmlformats.org/officeDocument/2006/customXml" ds:itemID="{76F63ADD-81C0-4F4F-B4E7-1BAD383450DA}">
  <ds:schemaRefs/>
</ds:datastoreItem>
</file>

<file path=customXml/itemProps4.xml><?xml version="1.0" encoding="utf-8"?>
<ds:datastoreItem xmlns:ds="http://schemas.openxmlformats.org/officeDocument/2006/customXml" ds:itemID="{CD17CC87-87B3-442E-93C8-BB895FF76C5E}">
  <ds:schemaRefs/>
</ds:datastoreItem>
</file>

<file path=customXml/itemProps5.xml><?xml version="1.0" encoding="utf-8"?>
<ds:datastoreItem xmlns:ds="http://schemas.openxmlformats.org/officeDocument/2006/customXml" ds:itemID="{1E556BB9-950D-48AF-AD13-87684D676077}">
  <ds:schemaRefs/>
</ds:datastoreItem>
</file>

<file path=customXml/itemProps6.xml><?xml version="1.0" encoding="utf-8"?>
<ds:datastoreItem xmlns:ds="http://schemas.openxmlformats.org/officeDocument/2006/customXml" ds:itemID="{CD9AB9CB-BEA1-4D1A-A1A3-EEDEBE8301B7}">
  <ds:schemaRefs/>
</ds:datastoreItem>
</file>

<file path=customXml/itemProps7.xml><?xml version="1.0" encoding="utf-8"?>
<ds:datastoreItem xmlns:ds="http://schemas.openxmlformats.org/officeDocument/2006/customXml" ds:itemID="{802535F2-569E-4FD7-875C-2505247D2B4B}">
  <ds:schemaRefs/>
</ds:datastoreItem>
</file>

<file path=customXml/itemProps8.xml><?xml version="1.0" encoding="utf-8"?>
<ds:datastoreItem xmlns:ds="http://schemas.openxmlformats.org/officeDocument/2006/customXml" ds:itemID="{4626C81D-BAF8-4544-BA35-B4596DCCBDDA}">
  <ds:schemaRefs/>
</ds:datastoreItem>
</file>

<file path=customXml/itemProps9.xml><?xml version="1.0" encoding="utf-8"?>
<ds:datastoreItem xmlns:ds="http://schemas.openxmlformats.org/officeDocument/2006/customXml" ds:itemID="{489BDFA6-DAE3-41A8-9290-CBC04F3C3E19}">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20</Pages>
  <Words>1608</Words>
  <Characters>9166</Characters>
  <Lines>76</Lines>
  <Paragraphs>21</Paragraphs>
  <TotalTime>21</TotalTime>
  <ScaleCrop>false</ScaleCrop>
  <LinksUpToDate>false</LinksUpToDate>
  <CharactersWithSpaces>10753</CharactersWithSpaces>
  <Application>WPS Office_10.1.0.7521_F1E327BC-269C-435d-A152-05C5408002CA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2018-10-11T06:49:00Z</dcterms:created>
  <dc:creator>刘勇</dc:creator>
  <cp:lastModifiedBy>Administrator</cp:lastModifiedBy>
  <cp:lastPrinted>2018-10-15T01:40:00Z</cp:lastPrinted>
  <dcterms:modified xsi:type="dcterms:W3CDTF">2018-10-17T04:01:49Z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